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06" w:rsidRPr="00F36D06" w:rsidRDefault="00F36D06" w:rsidP="00F36D06">
      <w:pPr>
        <w:tabs>
          <w:tab w:val="left" w:pos="567"/>
          <w:tab w:val="left" w:pos="5387"/>
        </w:tabs>
        <w:jc w:val="both"/>
        <w:rPr>
          <w:rFonts w:ascii="Times New Roman" w:hAnsi="Times New Roman"/>
          <w:szCs w:val="24"/>
        </w:rPr>
      </w:pPr>
    </w:p>
    <w:p w:rsidR="00F36D06" w:rsidRPr="00F36D06" w:rsidRDefault="00F36D06" w:rsidP="00F36D06">
      <w:pPr>
        <w:rPr>
          <w:rFonts w:cs="Arial"/>
          <w:szCs w:val="24"/>
        </w:rPr>
      </w:pPr>
      <w:r w:rsidRPr="00F36D06">
        <w:rPr>
          <w:rFonts w:cs="Arial"/>
          <w:szCs w:val="24"/>
        </w:rPr>
        <w:t xml:space="preserve">Materiál predkladaný na </w:t>
      </w:r>
      <w:r w:rsidR="007D7F36">
        <w:rPr>
          <w:rFonts w:cs="Arial"/>
          <w:szCs w:val="24"/>
        </w:rPr>
        <w:t>4</w:t>
      </w:r>
      <w:r w:rsidRPr="00F36D06">
        <w:rPr>
          <w:rFonts w:cs="Arial"/>
          <w:szCs w:val="24"/>
        </w:rPr>
        <w:t>/1</w:t>
      </w:r>
      <w:r w:rsidR="00E03950">
        <w:rPr>
          <w:rFonts w:cs="Arial"/>
          <w:szCs w:val="24"/>
        </w:rPr>
        <w:t>5</w:t>
      </w:r>
      <w:r w:rsidRPr="00F36D06">
        <w:rPr>
          <w:rFonts w:cs="Arial"/>
          <w:szCs w:val="24"/>
        </w:rPr>
        <w:t xml:space="preserve"> zasadnutie</w:t>
      </w:r>
    </w:p>
    <w:p w:rsidR="00F36D06" w:rsidRPr="00F36D06" w:rsidRDefault="00F36D06" w:rsidP="00F36D06">
      <w:pPr>
        <w:rPr>
          <w:rFonts w:cs="Arial"/>
          <w:szCs w:val="24"/>
        </w:rPr>
      </w:pPr>
      <w:r w:rsidRPr="00F36D06">
        <w:rPr>
          <w:rFonts w:cs="Arial"/>
          <w:szCs w:val="24"/>
        </w:rPr>
        <w:t>Dozornej rady Sociálnej poisťovne</w:t>
      </w:r>
    </w:p>
    <w:p w:rsidR="00F36D06" w:rsidRPr="00F36D06" w:rsidRDefault="00F36D06" w:rsidP="00F36D06">
      <w:pPr>
        <w:rPr>
          <w:rFonts w:cs="Arial"/>
          <w:szCs w:val="24"/>
        </w:rPr>
      </w:pPr>
      <w:r w:rsidRPr="00F36D06">
        <w:rPr>
          <w:rFonts w:cs="Arial"/>
          <w:szCs w:val="24"/>
        </w:rPr>
        <w:t xml:space="preserve">konané dňa </w:t>
      </w:r>
      <w:r w:rsidR="00AA736D">
        <w:rPr>
          <w:rFonts w:cs="Arial"/>
          <w:szCs w:val="24"/>
        </w:rPr>
        <w:t>18</w:t>
      </w:r>
      <w:r w:rsidR="003A7213">
        <w:rPr>
          <w:rFonts w:cs="Arial"/>
          <w:szCs w:val="24"/>
        </w:rPr>
        <w:t xml:space="preserve">. </w:t>
      </w:r>
      <w:r w:rsidR="00AA736D">
        <w:rPr>
          <w:rFonts w:cs="Arial"/>
          <w:szCs w:val="24"/>
        </w:rPr>
        <w:t>augusta</w:t>
      </w:r>
      <w:r w:rsidR="00E03950">
        <w:rPr>
          <w:rFonts w:cs="Arial"/>
          <w:szCs w:val="24"/>
        </w:rPr>
        <w:t xml:space="preserve"> 2015</w:t>
      </w:r>
    </w:p>
    <w:p w:rsidR="00F36D06" w:rsidRPr="00F36D06" w:rsidRDefault="00F36D06" w:rsidP="00F36D06">
      <w:pPr>
        <w:rPr>
          <w:rFonts w:cs="Arial"/>
          <w:szCs w:val="24"/>
        </w:rPr>
      </w:pPr>
    </w:p>
    <w:p w:rsidR="00F36D06" w:rsidRPr="00F36D06" w:rsidRDefault="00F36D06" w:rsidP="00F36D06">
      <w:pPr>
        <w:rPr>
          <w:rFonts w:ascii="Times New Roman" w:hAnsi="Times New Roman" w:cs="Arial"/>
          <w:szCs w:val="24"/>
        </w:rPr>
      </w:pPr>
    </w:p>
    <w:p w:rsidR="00F36D06" w:rsidRPr="00F36D06" w:rsidRDefault="00F36D06" w:rsidP="00F36D06">
      <w:pPr>
        <w:rPr>
          <w:rFonts w:ascii="Times New Roman" w:hAnsi="Times New Roman" w:cs="Arial"/>
          <w:szCs w:val="24"/>
        </w:rPr>
      </w:pPr>
    </w:p>
    <w:p w:rsidR="00F36D06" w:rsidRPr="00F36D06" w:rsidRDefault="00635BB3" w:rsidP="00F36D06">
      <w:pPr>
        <w:jc w:val="center"/>
        <w:rPr>
          <w:rFonts w:ascii="Arial Black" w:hAnsi="Arial Black"/>
          <w:sz w:val="52"/>
          <w:szCs w:val="52"/>
        </w:rPr>
      </w:pPr>
      <w:r>
        <w:rPr>
          <w:rFonts w:ascii="Arial Black" w:hAnsi="Arial Black"/>
          <w:sz w:val="52"/>
          <w:szCs w:val="52"/>
        </w:rPr>
        <w:t>3</w:t>
      </w:r>
    </w:p>
    <w:p w:rsidR="00F36D06" w:rsidRPr="00F36D06" w:rsidRDefault="00F36D06" w:rsidP="00F36D06">
      <w:pPr>
        <w:rPr>
          <w:rFonts w:ascii="Times New Roman" w:hAnsi="Times New Roman" w:cs="Arial"/>
          <w:szCs w:val="24"/>
        </w:rPr>
      </w:pPr>
    </w:p>
    <w:p w:rsidR="00F36D06" w:rsidRPr="00F36D06" w:rsidRDefault="00F36D06" w:rsidP="00F36D06">
      <w:pPr>
        <w:jc w:val="center"/>
        <w:rPr>
          <w:rFonts w:cs="Arial"/>
          <w:b/>
          <w:caps/>
          <w:color w:val="000000"/>
          <w:sz w:val="28"/>
          <w:lang w:eastAsia="cs-CZ"/>
        </w:rPr>
      </w:pPr>
      <w:r w:rsidRPr="00F36D06">
        <w:rPr>
          <w:rFonts w:cs="Arial"/>
          <w:b/>
          <w:caps/>
          <w:color w:val="000000"/>
          <w:sz w:val="28"/>
          <w:lang w:eastAsia="cs-CZ"/>
        </w:rPr>
        <w:t xml:space="preserve">správa o hospodárení sociálnej poisťovne </w:t>
      </w:r>
      <w:r w:rsidRPr="00F36D06">
        <w:rPr>
          <w:rFonts w:cs="Arial"/>
          <w:b/>
          <w:caps/>
          <w:color w:val="000000"/>
          <w:sz w:val="28"/>
          <w:lang w:eastAsia="cs-CZ"/>
        </w:rPr>
        <w:br/>
        <w:t>v mesiacoch január a</w:t>
      </w:r>
      <w:r w:rsidR="007B2BCA">
        <w:rPr>
          <w:rFonts w:cs="Arial"/>
          <w:b/>
          <w:caps/>
          <w:color w:val="000000"/>
          <w:sz w:val="28"/>
          <w:lang w:eastAsia="cs-CZ"/>
        </w:rPr>
        <w:t>ž</w:t>
      </w:r>
      <w:r w:rsidR="009528D8">
        <w:rPr>
          <w:rFonts w:cs="Arial"/>
          <w:b/>
          <w:caps/>
          <w:color w:val="000000"/>
          <w:sz w:val="28"/>
          <w:lang w:eastAsia="cs-CZ"/>
        </w:rPr>
        <w:t> </w:t>
      </w:r>
      <w:r w:rsidR="007D7F36">
        <w:rPr>
          <w:rFonts w:cs="Arial"/>
          <w:b/>
          <w:caps/>
          <w:color w:val="000000"/>
          <w:sz w:val="28"/>
          <w:lang w:eastAsia="cs-CZ"/>
        </w:rPr>
        <w:t>jún</w:t>
      </w:r>
      <w:r w:rsidR="009528D8">
        <w:rPr>
          <w:rFonts w:cs="Arial"/>
          <w:b/>
          <w:caps/>
          <w:color w:val="000000"/>
          <w:sz w:val="28"/>
          <w:lang w:eastAsia="cs-CZ"/>
        </w:rPr>
        <w:t xml:space="preserve"> 201</w:t>
      </w:r>
      <w:r w:rsidR="004C1D60">
        <w:rPr>
          <w:rFonts w:cs="Arial"/>
          <w:b/>
          <w:caps/>
          <w:color w:val="000000"/>
          <w:sz w:val="28"/>
          <w:lang w:eastAsia="cs-CZ"/>
        </w:rPr>
        <w:t>5</w:t>
      </w:r>
      <w:r w:rsidRPr="00F36D06">
        <w:rPr>
          <w:rFonts w:cs="Arial"/>
          <w:b/>
          <w:caps/>
          <w:color w:val="000000"/>
          <w:sz w:val="28"/>
          <w:lang w:eastAsia="cs-CZ"/>
        </w:rPr>
        <w:t xml:space="preserve"> </w:t>
      </w:r>
    </w:p>
    <w:p w:rsidR="00F36D06" w:rsidRPr="00F36D06" w:rsidRDefault="00F36D06" w:rsidP="00F36D06">
      <w:pPr>
        <w:jc w:val="both"/>
        <w:rPr>
          <w:rFonts w:ascii="Times New Roman" w:hAnsi="Times New Roman"/>
          <w:szCs w:val="24"/>
        </w:rPr>
      </w:pPr>
    </w:p>
    <w:p w:rsidR="00F36D06" w:rsidRPr="00F36D06" w:rsidRDefault="00F36D06" w:rsidP="00F36D06">
      <w:pPr>
        <w:jc w:val="both"/>
        <w:rPr>
          <w:rFonts w:ascii="Times New Roman" w:hAnsi="Times New Roman"/>
          <w:szCs w:val="24"/>
        </w:rPr>
      </w:pPr>
    </w:p>
    <w:p w:rsidR="00F36D06" w:rsidRPr="00F36D06" w:rsidRDefault="00F36D06" w:rsidP="00F36D06">
      <w:pPr>
        <w:jc w:val="both"/>
        <w:rPr>
          <w:rFonts w:cs="Arial"/>
          <w:szCs w:val="24"/>
        </w:rPr>
      </w:pPr>
    </w:p>
    <w:p w:rsidR="00F36D06" w:rsidRPr="00F36D06" w:rsidRDefault="00F36D06" w:rsidP="00F36D06">
      <w:pPr>
        <w:tabs>
          <w:tab w:val="left" w:pos="4860"/>
        </w:tabs>
        <w:rPr>
          <w:rFonts w:cs="Arial"/>
          <w:b/>
          <w:szCs w:val="24"/>
        </w:rPr>
      </w:pPr>
      <w:r w:rsidRPr="00F36D06">
        <w:rPr>
          <w:rFonts w:cs="Arial"/>
          <w:b/>
          <w:szCs w:val="24"/>
        </w:rPr>
        <w:t>Dôvod predloženia:</w:t>
      </w:r>
      <w:r w:rsidRPr="00F36D06">
        <w:rPr>
          <w:rFonts w:cs="Arial"/>
          <w:b/>
          <w:szCs w:val="24"/>
        </w:rPr>
        <w:tab/>
        <w:t>Materiál obsahuje:</w:t>
      </w:r>
    </w:p>
    <w:p w:rsidR="00F36D06" w:rsidRPr="00F36D06" w:rsidRDefault="00F36D06" w:rsidP="00F36D06">
      <w:pPr>
        <w:tabs>
          <w:tab w:val="left" w:pos="5760"/>
        </w:tabs>
        <w:ind w:left="5760" w:hanging="5760"/>
        <w:rPr>
          <w:rFonts w:cs="Arial"/>
          <w:b/>
          <w:szCs w:val="24"/>
        </w:rPr>
      </w:pPr>
    </w:p>
    <w:p w:rsidR="00F36D06" w:rsidRPr="00F36D06" w:rsidRDefault="00F36D06" w:rsidP="00F36D06">
      <w:pPr>
        <w:tabs>
          <w:tab w:val="left" w:pos="4860"/>
          <w:tab w:val="left" w:pos="5220"/>
        </w:tabs>
        <w:rPr>
          <w:rFonts w:cs="Arial"/>
          <w:szCs w:val="24"/>
        </w:rPr>
      </w:pPr>
      <w:r w:rsidRPr="00F36D06">
        <w:rPr>
          <w:rFonts w:cs="Arial"/>
          <w:szCs w:val="24"/>
        </w:rPr>
        <w:t>plnenie uznesenia DR SP</w:t>
      </w:r>
      <w:r w:rsidRPr="00F36D06">
        <w:rPr>
          <w:rFonts w:cs="Arial"/>
          <w:szCs w:val="24"/>
        </w:rPr>
        <w:tab/>
        <w:t xml:space="preserve">1. </w:t>
      </w:r>
      <w:r w:rsidRPr="00F36D06">
        <w:rPr>
          <w:rFonts w:cs="Arial"/>
          <w:szCs w:val="24"/>
        </w:rPr>
        <w:tab/>
        <w:t>Návrh uznesenia Dozornej rady</w:t>
      </w:r>
    </w:p>
    <w:p w:rsidR="00F36D06" w:rsidRPr="00F36D06" w:rsidRDefault="00F36D06" w:rsidP="00F36D06">
      <w:pPr>
        <w:tabs>
          <w:tab w:val="left" w:pos="4860"/>
          <w:tab w:val="left" w:pos="5220"/>
        </w:tabs>
        <w:rPr>
          <w:rFonts w:cs="Arial"/>
          <w:szCs w:val="24"/>
        </w:rPr>
      </w:pPr>
      <w:r w:rsidRPr="00F36D06">
        <w:rPr>
          <w:rFonts w:cs="Arial"/>
          <w:szCs w:val="24"/>
        </w:rPr>
        <w:t>č. 13/16/I./2. z 31.1.2006</w:t>
      </w:r>
      <w:r w:rsidRPr="00F36D06">
        <w:rPr>
          <w:rFonts w:cs="Arial"/>
          <w:szCs w:val="24"/>
        </w:rPr>
        <w:tab/>
      </w:r>
      <w:r w:rsidRPr="00F36D06">
        <w:rPr>
          <w:rFonts w:cs="Arial"/>
          <w:szCs w:val="24"/>
        </w:rPr>
        <w:tab/>
        <w:t>Sociálnej poisťovne</w:t>
      </w:r>
    </w:p>
    <w:p w:rsidR="00F36D06" w:rsidRPr="00F36D06" w:rsidRDefault="00F36D06" w:rsidP="00F36D06">
      <w:pPr>
        <w:tabs>
          <w:tab w:val="left" w:pos="4860"/>
          <w:tab w:val="left" w:pos="5220"/>
        </w:tabs>
        <w:rPr>
          <w:rFonts w:cs="Arial"/>
          <w:szCs w:val="24"/>
        </w:rPr>
      </w:pPr>
      <w:r w:rsidRPr="00F36D06">
        <w:rPr>
          <w:rFonts w:cs="Arial"/>
          <w:szCs w:val="24"/>
        </w:rPr>
        <w:tab/>
      </w:r>
    </w:p>
    <w:p w:rsidR="00F36D06" w:rsidRPr="00F36D06" w:rsidRDefault="00F36D06" w:rsidP="00F36D06">
      <w:pPr>
        <w:tabs>
          <w:tab w:val="left" w:pos="4860"/>
          <w:tab w:val="left" w:pos="5220"/>
        </w:tabs>
        <w:rPr>
          <w:rFonts w:cs="Arial"/>
          <w:szCs w:val="24"/>
        </w:rPr>
      </w:pPr>
      <w:r w:rsidRPr="00F36D06">
        <w:rPr>
          <w:rFonts w:cs="Arial"/>
          <w:szCs w:val="24"/>
        </w:rPr>
        <w:tab/>
        <w:t xml:space="preserve">2. </w:t>
      </w:r>
      <w:r w:rsidRPr="00F36D06">
        <w:rPr>
          <w:rFonts w:cs="Arial"/>
          <w:szCs w:val="24"/>
        </w:rPr>
        <w:tab/>
        <w:t>Predkladaciu správu</w:t>
      </w:r>
    </w:p>
    <w:p w:rsidR="00F36D06" w:rsidRPr="00F36D06" w:rsidRDefault="00F36D06" w:rsidP="00F36D06">
      <w:pPr>
        <w:tabs>
          <w:tab w:val="left" w:pos="4860"/>
          <w:tab w:val="left" w:pos="5220"/>
        </w:tabs>
        <w:rPr>
          <w:rFonts w:cs="Arial"/>
          <w:szCs w:val="24"/>
        </w:rPr>
      </w:pPr>
      <w:r w:rsidRPr="00F36D06">
        <w:rPr>
          <w:rFonts w:cs="Arial"/>
          <w:szCs w:val="24"/>
        </w:rPr>
        <w:tab/>
      </w:r>
    </w:p>
    <w:p w:rsidR="00F36D06" w:rsidRPr="00F36D06" w:rsidRDefault="00F36D06" w:rsidP="006D030D">
      <w:pPr>
        <w:numPr>
          <w:ilvl w:val="0"/>
          <w:numId w:val="1"/>
        </w:numPr>
        <w:tabs>
          <w:tab w:val="left" w:pos="4860"/>
        </w:tabs>
        <w:rPr>
          <w:rFonts w:cs="Arial"/>
          <w:szCs w:val="24"/>
        </w:rPr>
      </w:pPr>
      <w:r w:rsidRPr="00F36D06">
        <w:rPr>
          <w:rFonts w:cs="Arial"/>
          <w:szCs w:val="24"/>
        </w:rPr>
        <w:t>Správu o hospodárení Sociálnej poisťovne v mesiacoch január a</w:t>
      </w:r>
      <w:r w:rsidR="007B2BCA">
        <w:rPr>
          <w:rFonts w:cs="Arial"/>
          <w:szCs w:val="24"/>
        </w:rPr>
        <w:t>ž</w:t>
      </w:r>
      <w:r w:rsidR="009528D8">
        <w:rPr>
          <w:rFonts w:cs="Arial"/>
          <w:szCs w:val="24"/>
        </w:rPr>
        <w:t> </w:t>
      </w:r>
      <w:r w:rsidR="007D7F36">
        <w:rPr>
          <w:rFonts w:cs="Arial"/>
          <w:szCs w:val="24"/>
        </w:rPr>
        <w:t>jún</w:t>
      </w:r>
      <w:r w:rsidR="009528D8">
        <w:rPr>
          <w:rFonts w:cs="Arial"/>
          <w:szCs w:val="24"/>
        </w:rPr>
        <w:t xml:space="preserve"> 201</w:t>
      </w:r>
      <w:r w:rsidR="004C1D60">
        <w:rPr>
          <w:rFonts w:cs="Arial"/>
          <w:szCs w:val="24"/>
        </w:rPr>
        <w:t>5</w:t>
      </w:r>
      <w:r w:rsidRPr="00F36D06">
        <w:rPr>
          <w:rFonts w:cs="Arial"/>
          <w:szCs w:val="24"/>
        </w:rPr>
        <w:t xml:space="preserve">   </w:t>
      </w:r>
    </w:p>
    <w:p w:rsidR="00F36D06" w:rsidRPr="00F36D06" w:rsidRDefault="00F36D06" w:rsidP="00F36D06">
      <w:pPr>
        <w:tabs>
          <w:tab w:val="left" w:pos="4860"/>
          <w:tab w:val="left" w:pos="5220"/>
        </w:tabs>
        <w:rPr>
          <w:rFonts w:cs="Arial"/>
          <w:szCs w:val="24"/>
        </w:rPr>
      </w:pPr>
      <w:r w:rsidRPr="00F36D06">
        <w:rPr>
          <w:rFonts w:cs="Arial"/>
          <w:szCs w:val="24"/>
        </w:rPr>
        <w:tab/>
      </w: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rPr>
          <w:rFonts w:cs="Arial"/>
          <w:b/>
          <w:szCs w:val="24"/>
        </w:rPr>
      </w:pPr>
      <w:r w:rsidRPr="00F36D06">
        <w:rPr>
          <w:rFonts w:cs="Arial"/>
          <w:b/>
          <w:szCs w:val="24"/>
        </w:rPr>
        <w:t>Materiál predkladá:</w:t>
      </w:r>
      <w:bookmarkStart w:id="0" w:name="_GoBack"/>
      <w:bookmarkEnd w:id="0"/>
    </w:p>
    <w:p w:rsidR="00F36D06" w:rsidRPr="00F36D06" w:rsidRDefault="00F36D06" w:rsidP="00F36D06">
      <w:pPr>
        <w:rPr>
          <w:rFonts w:cs="Arial"/>
          <w:szCs w:val="24"/>
        </w:rPr>
      </w:pPr>
    </w:p>
    <w:p w:rsidR="00F36D06" w:rsidRPr="00F36D06" w:rsidRDefault="00F36D06" w:rsidP="00F36D06">
      <w:pPr>
        <w:rPr>
          <w:rFonts w:cs="Arial"/>
          <w:szCs w:val="24"/>
        </w:rPr>
      </w:pPr>
      <w:r w:rsidRPr="00F36D06">
        <w:rPr>
          <w:rFonts w:cs="Arial"/>
          <w:szCs w:val="24"/>
        </w:rPr>
        <w:t>Ing. Dušan Muňko</w:t>
      </w:r>
    </w:p>
    <w:p w:rsidR="00F36D06" w:rsidRPr="00F36D06" w:rsidRDefault="00F36D06" w:rsidP="00F36D06">
      <w:pPr>
        <w:rPr>
          <w:rFonts w:cs="Arial"/>
          <w:szCs w:val="24"/>
        </w:rPr>
      </w:pPr>
      <w:r w:rsidRPr="00F36D06">
        <w:rPr>
          <w:rFonts w:cs="Arial"/>
          <w:szCs w:val="24"/>
        </w:rPr>
        <w:t>generálny riaditeľ Sociálnej poisťovne</w:t>
      </w:r>
    </w:p>
    <w:p w:rsidR="00F36D06" w:rsidRPr="00F36D06" w:rsidRDefault="00F36D06" w:rsidP="00F36D06">
      <w:pPr>
        <w:tabs>
          <w:tab w:val="center" w:pos="4536"/>
          <w:tab w:val="right" w:pos="9072"/>
        </w:tabs>
        <w:rPr>
          <w:rFonts w:cs="Arial"/>
          <w:sz w:val="20"/>
          <w:lang w:eastAsia="cs-CZ"/>
        </w:rPr>
      </w:pPr>
    </w:p>
    <w:p w:rsidR="00F36D06" w:rsidRPr="00F36D06" w:rsidRDefault="00F36D06" w:rsidP="00F36D06">
      <w:pPr>
        <w:tabs>
          <w:tab w:val="center" w:pos="4536"/>
          <w:tab w:val="right" w:pos="9072"/>
        </w:tabs>
        <w:rPr>
          <w:rFonts w:cs="Arial"/>
          <w:sz w:val="20"/>
          <w:lang w:eastAsia="cs-CZ"/>
        </w:rPr>
        <w:sectPr w:rsidR="00F36D06" w:rsidRPr="00F36D06" w:rsidSect="00506E81">
          <w:headerReference w:type="default" r:id="rId9"/>
          <w:footerReference w:type="default" r:id="rId10"/>
          <w:footerReference w:type="first" r:id="rId11"/>
          <w:pgSz w:w="11906" w:h="16838" w:code="9"/>
          <w:pgMar w:top="2835" w:right="1418" w:bottom="1418" w:left="1418" w:header="709" w:footer="709" w:gutter="0"/>
          <w:cols w:space="708"/>
          <w:docGrid w:linePitch="360"/>
        </w:sectPr>
      </w:pPr>
    </w:p>
    <w:p w:rsidR="00F36D06" w:rsidRPr="00F36D06" w:rsidRDefault="00F36D06" w:rsidP="00F36D06">
      <w:pPr>
        <w:keepNext/>
        <w:spacing w:line="360" w:lineRule="auto"/>
        <w:jc w:val="center"/>
        <w:outlineLvl w:val="3"/>
        <w:rPr>
          <w:rFonts w:cs="Arial"/>
          <w:b/>
          <w:szCs w:val="24"/>
        </w:rPr>
      </w:pPr>
      <w:r w:rsidRPr="00F36D06">
        <w:rPr>
          <w:rFonts w:cs="Arial"/>
          <w:b/>
          <w:szCs w:val="24"/>
        </w:rPr>
        <w:lastRenderedPageBreak/>
        <w:t xml:space="preserve">Návrh uznesenia </w:t>
      </w:r>
      <w:r w:rsidRPr="00F36D06">
        <w:rPr>
          <w:rFonts w:cs="Arial"/>
          <w:b/>
          <w:szCs w:val="24"/>
        </w:rPr>
        <w:br/>
        <w:t>Dozornej rady Sociálnej poisťovne</w:t>
      </w:r>
    </w:p>
    <w:p w:rsidR="00F36D06" w:rsidRPr="00F36D06" w:rsidRDefault="00F36D06" w:rsidP="00F36D06">
      <w:pPr>
        <w:jc w:val="both"/>
        <w:rPr>
          <w:rFonts w:ascii="Times New Roman" w:hAnsi="Times New Roman"/>
          <w:szCs w:val="24"/>
        </w:rPr>
      </w:pPr>
    </w:p>
    <w:p w:rsidR="00F36D06" w:rsidRPr="00F36D06" w:rsidRDefault="00F36D06" w:rsidP="00F36D06">
      <w:pPr>
        <w:jc w:val="both"/>
        <w:rPr>
          <w:rFonts w:ascii="Times New Roman" w:hAnsi="Times New Roman"/>
          <w:szCs w:val="24"/>
        </w:rPr>
      </w:pPr>
    </w:p>
    <w:p w:rsidR="00F36D06" w:rsidRPr="00F36D06" w:rsidRDefault="00F36D06" w:rsidP="00F36D06">
      <w:pPr>
        <w:jc w:val="both"/>
        <w:rPr>
          <w:rFonts w:ascii="Times New Roman" w:hAnsi="Times New Roman"/>
          <w:szCs w:val="24"/>
        </w:rPr>
      </w:pPr>
    </w:p>
    <w:p w:rsidR="00F36D06" w:rsidRPr="00F36D06" w:rsidRDefault="00F36D06" w:rsidP="00F36D06">
      <w:pPr>
        <w:rPr>
          <w:b/>
        </w:rPr>
      </w:pPr>
      <w:r w:rsidRPr="00F36D06">
        <w:rPr>
          <w:b/>
        </w:rPr>
        <w:t>Dozorná rada Sociálnej poisťovne</w:t>
      </w: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rPr>
          <w:rFonts w:cs="Arial"/>
          <w:szCs w:val="24"/>
        </w:rPr>
      </w:pPr>
    </w:p>
    <w:p w:rsidR="00F36D06" w:rsidRPr="00F36D06" w:rsidRDefault="00F36D06" w:rsidP="00F36D06">
      <w:pPr>
        <w:tabs>
          <w:tab w:val="left" w:pos="5103"/>
        </w:tabs>
        <w:rPr>
          <w:rFonts w:cs="Arial"/>
          <w:b/>
          <w:szCs w:val="24"/>
        </w:rPr>
      </w:pPr>
      <w:r w:rsidRPr="00F36D06">
        <w:rPr>
          <w:rFonts w:cs="Arial"/>
          <w:b/>
          <w:szCs w:val="24"/>
        </w:rPr>
        <w:t xml:space="preserve">berie na vedomie </w:t>
      </w:r>
    </w:p>
    <w:p w:rsidR="00F36D06" w:rsidRPr="00F36D06" w:rsidRDefault="00F36D06" w:rsidP="00F36D06">
      <w:pPr>
        <w:tabs>
          <w:tab w:val="left" w:pos="5103"/>
        </w:tabs>
        <w:rPr>
          <w:rFonts w:cs="Arial"/>
          <w:szCs w:val="24"/>
        </w:rPr>
      </w:pPr>
      <w:r w:rsidRPr="00F36D06">
        <w:rPr>
          <w:rFonts w:cs="Arial"/>
          <w:szCs w:val="24"/>
        </w:rPr>
        <w:t>správu o hospodárení Sociálnej poisťovne v mesiacoch január a</w:t>
      </w:r>
      <w:r w:rsidR="007B2BCA">
        <w:rPr>
          <w:rFonts w:cs="Arial"/>
          <w:szCs w:val="24"/>
        </w:rPr>
        <w:t>ž</w:t>
      </w:r>
      <w:r w:rsidR="009528D8">
        <w:rPr>
          <w:rFonts w:cs="Arial"/>
          <w:szCs w:val="24"/>
        </w:rPr>
        <w:t> </w:t>
      </w:r>
      <w:r w:rsidR="007D7F36">
        <w:rPr>
          <w:rFonts w:cs="Arial"/>
          <w:szCs w:val="24"/>
        </w:rPr>
        <w:t>jún</w:t>
      </w:r>
      <w:r w:rsidR="009528D8">
        <w:rPr>
          <w:rFonts w:cs="Arial"/>
          <w:szCs w:val="24"/>
        </w:rPr>
        <w:t xml:space="preserve"> 201</w:t>
      </w:r>
      <w:r w:rsidR="004C1D60">
        <w:rPr>
          <w:rFonts w:cs="Arial"/>
          <w:szCs w:val="24"/>
        </w:rPr>
        <w:t>5</w:t>
      </w:r>
      <w:r w:rsidRPr="00F36D06">
        <w:rPr>
          <w:rFonts w:cs="Arial"/>
          <w:szCs w:val="24"/>
        </w:rPr>
        <w:t>.</w:t>
      </w:r>
    </w:p>
    <w:p w:rsidR="00F36D06" w:rsidRPr="00F36D06" w:rsidRDefault="00F36D06" w:rsidP="00F36D06">
      <w:pPr>
        <w:ind w:left="360"/>
        <w:rPr>
          <w:szCs w:val="24"/>
        </w:rPr>
      </w:pPr>
    </w:p>
    <w:p w:rsidR="00F36D06" w:rsidRPr="00F36D06" w:rsidRDefault="00F36D06" w:rsidP="00F36D06">
      <w:pPr>
        <w:spacing w:before="240" w:after="120"/>
        <w:jc w:val="center"/>
        <w:rPr>
          <w:rFonts w:ascii="Times New Roman" w:hAnsi="Times New Roman"/>
          <w:szCs w:val="24"/>
        </w:rPr>
        <w:sectPr w:rsidR="00F36D06" w:rsidRPr="00F36D06" w:rsidSect="006D4DA1">
          <w:headerReference w:type="default" r:id="rId12"/>
          <w:footerReference w:type="default" r:id="rId13"/>
          <w:pgSz w:w="11906" w:h="16838"/>
          <w:pgMar w:top="1135" w:right="1466" w:bottom="1417" w:left="1440" w:header="708" w:footer="708" w:gutter="0"/>
          <w:cols w:space="708"/>
          <w:docGrid w:linePitch="360"/>
        </w:sectPr>
      </w:pPr>
    </w:p>
    <w:p w:rsidR="00F36D06" w:rsidRPr="00F36D06" w:rsidRDefault="00F36D06" w:rsidP="00F36D06">
      <w:pPr>
        <w:spacing w:before="240" w:after="120"/>
        <w:jc w:val="center"/>
        <w:rPr>
          <w:rFonts w:cs="Arial"/>
          <w:b/>
          <w:szCs w:val="24"/>
        </w:rPr>
      </w:pPr>
      <w:r w:rsidRPr="00F36D06">
        <w:rPr>
          <w:rFonts w:cs="Arial"/>
          <w:b/>
          <w:szCs w:val="24"/>
        </w:rPr>
        <w:lastRenderedPageBreak/>
        <w:t>Predkladacia správa</w:t>
      </w:r>
    </w:p>
    <w:p w:rsidR="00E50096" w:rsidRPr="00E50096" w:rsidRDefault="00E50096" w:rsidP="00E50096">
      <w:pPr>
        <w:spacing w:before="240" w:after="120"/>
        <w:ind w:firstLine="720"/>
        <w:jc w:val="both"/>
        <w:rPr>
          <w:rFonts w:cs="Arial"/>
          <w:szCs w:val="24"/>
        </w:rPr>
      </w:pPr>
      <w:r w:rsidRPr="00E50096">
        <w:rPr>
          <w:rFonts w:cs="Arial"/>
          <w:szCs w:val="24"/>
        </w:rPr>
        <w:t>Správa o hospodárení Sociálnej poisťovne v mesiacoch január a</w:t>
      </w:r>
      <w:r w:rsidR="007B2BCA">
        <w:rPr>
          <w:rFonts w:cs="Arial"/>
          <w:szCs w:val="24"/>
        </w:rPr>
        <w:t>ž</w:t>
      </w:r>
      <w:r w:rsidRPr="00E50096">
        <w:rPr>
          <w:rFonts w:cs="Arial"/>
          <w:szCs w:val="24"/>
        </w:rPr>
        <w:t> </w:t>
      </w:r>
      <w:r w:rsidR="007D7F36">
        <w:rPr>
          <w:rFonts w:cs="Arial"/>
          <w:szCs w:val="24"/>
        </w:rPr>
        <w:t>jún</w:t>
      </w:r>
      <w:r w:rsidR="004C1D60">
        <w:rPr>
          <w:rFonts w:cs="Arial"/>
          <w:szCs w:val="24"/>
        </w:rPr>
        <w:t xml:space="preserve"> 2015</w:t>
      </w:r>
      <w:r w:rsidRPr="00E50096">
        <w:rPr>
          <w:rFonts w:cs="Arial"/>
          <w:szCs w:val="24"/>
        </w:rPr>
        <w:t xml:space="preserve"> sa predkladá na </w:t>
      </w:r>
      <w:r w:rsidR="007D7F36">
        <w:rPr>
          <w:rFonts w:cs="Arial"/>
          <w:szCs w:val="24"/>
        </w:rPr>
        <w:t>4</w:t>
      </w:r>
      <w:r w:rsidRPr="00E50096">
        <w:rPr>
          <w:rFonts w:cs="Arial"/>
          <w:szCs w:val="24"/>
        </w:rPr>
        <w:t>/1</w:t>
      </w:r>
      <w:r w:rsidR="00E03950">
        <w:rPr>
          <w:rFonts w:cs="Arial"/>
          <w:szCs w:val="24"/>
        </w:rPr>
        <w:t>5</w:t>
      </w:r>
      <w:r w:rsidRPr="00E50096">
        <w:rPr>
          <w:rFonts w:cs="Arial"/>
          <w:szCs w:val="24"/>
        </w:rPr>
        <w:t xml:space="preserve"> zasadnutie Dozornej rady Sociálnej poisťovne v nadväznosti na plnenie uznesenia Dozornej rady Sociálnej poisťovne č. 13/16/I./2. z 31. 1. 2006.</w:t>
      </w:r>
    </w:p>
    <w:p w:rsidR="009528D8" w:rsidRPr="009528D8" w:rsidRDefault="009528D8" w:rsidP="009528D8">
      <w:pPr>
        <w:spacing w:after="200" w:line="276" w:lineRule="auto"/>
        <w:rPr>
          <w:rFonts w:eastAsiaTheme="minorHAnsi" w:cs="Arial"/>
          <w:szCs w:val="22"/>
          <w:lang w:eastAsia="en-US"/>
        </w:rPr>
      </w:pPr>
    </w:p>
    <w:p w:rsidR="00F36D06" w:rsidRPr="00F36D06" w:rsidRDefault="00F36D06" w:rsidP="00F36D06">
      <w:pPr>
        <w:spacing w:before="240" w:after="120"/>
        <w:rPr>
          <w:rFonts w:ascii="Times New Roman" w:hAnsi="Times New Roman" w:cs="Arial"/>
          <w:szCs w:val="24"/>
        </w:rPr>
      </w:pPr>
    </w:p>
    <w:p w:rsidR="00F36D06" w:rsidRPr="00F36D06" w:rsidRDefault="00F36D06" w:rsidP="00F36D06">
      <w:pPr>
        <w:jc w:val="center"/>
        <w:sectPr w:rsidR="00F36D06" w:rsidRPr="00F36D06" w:rsidSect="00E50096">
          <w:footerReference w:type="default" r:id="rId14"/>
          <w:pgSz w:w="11906" w:h="16838"/>
          <w:pgMar w:top="1417" w:right="1417" w:bottom="1417" w:left="1417" w:header="708" w:footer="708" w:gutter="0"/>
          <w:cols w:space="708"/>
          <w:docGrid w:linePitch="360"/>
        </w:sectPr>
      </w:pPr>
    </w:p>
    <w:p w:rsidR="00AA736D" w:rsidRPr="00AA736D" w:rsidRDefault="00AA736D" w:rsidP="00AA736D">
      <w:pPr>
        <w:spacing w:after="120"/>
        <w:jc w:val="center"/>
        <w:rPr>
          <w:b/>
          <w:sz w:val="28"/>
          <w:szCs w:val="28"/>
        </w:rPr>
      </w:pPr>
      <w:r w:rsidRPr="00AA736D">
        <w:rPr>
          <w:b/>
          <w:sz w:val="28"/>
          <w:szCs w:val="28"/>
        </w:rPr>
        <w:lastRenderedPageBreak/>
        <w:t xml:space="preserve">Správa o hospodárení Sociálnej poisťovne </w:t>
      </w:r>
      <w:r w:rsidRPr="00AA736D">
        <w:rPr>
          <w:b/>
          <w:sz w:val="28"/>
          <w:szCs w:val="28"/>
        </w:rPr>
        <w:br/>
        <w:t>v mesiacoch január až jún 2015</w:t>
      </w:r>
    </w:p>
    <w:p w:rsidR="00AA736D" w:rsidRPr="00AA736D" w:rsidRDefault="00AA736D" w:rsidP="00AA736D">
      <w:pPr>
        <w:spacing w:before="120" w:after="120"/>
        <w:ind w:firstLine="709"/>
        <w:jc w:val="both"/>
        <w:rPr>
          <w:rFonts w:cs="Arial"/>
          <w:szCs w:val="24"/>
        </w:rPr>
      </w:pPr>
      <w:r w:rsidRPr="00AA736D">
        <w:rPr>
          <w:rFonts w:cs="Arial"/>
          <w:szCs w:val="24"/>
        </w:rPr>
        <w:t>Návrh rozpočtu Sociálnej poisťovne na rok 2015 schválila Národná rada Slovenskej republiky (NR SR) uznesením č. 1450 zo 4. decembra 2014.</w:t>
      </w:r>
    </w:p>
    <w:p w:rsidR="00AA736D" w:rsidRPr="00AA736D" w:rsidRDefault="00AA736D" w:rsidP="00AA736D">
      <w:pPr>
        <w:spacing w:before="120" w:after="120"/>
        <w:ind w:firstLine="709"/>
        <w:jc w:val="both"/>
        <w:rPr>
          <w:rFonts w:cs="Arial"/>
          <w:szCs w:val="24"/>
        </w:rPr>
      </w:pPr>
      <w:r w:rsidRPr="00AA736D">
        <w:rPr>
          <w:rFonts w:cs="Arial"/>
          <w:szCs w:val="24"/>
        </w:rPr>
        <w:t xml:space="preserve">Schválený rozpočet Sociálnej poisťovne na rok 2015 (ďalej len „schválený rozpočet na rok 2015“) je zostavený v podmienkach zákona č. 461/2003 Z. z. o sociálnom poistení v znení neskorších predpisov (ďalej len „zákon o sociálnom poistení“) účinných k termínu spracovávania návrhu rozpočtu. Rešpektuje </w:t>
      </w:r>
      <w:r w:rsidRPr="00AA736D">
        <w:rPr>
          <w:rFonts w:cs="Arial"/>
        </w:rPr>
        <w:t>vplyv  makroekonomických ukazovateľov zverejnených Inštitútom finančnej politiky Ministerstva financií Slovenskej republiky (IFP MF SR) 12. 9. 2014 a MF SR navrhované limity príjmov a výdavkov Sociálnej poisťovne.</w:t>
      </w:r>
    </w:p>
    <w:p w:rsidR="00AA736D" w:rsidRPr="00AA736D" w:rsidRDefault="00AA736D" w:rsidP="00AA736D">
      <w:pPr>
        <w:spacing w:before="120" w:after="120"/>
        <w:ind w:firstLine="709"/>
        <w:jc w:val="both"/>
        <w:rPr>
          <w:rFonts w:cs="Arial"/>
          <w:szCs w:val="24"/>
        </w:rPr>
      </w:pPr>
      <w:r w:rsidRPr="00AA736D">
        <w:rPr>
          <w:rFonts w:cs="Arial"/>
        </w:rPr>
        <w:t xml:space="preserve">Do príjmov Sociálnej poisťovne bol zapracovaný transfer </w:t>
      </w:r>
      <w:r w:rsidRPr="00AA736D">
        <w:rPr>
          <w:rFonts w:cs="Arial"/>
          <w:szCs w:val="24"/>
        </w:rPr>
        <w:t xml:space="preserve">zo štátneho rozpočtu Slovenskej republiky (ŠR SR) vo výške 905 966 tis. Eur. Výška transferu zo ŠR SR zohľadňuje nevyhnutnú technickú rezervu finančných prostriedkov pre zachovanie platobnej schopnosti Sociálnej poisťovne v zmysle § 157 ods. 4 zákona o sociálnom poistení.  </w:t>
      </w:r>
    </w:p>
    <w:p w:rsidR="00AA736D" w:rsidRPr="00AA736D" w:rsidRDefault="00AA736D" w:rsidP="00AA736D">
      <w:pPr>
        <w:spacing w:before="120" w:after="120"/>
        <w:ind w:firstLine="709"/>
        <w:jc w:val="both"/>
        <w:rPr>
          <w:rFonts w:cs="Arial"/>
        </w:rPr>
      </w:pPr>
      <w:r w:rsidRPr="00AA736D">
        <w:rPr>
          <w:rFonts w:cs="Arial"/>
        </w:rPr>
        <w:t>Pri tvorbe správneho fondu sa vychádzalo zo zákonom stanovenej tvorby správneho fondu najviac vo výške 2,4 % z príjmov z poistného, 0,25 % z príspevkov na starobné dôchodkové sporenie (SDS) a ďalších ustanovených príjmov v § 168 ods. 2 zákona o sociálnom poistení.</w:t>
      </w:r>
    </w:p>
    <w:p w:rsidR="00AA736D" w:rsidRPr="00AA736D" w:rsidRDefault="00AA736D" w:rsidP="00AA736D">
      <w:pPr>
        <w:spacing w:before="120" w:after="120"/>
        <w:ind w:firstLine="709"/>
        <w:jc w:val="both"/>
      </w:pPr>
      <w:r w:rsidRPr="00AA736D">
        <w:t xml:space="preserve">Nadväzne na schválenie rozpočtu na rok 2015 v NR SR vykonala sekcia ekonomiky v súlade s článkom 5 Pravidiel financovania a hospodárenia Sociálnej poisťovne rozpis rozpočtu Sociálnej poisťovne na rok 2015 podľa rozpočtovej klasifikácie, podľa období a podľa organizačných zložiek Sociálnej poisťovne. Rozpis rozpočtu Sociálnej poisťovne na rok 2015 </w:t>
      </w:r>
      <w:r w:rsidRPr="00AA736D">
        <w:rPr>
          <w:rFonts w:cs="Arial"/>
          <w:szCs w:val="24"/>
        </w:rPr>
        <w:t>schválil generálny riaditeľ Sociálnej poisťovne v mesiaci február 2015.</w:t>
      </w:r>
    </w:p>
    <w:p w:rsidR="00AA736D" w:rsidRPr="00AA736D" w:rsidRDefault="00AA736D" w:rsidP="00AA736D">
      <w:pPr>
        <w:widowControl w:val="0"/>
        <w:tabs>
          <w:tab w:val="left" w:pos="709"/>
        </w:tabs>
        <w:spacing w:before="120" w:after="120"/>
        <w:ind w:firstLine="709"/>
        <w:jc w:val="both"/>
      </w:pPr>
      <w:r w:rsidRPr="00AA736D">
        <w:t>Príjmy Sociálnej poisťovne v mesiacoch január až jún 2015 (bez prevodu z minulých rokov) dosiahli výšku 3 973 756 tis. Eur, čo je 55,77 %-</w:t>
      </w:r>
      <w:proofErr w:type="spellStart"/>
      <w:r w:rsidRPr="00AA736D">
        <w:t>né</w:t>
      </w:r>
      <w:proofErr w:type="spellEnd"/>
      <w:r w:rsidRPr="00AA736D">
        <w:t xml:space="preserve"> plnenie schváleného rozpočtu na rok 2015 a 115,71 %-</w:t>
      </w:r>
      <w:proofErr w:type="spellStart"/>
      <w:r w:rsidRPr="00AA736D">
        <w:t>né</w:t>
      </w:r>
      <w:proofErr w:type="spellEnd"/>
      <w:r w:rsidRPr="00AA736D">
        <w:t xml:space="preserve"> plnenie časového rozpisu rozpočtu na január až jún 2015 (ďalej len „časový rozpis“). </w:t>
      </w:r>
    </w:p>
    <w:p w:rsidR="00AA736D" w:rsidRPr="00AA736D" w:rsidRDefault="00AA736D" w:rsidP="00AA736D">
      <w:pPr>
        <w:widowControl w:val="0"/>
        <w:tabs>
          <w:tab w:val="left" w:pos="709"/>
        </w:tabs>
        <w:spacing w:before="120" w:after="120"/>
        <w:ind w:firstLine="709"/>
        <w:jc w:val="both"/>
      </w:pPr>
      <w:r w:rsidRPr="00AA736D">
        <w:t>V príjmoch je zahrnutých 452 983 tis. Eur zo ŠR SR na krytie deficitu v dôsledku zavedenia II. piliera</w:t>
      </w:r>
      <w:r w:rsidRPr="00AA736D">
        <w:rPr>
          <w:rFonts w:cs="Arial"/>
          <w:szCs w:val="24"/>
        </w:rPr>
        <w:t xml:space="preserve"> a ako finančná výpomoc z dôvodu platobnej neschopnosti základného fondu starobného poistenia, v zmysle § 157 ods. 4 zákona o sociálnom poistení.</w:t>
      </w:r>
      <w:r w:rsidRPr="00AA736D">
        <w:t xml:space="preserve"> </w:t>
      </w:r>
    </w:p>
    <w:p w:rsidR="00AA736D" w:rsidRPr="00AA736D" w:rsidRDefault="00AA736D" w:rsidP="00AA736D">
      <w:pPr>
        <w:widowControl w:val="0"/>
        <w:spacing w:before="120" w:after="120"/>
        <w:ind w:firstLine="709"/>
        <w:jc w:val="both"/>
      </w:pPr>
      <w:r w:rsidRPr="00AA736D">
        <w:t xml:space="preserve">Zdroje Sociálnej poisťovne, vrátane prevodu prostriedkov z minulého roka </w:t>
      </w:r>
      <w:r w:rsidRPr="00AA736D">
        <w:br/>
        <w:t>(v súlade so schválenou účtovnou závierkou Sociálnej poisťovne za rok 2014 uznesením NR SR č. 1866 z 30. 6. 2015), v hodnotenom období predstavovali 4 435 143 tis. Eur.</w:t>
      </w:r>
    </w:p>
    <w:p w:rsidR="00AA736D" w:rsidRPr="00AA736D" w:rsidRDefault="00AA736D" w:rsidP="00AA736D">
      <w:pPr>
        <w:widowControl w:val="0"/>
        <w:tabs>
          <w:tab w:val="left" w:pos="709"/>
        </w:tabs>
        <w:spacing w:before="120" w:after="120"/>
        <w:ind w:firstLine="720"/>
        <w:jc w:val="both"/>
      </w:pPr>
      <w:r w:rsidRPr="00AA736D">
        <w:t>Výdavky (náklady) Sociálnej poisťovne v mesiacoch január až jún 2015 dosiahli výšku 3 504 346 tis. Eur, čo je  49,33 %-</w:t>
      </w:r>
      <w:proofErr w:type="spellStart"/>
      <w:r w:rsidRPr="00AA736D">
        <w:t>né</w:t>
      </w:r>
      <w:proofErr w:type="spellEnd"/>
      <w:r w:rsidRPr="00AA736D">
        <w:t xml:space="preserve"> plnenie schváleného rozpočtu na rok 2015 a 100,37 %-</w:t>
      </w:r>
      <w:proofErr w:type="spellStart"/>
      <w:r w:rsidRPr="00AA736D">
        <w:t>né</w:t>
      </w:r>
      <w:proofErr w:type="spellEnd"/>
      <w:r w:rsidRPr="00AA736D">
        <w:t xml:space="preserve"> plnenie časového rozpisu. </w:t>
      </w:r>
    </w:p>
    <w:p w:rsidR="00AA736D" w:rsidRPr="00AA736D" w:rsidRDefault="00AA736D" w:rsidP="00AA736D">
      <w:pPr>
        <w:widowControl w:val="0"/>
        <w:tabs>
          <w:tab w:val="decimal" w:pos="8280"/>
        </w:tabs>
        <w:spacing w:before="120" w:after="120"/>
        <w:ind w:firstLine="720"/>
        <w:jc w:val="both"/>
      </w:pPr>
      <w:r w:rsidRPr="00AA736D">
        <w:t>Z porovnania príjmov a výdavkov vyplýva bilančný rozdiel v bežnom roku v sume 469 410 tis. Eur. Hospodárenie Sociálnej poisťovne k 30. júnu 2015 (vrátane prevodu z minulých rokov) skončilo bilančným rozdielom 930 797 tis. Eur.</w:t>
      </w:r>
    </w:p>
    <w:p w:rsidR="00AA736D" w:rsidRPr="00AA736D" w:rsidRDefault="00AA736D" w:rsidP="00AA736D">
      <w:pPr>
        <w:spacing w:before="120" w:after="120"/>
        <w:ind w:firstLine="709"/>
        <w:jc w:val="both"/>
      </w:pPr>
      <w:r w:rsidRPr="00AA736D">
        <w:t>Dôchodkovým správcovským spoločnostiam (DSS) boli postúpené príspevky na SDS vo výške 230 219 tis. Eur.</w:t>
      </w:r>
    </w:p>
    <w:p w:rsidR="00AA736D" w:rsidRPr="00AA736D" w:rsidRDefault="00AA736D" w:rsidP="00AA736D">
      <w:pPr>
        <w:spacing w:before="120" w:after="120"/>
        <w:ind w:firstLine="709"/>
        <w:jc w:val="both"/>
        <w:rPr>
          <w:szCs w:val="24"/>
        </w:rPr>
      </w:pPr>
      <w:r w:rsidRPr="00AA736D">
        <w:lastRenderedPageBreak/>
        <w:t>Prehľady o vývoji príjmov, výdavkov a počtoch zamestnancov Sociálnej poisťovne k 30. júnu 2015 sú v prílohách – ústredie Sociálnej poisťovne, pobočky Sociálnej poisťovne a zamestnanci Sociálnej poisťovne.</w:t>
      </w:r>
    </w:p>
    <w:p w:rsidR="00AA736D" w:rsidRPr="00AA736D" w:rsidRDefault="00AA736D" w:rsidP="00AA736D">
      <w:pPr>
        <w:tabs>
          <w:tab w:val="left" w:pos="720"/>
          <w:tab w:val="decimal" w:pos="8280"/>
        </w:tabs>
        <w:spacing w:before="240" w:after="120"/>
        <w:jc w:val="both"/>
        <w:rPr>
          <w:rFonts w:cs="Arial"/>
          <w:szCs w:val="24"/>
        </w:rPr>
      </w:pPr>
      <w:r w:rsidRPr="00AA736D">
        <w:rPr>
          <w:rFonts w:cs="Arial"/>
          <w:b/>
          <w:szCs w:val="24"/>
        </w:rPr>
        <w:t>1.</w:t>
      </w:r>
      <w:r w:rsidRPr="00AA736D">
        <w:rPr>
          <w:rFonts w:cs="Arial"/>
          <w:b/>
          <w:szCs w:val="24"/>
        </w:rPr>
        <w:tab/>
        <w:t>Príjmy Sociálnej poisťovne</w:t>
      </w:r>
      <w:r w:rsidRPr="00AA736D">
        <w:rPr>
          <w:rFonts w:cs="Arial"/>
          <w:szCs w:val="24"/>
        </w:rPr>
        <w:t xml:space="preserve">, t. j. finančné prostriedky z poistného, pokút a penále a ostatné príjmy, vrátane finančných prostriedkov zo ŠR SR, v mesiacoch január až jún 2015 predstavovali </w:t>
      </w:r>
      <w:r w:rsidRPr="00AA736D">
        <w:rPr>
          <w:rFonts w:cs="Arial"/>
          <w:szCs w:val="24"/>
        </w:rPr>
        <w:tab/>
      </w:r>
      <w:r w:rsidRPr="00AA736D">
        <w:rPr>
          <w:rFonts w:cs="Arial"/>
          <w:b/>
          <w:szCs w:val="24"/>
        </w:rPr>
        <w:t>3 </w:t>
      </w:r>
      <w:r w:rsidRPr="00AA736D">
        <w:rPr>
          <w:b/>
        </w:rPr>
        <w:t>973 756 tis. Eur</w:t>
      </w:r>
      <w:r w:rsidRPr="00AA736D">
        <w:rPr>
          <w:rFonts w:cs="Arial"/>
          <w:b/>
          <w:szCs w:val="24"/>
        </w:rPr>
        <w:t>,</w:t>
      </w:r>
      <w:r w:rsidRPr="00AA736D">
        <w:rPr>
          <w:rFonts w:cs="Arial"/>
          <w:b/>
          <w:szCs w:val="24"/>
        </w:rPr>
        <w:br/>
      </w:r>
      <w:r w:rsidRPr="00AA736D">
        <w:rPr>
          <w:rFonts w:cs="Arial"/>
          <w:szCs w:val="24"/>
        </w:rPr>
        <w:t>čo je 55,77 %-</w:t>
      </w:r>
      <w:proofErr w:type="spellStart"/>
      <w:r w:rsidRPr="00AA736D">
        <w:rPr>
          <w:rFonts w:cs="Arial"/>
          <w:szCs w:val="24"/>
        </w:rPr>
        <w:t>né</w:t>
      </w:r>
      <w:proofErr w:type="spellEnd"/>
      <w:r w:rsidRPr="00AA736D">
        <w:rPr>
          <w:rFonts w:cs="Arial"/>
          <w:szCs w:val="24"/>
        </w:rPr>
        <w:t xml:space="preserve"> plnenie schváleného rozpočtu na rok 2015 </w:t>
      </w:r>
      <w:r w:rsidRPr="00AA736D">
        <w:rPr>
          <w:rFonts w:cs="Arial"/>
          <w:szCs w:val="24"/>
        </w:rPr>
        <w:tab/>
      </w:r>
      <w:r w:rsidRPr="00AA736D">
        <w:rPr>
          <w:rFonts w:cs="Arial"/>
          <w:szCs w:val="24"/>
        </w:rPr>
        <w:br/>
        <w:t>v sume</w:t>
      </w:r>
      <w:r w:rsidRPr="00AA736D">
        <w:rPr>
          <w:rFonts w:cs="Arial"/>
          <w:szCs w:val="24"/>
        </w:rPr>
        <w:tab/>
        <w:t>7 125 215 tis. Eur</w:t>
      </w:r>
      <w:r w:rsidRPr="00AA736D">
        <w:rPr>
          <w:rFonts w:cs="Arial"/>
          <w:szCs w:val="24"/>
        </w:rPr>
        <w:br/>
        <w:t>a 115,71%-né plnenie časového rozpisu vo výške</w:t>
      </w:r>
      <w:r w:rsidRPr="00AA736D">
        <w:rPr>
          <w:rFonts w:cs="Arial"/>
          <w:szCs w:val="24"/>
        </w:rPr>
        <w:tab/>
        <w:t>3 434 237 tis. Eur.</w:t>
      </w:r>
    </w:p>
    <w:p w:rsidR="00AA736D" w:rsidRPr="00AA736D" w:rsidRDefault="00AA736D" w:rsidP="00AA736D">
      <w:pPr>
        <w:tabs>
          <w:tab w:val="left" w:pos="4680"/>
          <w:tab w:val="decimal" w:pos="8080"/>
        </w:tabs>
        <w:spacing w:before="240"/>
        <w:ind w:firstLine="720"/>
        <w:jc w:val="both"/>
        <w:rPr>
          <w:rFonts w:cs="Arial"/>
          <w:szCs w:val="24"/>
        </w:rPr>
      </w:pPr>
      <w:r w:rsidRPr="00AA736D">
        <w:rPr>
          <w:rFonts w:cs="Arial"/>
          <w:szCs w:val="24"/>
        </w:rPr>
        <w:t>Štruktúra skutočných príjmov Sociálnej poisťovne a ich porovnanie s časovým rozpisom:</w:t>
      </w:r>
      <w:r w:rsidRPr="00AA736D">
        <w:rPr>
          <w:rFonts w:cs="Arial"/>
          <w:b/>
          <w:szCs w:val="24"/>
        </w:rPr>
        <w:t xml:space="preserve"> </w:t>
      </w:r>
    </w:p>
    <w:tbl>
      <w:tblPr>
        <w:tblW w:w="9356" w:type="dxa"/>
        <w:tblInd w:w="70" w:type="dxa"/>
        <w:tblLayout w:type="fixed"/>
        <w:tblCellMar>
          <w:left w:w="70" w:type="dxa"/>
          <w:right w:w="70" w:type="dxa"/>
        </w:tblCellMar>
        <w:tblLook w:val="04A0" w:firstRow="1" w:lastRow="0" w:firstColumn="1" w:lastColumn="0" w:noHBand="0" w:noVBand="1"/>
      </w:tblPr>
      <w:tblGrid>
        <w:gridCol w:w="4536"/>
        <w:gridCol w:w="1347"/>
        <w:gridCol w:w="1347"/>
        <w:gridCol w:w="1063"/>
        <w:gridCol w:w="1063"/>
      </w:tblGrid>
      <w:tr w:rsidR="00AA736D" w:rsidRPr="00AA736D" w:rsidTr="00565313">
        <w:tc>
          <w:tcPr>
            <w:tcW w:w="9356" w:type="dxa"/>
            <w:gridSpan w:val="5"/>
            <w:tcBorders>
              <w:top w:val="nil"/>
              <w:left w:val="nil"/>
              <w:bottom w:val="nil"/>
              <w:right w:val="nil"/>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v tis. Eur</w:t>
            </w:r>
          </w:p>
        </w:tc>
      </w:tr>
      <w:tr w:rsidR="00AA736D" w:rsidRPr="00AA736D" w:rsidTr="00565313">
        <w:trPr>
          <w:trHeight w:val="253"/>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Ukazovateľ</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Časový rozpis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Skutočnosť  za január až máj 2015</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Rozdiel</w:t>
            </w:r>
          </w:p>
          <w:p w:rsidR="00AA736D" w:rsidRPr="00AA736D" w:rsidRDefault="00AA736D" w:rsidP="00AA736D">
            <w:pPr>
              <w:jc w:val="center"/>
              <w:rPr>
                <w:rFonts w:cs="Arial"/>
                <w:sz w:val="22"/>
                <w:szCs w:val="22"/>
              </w:rPr>
            </w:pPr>
            <w:r w:rsidRPr="00AA736D">
              <w:rPr>
                <w:rFonts w:cs="Arial"/>
                <w:sz w:val="22"/>
                <w:szCs w:val="22"/>
              </w:rPr>
              <w:t>2-1</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plnenia 2/1</w:t>
            </w:r>
          </w:p>
          <w:p w:rsidR="00AA736D" w:rsidRPr="00AA736D" w:rsidRDefault="00AA736D" w:rsidP="00AA736D">
            <w:pPr>
              <w:jc w:val="center"/>
              <w:rPr>
                <w:rFonts w:cs="Arial"/>
                <w:sz w:val="22"/>
                <w:szCs w:val="22"/>
              </w:rPr>
            </w:pPr>
            <w:r w:rsidRPr="00AA736D">
              <w:rPr>
                <w:rFonts w:cs="Arial"/>
                <w:sz w:val="22"/>
                <w:szCs w:val="22"/>
              </w:rPr>
              <w:t> </w:t>
            </w:r>
          </w:p>
        </w:tc>
      </w:tr>
      <w:tr w:rsidR="00AA736D" w:rsidRPr="00AA736D" w:rsidTr="00565313">
        <w:trPr>
          <w:trHeight w:val="253"/>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2"/>
                <w:szCs w:val="22"/>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a</w:t>
            </w:r>
          </w:p>
        </w:tc>
        <w:tc>
          <w:tcPr>
            <w:tcW w:w="1347"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1</w:t>
            </w:r>
          </w:p>
        </w:tc>
        <w:tc>
          <w:tcPr>
            <w:tcW w:w="1347"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2</w:t>
            </w:r>
          </w:p>
        </w:tc>
        <w:tc>
          <w:tcPr>
            <w:tcW w:w="1063"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3</w:t>
            </w:r>
          </w:p>
        </w:tc>
        <w:tc>
          <w:tcPr>
            <w:tcW w:w="1063"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4</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Príjmy celkom</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3 434 237</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3 973 756</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539 519</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115,71</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v tom:</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 </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 </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 </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 </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príjmy z bežného poistného od ekonomicky aktívneho obyvateľstva (EAO)</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2 727 411</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2 796 693</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69 282</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102,54</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 xml:space="preserve">príjmy z dlžného poistného  </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125 859</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115 556</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-10 303</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91,81</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príjmy zo sankcií</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7 735</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8 925</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1 190</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115,38</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príjmy z poistného od štátu vrátane 0,25 % z príspevkov na SDS</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105 361</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95 879</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-9 482</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91,00</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príjmy od Sociálnej poisťovne</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1 191</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1 321</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130</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110,92</w:t>
            </w:r>
          </w:p>
        </w:tc>
      </w:tr>
      <w:tr w:rsidR="00AA736D" w:rsidRPr="00AA736D" w:rsidTr="00565313">
        <w:tc>
          <w:tcPr>
            <w:tcW w:w="4536" w:type="dxa"/>
            <w:tcBorders>
              <w:top w:val="nil"/>
              <w:left w:val="single" w:sz="4" w:space="0" w:color="auto"/>
              <w:bottom w:val="nil"/>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 xml:space="preserve">ostatné príjmy </w:t>
            </w:r>
          </w:p>
        </w:tc>
        <w:tc>
          <w:tcPr>
            <w:tcW w:w="1347" w:type="dxa"/>
            <w:tcBorders>
              <w:top w:val="nil"/>
              <w:left w:val="nil"/>
              <w:bottom w:val="nil"/>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460 335</w:t>
            </w:r>
          </w:p>
        </w:tc>
        <w:tc>
          <w:tcPr>
            <w:tcW w:w="1347" w:type="dxa"/>
            <w:tcBorders>
              <w:top w:val="nil"/>
              <w:left w:val="nil"/>
              <w:bottom w:val="nil"/>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461 274</w:t>
            </w:r>
          </w:p>
        </w:tc>
        <w:tc>
          <w:tcPr>
            <w:tcW w:w="1063" w:type="dxa"/>
            <w:tcBorders>
              <w:top w:val="nil"/>
              <w:left w:val="nil"/>
              <w:bottom w:val="nil"/>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939</w:t>
            </w:r>
          </w:p>
        </w:tc>
        <w:tc>
          <w:tcPr>
            <w:tcW w:w="1063" w:type="dxa"/>
            <w:tcBorders>
              <w:top w:val="nil"/>
              <w:left w:val="nil"/>
              <w:bottom w:val="nil"/>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100,20</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i/>
                <w:iCs/>
                <w:sz w:val="22"/>
                <w:szCs w:val="22"/>
              </w:rPr>
            </w:pPr>
            <w:r w:rsidRPr="00AA736D">
              <w:rPr>
                <w:rFonts w:cs="Arial"/>
                <w:i/>
                <w:iCs/>
                <w:sz w:val="22"/>
                <w:szCs w:val="22"/>
              </w:rPr>
              <w:t xml:space="preserve">  z toho príjmy zo ŠR SR</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452 982</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452 983</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100,00</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príspevky na SDS zaplatené zamestnávateľom po uplynutí 60 dní</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5 791</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2 035</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-3 756</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35,14</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2"/>
                <w:szCs w:val="22"/>
              </w:rPr>
            </w:pPr>
            <w:r w:rsidRPr="00AA736D">
              <w:rPr>
                <w:rFonts w:cs="Arial"/>
                <w:sz w:val="22"/>
                <w:szCs w:val="22"/>
              </w:rPr>
              <w:t>príjmy správneho fondu  z príspevkov na SDS (EAO a z otvorenia II. piliera)</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554</w:t>
            </w:r>
          </w:p>
        </w:tc>
        <w:tc>
          <w:tcPr>
            <w:tcW w:w="1347"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5 090</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4 536</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918,77</w:t>
            </w:r>
          </w:p>
        </w:tc>
      </w:tr>
      <w:tr w:rsidR="00AA736D" w:rsidRPr="00AA736D" w:rsidTr="00565313">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príjmy z otvorenia II. piliera</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0</w:t>
            </w:r>
          </w:p>
        </w:tc>
        <w:tc>
          <w:tcPr>
            <w:tcW w:w="1347"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486 983</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486 983</w:t>
            </w:r>
          </w:p>
        </w:tc>
        <w:tc>
          <w:tcPr>
            <w:tcW w:w="106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22"/>
                <w:szCs w:val="22"/>
              </w:rPr>
            </w:pPr>
            <w:r w:rsidRPr="00AA736D">
              <w:rPr>
                <w:rFonts w:cs="Arial"/>
                <w:sz w:val="22"/>
                <w:szCs w:val="22"/>
              </w:rPr>
              <w:t>.</w:t>
            </w:r>
          </w:p>
        </w:tc>
      </w:tr>
    </w:tbl>
    <w:p w:rsidR="00AA736D" w:rsidRPr="00AA736D" w:rsidRDefault="00AA736D" w:rsidP="00AA736D">
      <w:pPr>
        <w:tabs>
          <w:tab w:val="left" w:pos="4680"/>
          <w:tab w:val="decimal" w:pos="8080"/>
        </w:tabs>
        <w:spacing w:after="120"/>
        <w:jc w:val="both"/>
        <w:rPr>
          <w:rFonts w:cs="Arial"/>
          <w:b/>
          <w:szCs w:val="24"/>
        </w:rPr>
      </w:pPr>
    </w:p>
    <w:p w:rsidR="00AA736D" w:rsidRPr="00AA736D" w:rsidRDefault="00AA736D" w:rsidP="00AA736D">
      <w:pPr>
        <w:spacing w:before="240" w:after="120"/>
        <w:ind w:firstLine="709"/>
        <w:jc w:val="both"/>
        <w:rPr>
          <w:rFonts w:cs="Arial"/>
          <w:szCs w:val="24"/>
        </w:rPr>
      </w:pPr>
      <w:r w:rsidRPr="00AA736D">
        <w:rPr>
          <w:rFonts w:cs="Arial"/>
          <w:b/>
          <w:bCs/>
          <w:szCs w:val="24"/>
        </w:rPr>
        <w:t xml:space="preserve">V absolútnom vyjadrení je plnenie príjmov celkom oproti časovému rozpisu vyššie o 539 519 tis. Eur. </w:t>
      </w:r>
      <w:r w:rsidRPr="00AA736D">
        <w:rPr>
          <w:rFonts w:cs="Arial"/>
        </w:rPr>
        <w:t xml:space="preserve">Plnenie príjmov od </w:t>
      </w:r>
      <w:r w:rsidRPr="00AA736D">
        <w:rPr>
          <w:rFonts w:cs="Arial"/>
          <w:b/>
        </w:rPr>
        <w:t>EAO z bežného poistného</w:t>
      </w:r>
      <w:r w:rsidRPr="00AA736D">
        <w:rPr>
          <w:rFonts w:cs="Arial"/>
        </w:rPr>
        <w:t xml:space="preserve"> je, </w:t>
      </w:r>
      <w:r w:rsidRPr="00AA736D">
        <w:rPr>
          <w:rFonts w:cs="Arial"/>
          <w:szCs w:val="24"/>
        </w:rPr>
        <w:t>v porovnaní s  časovým rozpisom,</w:t>
      </w:r>
      <w:r w:rsidRPr="00AA736D">
        <w:rPr>
          <w:rFonts w:cs="Arial"/>
        </w:rPr>
        <w:t xml:space="preserve"> </w:t>
      </w:r>
      <w:r w:rsidRPr="00AA736D">
        <w:rPr>
          <w:rFonts w:cs="Arial"/>
          <w:b/>
        </w:rPr>
        <w:t xml:space="preserve">vyššie o 69 282 tis. Eur. </w:t>
      </w:r>
      <w:r w:rsidRPr="00AA736D">
        <w:rPr>
          <w:rFonts w:cs="Arial"/>
          <w:szCs w:val="24"/>
        </w:rPr>
        <w:t>Plnenie</w:t>
      </w:r>
      <w:r w:rsidRPr="00AA736D">
        <w:rPr>
          <w:rFonts w:cs="Arial"/>
          <w:b/>
          <w:bCs/>
          <w:szCs w:val="24"/>
        </w:rPr>
        <w:t xml:space="preserve"> </w:t>
      </w:r>
      <w:r w:rsidRPr="00AA736D">
        <w:rPr>
          <w:rFonts w:cs="Arial"/>
          <w:szCs w:val="24"/>
        </w:rPr>
        <w:t>príjmov z </w:t>
      </w:r>
      <w:r w:rsidRPr="00AA736D">
        <w:rPr>
          <w:rFonts w:cs="Arial"/>
          <w:b/>
          <w:bCs/>
          <w:szCs w:val="24"/>
        </w:rPr>
        <w:t>dlžného poistného</w:t>
      </w:r>
      <w:r w:rsidRPr="00AA736D">
        <w:rPr>
          <w:rFonts w:cs="Arial"/>
          <w:szCs w:val="24"/>
        </w:rPr>
        <w:t xml:space="preserve"> je v porovnaní s časovým rozpisom </w:t>
      </w:r>
      <w:r w:rsidRPr="00AA736D">
        <w:rPr>
          <w:rFonts w:cs="Arial"/>
          <w:b/>
          <w:szCs w:val="24"/>
        </w:rPr>
        <w:t>nižšie o</w:t>
      </w:r>
      <w:r w:rsidRPr="00AA736D">
        <w:rPr>
          <w:rFonts w:cs="Arial"/>
          <w:b/>
          <w:bCs/>
          <w:szCs w:val="24"/>
        </w:rPr>
        <w:t xml:space="preserve"> 10 303 tis. Eur. </w:t>
      </w:r>
      <w:r w:rsidRPr="00AA736D">
        <w:rPr>
          <w:rFonts w:cs="Arial"/>
          <w:szCs w:val="24"/>
        </w:rPr>
        <w:t xml:space="preserve">Súčasťou príjmov Sociálnej poisťovne v mesiacoch január až jún 2015 sú príjmy z otvorenia II. piliera v objeme 486 983 tis. Eur, ktoré v hodnotenom období pozitívne ovplyvňujú plnenie príjmov Sociálnej poisťovne. </w:t>
      </w:r>
    </w:p>
    <w:p w:rsidR="00AA736D" w:rsidRPr="00AA736D" w:rsidRDefault="00AA736D" w:rsidP="00AA736D">
      <w:pPr>
        <w:spacing w:before="240"/>
        <w:ind w:firstLine="720"/>
        <w:jc w:val="both"/>
        <w:rPr>
          <w:rFonts w:cs="Arial"/>
          <w:szCs w:val="24"/>
        </w:rPr>
      </w:pPr>
      <w:r w:rsidRPr="00AA736D">
        <w:rPr>
          <w:rFonts w:cs="Arial"/>
          <w:szCs w:val="24"/>
        </w:rPr>
        <w:t>Transfer finančných prostriedkov zo ŠR SR, ktorý je určený na krytie deficitu vzniknutého v dôsledku zavedenia II. piliera a ako finančná výpomoc z dôvodu platobnej neschopnosti základného fondu starobného poistenia, v zmysle § 157 ods. 4 zákona o sociálnom poistení, bol Sociálnej poisťovni poskytnutý prostredníctvom výdavkového účtu MF SR vo výške 452 983 tis. Eur.</w:t>
      </w:r>
      <w:r w:rsidRPr="00AA736D">
        <w:rPr>
          <w:rFonts w:cs="Arial"/>
        </w:rPr>
        <w:t xml:space="preserve"> </w:t>
      </w:r>
    </w:p>
    <w:p w:rsidR="00AA736D" w:rsidRPr="00AA736D" w:rsidRDefault="00AA736D" w:rsidP="00AA736D">
      <w:pPr>
        <w:tabs>
          <w:tab w:val="decimal" w:pos="8280"/>
          <w:tab w:val="right" w:pos="8820"/>
          <w:tab w:val="right" w:pos="9000"/>
        </w:tabs>
        <w:spacing w:before="240"/>
        <w:ind w:firstLine="709"/>
        <w:jc w:val="both"/>
        <w:rPr>
          <w:rFonts w:cs="Arial"/>
        </w:rPr>
      </w:pPr>
      <w:r w:rsidRPr="00AA736D">
        <w:rPr>
          <w:rFonts w:cs="Arial"/>
        </w:rPr>
        <w:t>V príjmoch od EAO sú zahrnuté príjmy z poistného od zamestnancov, zamestnávateľov, samostatne zárobkovo činných osôb a dobrovoľne poistených osôb.</w:t>
      </w:r>
    </w:p>
    <w:p w:rsidR="00AA736D" w:rsidRPr="00AA736D" w:rsidRDefault="00AA736D" w:rsidP="00AA736D">
      <w:pPr>
        <w:tabs>
          <w:tab w:val="decimal" w:pos="8280"/>
          <w:tab w:val="right" w:pos="8820"/>
          <w:tab w:val="right" w:pos="9000"/>
        </w:tabs>
        <w:spacing w:before="240"/>
        <w:ind w:firstLine="709"/>
        <w:jc w:val="both"/>
        <w:rPr>
          <w:rFonts w:cs="Arial"/>
        </w:rPr>
      </w:pPr>
      <w:r w:rsidRPr="00AA736D">
        <w:rPr>
          <w:rFonts w:cs="Arial"/>
        </w:rPr>
        <w:lastRenderedPageBreak/>
        <w:t>Podľa jednotlivých druhov poistenia boli príjmy z bežného poistného od EAO v mesiacoch január až jún 2015:</w:t>
      </w:r>
    </w:p>
    <w:tbl>
      <w:tblPr>
        <w:tblW w:w="0" w:type="auto"/>
        <w:tblInd w:w="212" w:type="dxa"/>
        <w:tblCellMar>
          <w:left w:w="70" w:type="dxa"/>
          <w:right w:w="70" w:type="dxa"/>
        </w:tblCellMar>
        <w:tblLook w:val="04A0" w:firstRow="1" w:lastRow="0" w:firstColumn="1" w:lastColumn="0" w:noHBand="0" w:noVBand="1"/>
      </w:tblPr>
      <w:tblGrid>
        <w:gridCol w:w="3827"/>
        <w:gridCol w:w="1276"/>
        <w:gridCol w:w="1276"/>
        <w:gridCol w:w="1276"/>
        <w:gridCol w:w="1275"/>
      </w:tblGrid>
      <w:tr w:rsidR="00AA736D" w:rsidRPr="00AA736D" w:rsidTr="00565313">
        <w:tc>
          <w:tcPr>
            <w:tcW w:w="3827" w:type="dxa"/>
            <w:tcBorders>
              <w:top w:val="nil"/>
              <w:left w:val="nil"/>
              <w:bottom w:val="single" w:sz="4" w:space="0" w:color="auto"/>
              <w:right w:val="nil"/>
            </w:tcBorders>
            <w:shd w:val="clear" w:color="auto" w:fill="auto"/>
            <w:noWrap/>
            <w:vAlign w:val="bottom"/>
            <w:hideMark/>
          </w:tcPr>
          <w:p w:rsidR="00AA736D" w:rsidRPr="00AA736D" w:rsidRDefault="00AA736D" w:rsidP="00AA736D">
            <w:pPr>
              <w:rPr>
                <w:rFonts w:cs="Arial"/>
                <w:sz w:val="22"/>
                <w:szCs w:val="22"/>
              </w:rPr>
            </w:pPr>
          </w:p>
        </w:tc>
        <w:tc>
          <w:tcPr>
            <w:tcW w:w="1276" w:type="dxa"/>
            <w:tcBorders>
              <w:top w:val="nil"/>
              <w:left w:val="nil"/>
              <w:bottom w:val="single" w:sz="4" w:space="0" w:color="auto"/>
              <w:right w:val="nil"/>
            </w:tcBorders>
            <w:shd w:val="clear" w:color="auto" w:fill="auto"/>
            <w:noWrap/>
            <w:vAlign w:val="bottom"/>
            <w:hideMark/>
          </w:tcPr>
          <w:p w:rsidR="00AA736D" w:rsidRPr="00AA736D" w:rsidRDefault="00AA736D" w:rsidP="00AA736D">
            <w:pPr>
              <w:rPr>
                <w:rFonts w:cs="Arial"/>
                <w:sz w:val="22"/>
                <w:szCs w:val="22"/>
              </w:rPr>
            </w:pPr>
          </w:p>
        </w:tc>
        <w:tc>
          <w:tcPr>
            <w:tcW w:w="1276" w:type="dxa"/>
            <w:tcBorders>
              <w:top w:val="nil"/>
              <w:left w:val="nil"/>
              <w:bottom w:val="single" w:sz="4" w:space="0" w:color="auto"/>
              <w:right w:val="nil"/>
            </w:tcBorders>
            <w:shd w:val="clear" w:color="auto" w:fill="auto"/>
            <w:noWrap/>
            <w:vAlign w:val="bottom"/>
            <w:hideMark/>
          </w:tcPr>
          <w:p w:rsidR="00AA736D" w:rsidRPr="00AA736D" w:rsidRDefault="00AA736D" w:rsidP="00AA736D">
            <w:pPr>
              <w:rPr>
                <w:rFonts w:cs="Arial"/>
                <w:sz w:val="22"/>
                <w:szCs w:val="22"/>
              </w:rPr>
            </w:pPr>
          </w:p>
        </w:tc>
        <w:tc>
          <w:tcPr>
            <w:tcW w:w="1276" w:type="dxa"/>
            <w:tcBorders>
              <w:top w:val="nil"/>
              <w:left w:val="nil"/>
              <w:bottom w:val="single" w:sz="4" w:space="0" w:color="auto"/>
              <w:right w:val="nil"/>
            </w:tcBorders>
            <w:shd w:val="clear" w:color="auto" w:fill="auto"/>
            <w:noWrap/>
            <w:vAlign w:val="bottom"/>
            <w:hideMark/>
          </w:tcPr>
          <w:p w:rsidR="00AA736D" w:rsidRPr="00AA736D" w:rsidRDefault="00AA736D" w:rsidP="00AA736D">
            <w:pPr>
              <w:rPr>
                <w:rFonts w:cs="Arial"/>
                <w:sz w:val="22"/>
                <w:szCs w:val="22"/>
              </w:rPr>
            </w:pPr>
          </w:p>
        </w:tc>
        <w:tc>
          <w:tcPr>
            <w:tcW w:w="1275" w:type="dxa"/>
            <w:tcBorders>
              <w:top w:val="nil"/>
              <w:left w:val="nil"/>
              <w:bottom w:val="single" w:sz="4" w:space="0" w:color="auto"/>
              <w:right w:val="nil"/>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v tis. Eur</w:t>
            </w:r>
          </w:p>
        </w:tc>
      </w:tr>
      <w:tr w:rsidR="00AA736D" w:rsidRPr="00AA736D" w:rsidTr="00565313">
        <w:trPr>
          <w:trHeight w:val="69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Príjmy z bežného poistného od EAO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Časový rozpis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Skutočnosť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Rozdiel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plnenia 2/1</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4</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Nemocenské poistenie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239 256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251 495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12 239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105,12</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Starobné poistenie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1 344 914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1 371 865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26 951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102,00</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Invalidné poistenie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494 021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508 515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14 494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102,93</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Úrazové poistenie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69 213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70 305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1 092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101,58</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Garančné poistenie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17 267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16 846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-421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97,56</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Poistenie v nezamestnanosti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150 911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158 458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7 547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105,00</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Rezervný fond solidarity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411 829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419 209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7 380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101,79</w:t>
            </w:r>
          </w:p>
        </w:tc>
      </w:tr>
      <w:tr w:rsidR="00AA736D" w:rsidRPr="00AA736D" w:rsidTr="00565313">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Spolu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2 727 411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2 796 693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2"/>
                <w:szCs w:val="22"/>
              </w:rPr>
            </w:pPr>
            <w:r w:rsidRPr="00AA736D">
              <w:rPr>
                <w:rFonts w:cs="Arial"/>
                <w:sz w:val="22"/>
                <w:szCs w:val="22"/>
              </w:rPr>
              <w:t>69 282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2"/>
                <w:szCs w:val="22"/>
              </w:rPr>
            </w:pPr>
            <w:r w:rsidRPr="00AA736D">
              <w:rPr>
                <w:rFonts w:cs="Arial"/>
                <w:sz w:val="22"/>
                <w:szCs w:val="22"/>
              </w:rPr>
              <w:t>102,54</w:t>
            </w:r>
          </w:p>
        </w:tc>
      </w:tr>
    </w:tbl>
    <w:p w:rsidR="00AA736D" w:rsidRPr="00AA736D" w:rsidRDefault="00AA736D" w:rsidP="00AA736D">
      <w:pPr>
        <w:tabs>
          <w:tab w:val="left" w:pos="709"/>
          <w:tab w:val="decimal" w:pos="8280"/>
        </w:tabs>
        <w:spacing w:before="240" w:after="120"/>
        <w:ind w:firstLine="720"/>
        <w:jc w:val="both"/>
        <w:rPr>
          <w:rFonts w:cs="Arial"/>
          <w:szCs w:val="24"/>
        </w:rPr>
      </w:pPr>
      <w:r w:rsidRPr="00AA736D">
        <w:rPr>
          <w:rFonts w:cs="Arial"/>
          <w:szCs w:val="24"/>
        </w:rPr>
        <w:t>Počty SZČO platiacich v mesiacoch január až jún 2015 na sociálne poistenie z minimálneho vymeriavacieho základu v triedení podľa jednotlivých druhov poistenia sú:</w:t>
      </w:r>
    </w:p>
    <w:tbl>
      <w:tblPr>
        <w:tblW w:w="9121" w:type="dxa"/>
        <w:tblInd w:w="212" w:type="dxa"/>
        <w:tblCellMar>
          <w:left w:w="70" w:type="dxa"/>
          <w:right w:w="70" w:type="dxa"/>
        </w:tblCellMar>
        <w:tblLook w:val="04A0" w:firstRow="1" w:lastRow="0" w:firstColumn="1" w:lastColumn="0" w:noHBand="0" w:noVBand="1"/>
      </w:tblPr>
      <w:tblGrid>
        <w:gridCol w:w="4253"/>
        <w:gridCol w:w="2316"/>
        <w:gridCol w:w="2552"/>
      </w:tblGrid>
      <w:tr w:rsidR="00AA736D" w:rsidRPr="00AA736D" w:rsidTr="00565313">
        <w:trPr>
          <w:trHeight w:val="51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2"/>
                <w:szCs w:val="22"/>
              </w:rPr>
            </w:pPr>
            <w:r w:rsidRPr="00AA736D">
              <w:rPr>
                <w:rFonts w:cs="Arial"/>
                <w:sz w:val="22"/>
                <w:szCs w:val="22"/>
              </w:rPr>
              <w:t>Fond</w:t>
            </w:r>
          </w:p>
        </w:tc>
        <w:tc>
          <w:tcPr>
            <w:tcW w:w="2316"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2"/>
                <w:szCs w:val="22"/>
              </w:rPr>
            </w:pPr>
            <w:r w:rsidRPr="00AA736D">
              <w:rPr>
                <w:rFonts w:cs="Arial"/>
                <w:sz w:val="22"/>
                <w:szCs w:val="22"/>
              </w:rPr>
              <w:t>počet samostatne zárobkovo činných osôb</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2"/>
                <w:szCs w:val="22"/>
              </w:rPr>
            </w:pPr>
            <w:r w:rsidRPr="00AA736D">
              <w:rPr>
                <w:rFonts w:cs="Arial"/>
                <w:sz w:val="22"/>
                <w:szCs w:val="22"/>
              </w:rPr>
              <w:t>%-</w:t>
            </w:r>
            <w:proofErr w:type="spellStart"/>
            <w:r w:rsidRPr="00AA736D">
              <w:rPr>
                <w:rFonts w:cs="Arial"/>
                <w:sz w:val="22"/>
                <w:szCs w:val="22"/>
              </w:rPr>
              <w:t>ny</w:t>
            </w:r>
            <w:proofErr w:type="spellEnd"/>
            <w:r w:rsidRPr="00AA736D">
              <w:rPr>
                <w:rFonts w:cs="Arial"/>
                <w:sz w:val="22"/>
                <w:szCs w:val="22"/>
              </w:rPr>
              <w:t xml:space="preserve"> podiel z celkového počtu samostatne zárobkovo činných osôb</w:t>
            </w:r>
          </w:p>
        </w:tc>
      </w:tr>
      <w:tr w:rsidR="00AA736D" w:rsidRPr="00AA736D" w:rsidTr="00565313">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Základný fond nemocenského poistenia</w:t>
            </w:r>
          </w:p>
        </w:tc>
        <w:tc>
          <w:tcPr>
            <w:tcW w:w="2316"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142 634</w:t>
            </w:r>
          </w:p>
        </w:tc>
        <w:tc>
          <w:tcPr>
            <w:tcW w:w="2552"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76,93%</w:t>
            </w:r>
          </w:p>
        </w:tc>
      </w:tr>
      <w:tr w:rsidR="00AA736D" w:rsidRPr="00AA736D" w:rsidTr="00565313">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Základný fond starobného poistenia</w:t>
            </w:r>
          </w:p>
        </w:tc>
        <w:tc>
          <w:tcPr>
            <w:tcW w:w="2316"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142 634</w:t>
            </w:r>
          </w:p>
        </w:tc>
        <w:tc>
          <w:tcPr>
            <w:tcW w:w="2552"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76,94%</w:t>
            </w:r>
          </w:p>
        </w:tc>
      </w:tr>
      <w:tr w:rsidR="00AA736D" w:rsidRPr="00AA736D" w:rsidTr="00565313">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Základný fond invalidného poistenia</w:t>
            </w:r>
          </w:p>
        </w:tc>
        <w:tc>
          <w:tcPr>
            <w:tcW w:w="2316"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134 588</w:t>
            </w:r>
          </w:p>
        </w:tc>
        <w:tc>
          <w:tcPr>
            <w:tcW w:w="2552"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77,28%</w:t>
            </w:r>
          </w:p>
        </w:tc>
      </w:tr>
      <w:tr w:rsidR="00AA736D" w:rsidRPr="00AA736D" w:rsidTr="00565313">
        <w:trPr>
          <w:trHeight w:val="25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Rezervný fond solidarity</w:t>
            </w:r>
          </w:p>
        </w:tc>
        <w:tc>
          <w:tcPr>
            <w:tcW w:w="2316"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142 666</w:t>
            </w:r>
          </w:p>
        </w:tc>
        <w:tc>
          <w:tcPr>
            <w:tcW w:w="2552"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76,92%</w:t>
            </w:r>
          </w:p>
        </w:tc>
      </w:tr>
    </w:tbl>
    <w:p w:rsidR="00AA736D" w:rsidRPr="00AA736D" w:rsidRDefault="00AA736D" w:rsidP="00AA736D"/>
    <w:p w:rsidR="00AA736D" w:rsidRPr="00AA736D" w:rsidRDefault="00AA736D" w:rsidP="00AA736D">
      <w:pPr>
        <w:tabs>
          <w:tab w:val="left" w:pos="709"/>
          <w:tab w:val="decimal" w:pos="8280"/>
        </w:tabs>
        <w:spacing w:before="120" w:after="120"/>
        <w:ind w:firstLine="720"/>
        <w:jc w:val="both"/>
        <w:rPr>
          <w:rFonts w:cs="Arial"/>
          <w:b/>
        </w:rPr>
      </w:pPr>
      <w:r w:rsidRPr="00AA736D">
        <w:rPr>
          <w:rFonts w:cs="Arial"/>
          <w:b/>
        </w:rPr>
        <w:t>Ukazovateľ úspešnosti výberu poistného a príspevkov na SDS</w:t>
      </w:r>
      <w:r w:rsidRPr="00AA736D">
        <w:rPr>
          <w:rFonts w:cs="Arial"/>
        </w:rPr>
        <w:t xml:space="preserve"> (ďalej len "úspešnosť výberu poistného") vyjadruje platobnú disciplínu odvádzateľov (právnických a fyzických osôb) voči Sociálnej poisťovni, ako aj úroveň vzájomnej komunikácie odvádzateľov poistného a pobočiek Sociálnej poisťovne (ďalej len „pobočky“), vrátane kvality práce pobočiek s pohľadávkami súvisiacimi s nezaplateným poistným. </w:t>
      </w:r>
      <w:r w:rsidRPr="00AA736D">
        <w:rPr>
          <w:rFonts w:cs="Arial"/>
          <w:b/>
        </w:rPr>
        <w:t xml:space="preserve">Ukazovateľ úspešnosti výberu poistného </w:t>
      </w:r>
      <w:r w:rsidRPr="00AA736D">
        <w:rPr>
          <w:rFonts w:cs="Arial"/>
        </w:rPr>
        <w:t>je stanovený ako pomer uhradeného predpísaného poistného a príspevkov na SDS, pokút a penále a ich predpisu. V mesiacoch január až jún 2015 je jeho hodnota</w:t>
      </w:r>
      <w:r w:rsidRPr="00AA736D">
        <w:rPr>
          <w:rFonts w:cs="Arial"/>
          <w:b/>
        </w:rPr>
        <w:t xml:space="preserve"> 100,43 %.</w:t>
      </w:r>
    </w:p>
    <w:p w:rsidR="00AA736D" w:rsidRPr="00AA736D" w:rsidRDefault="00AA736D" w:rsidP="00AA736D">
      <w:pPr>
        <w:tabs>
          <w:tab w:val="left" w:pos="720"/>
          <w:tab w:val="decimal" w:pos="8280"/>
        </w:tabs>
        <w:spacing w:before="240" w:after="120"/>
      </w:pPr>
      <w:r w:rsidRPr="00AA736D">
        <w:rPr>
          <w:b/>
        </w:rPr>
        <w:t>1.1.</w:t>
      </w:r>
      <w:r w:rsidRPr="00AA736D">
        <w:rPr>
          <w:b/>
        </w:rPr>
        <w:tab/>
        <w:t xml:space="preserve">Poistné štátu </w:t>
      </w:r>
      <w:r w:rsidRPr="00AA736D">
        <w:t>(vrátane príjmov správneho fondu vo výške 0,25  % z príspevkov na SDS za sporiteľov štátu)</w:t>
      </w:r>
      <w:r w:rsidRPr="00AA736D">
        <w:rPr>
          <w:b/>
        </w:rPr>
        <w:t xml:space="preserve"> </w:t>
      </w:r>
      <w:r w:rsidRPr="00AA736D">
        <w:t xml:space="preserve">bolo vo výške </w:t>
      </w:r>
      <w:r w:rsidRPr="00AA736D">
        <w:tab/>
      </w:r>
      <w:r w:rsidRPr="00AA736D">
        <w:rPr>
          <w:b/>
        </w:rPr>
        <w:t xml:space="preserve">95 879 tis. Eur, </w:t>
      </w:r>
      <w:r w:rsidRPr="00AA736D">
        <w:rPr>
          <w:b/>
        </w:rPr>
        <w:br/>
      </w:r>
      <w:r w:rsidRPr="00AA736D">
        <w:t>čo je 43,21 %-</w:t>
      </w:r>
      <w:proofErr w:type="spellStart"/>
      <w:r w:rsidRPr="00AA736D">
        <w:t>né</w:t>
      </w:r>
      <w:proofErr w:type="spellEnd"/>
      <w:r w:rsidRPr="00AA736D">
        <w:t xml:space="preserve"> plnenie schváleného rozpočtu na rok 2015</w:t>
      </w:r>
      <w:r w:rsidRPr="00AA736D">
        <w:br/>
        <w:t>vo výške</w:t>
      </w:r>
      <w:r w:rsidRPr="00AA736D">
        <w:tab/>
        <w:t>221 877 tis. Eur</w:t>
      </w:r>
      <w:r w:rsidRPr="00AA736D">
        <w:br/>
      </w:r>
      <w:r w:rsidRPr="00AA736D">
        <w:rPr>
          <w:rFonts w:cs="Arial"/>
          <w:szCs w:val="24"/>
        </w:rPr>
        <w:t>a 91,00 %-</w:t>
      </w:r>
      <w:proofErr w:type="spellStart"/>
      <w:r w:rsidRPr="00AA736D">
        <w:rPr>
          <w:rFonts w:cs="Arial"/>
          <w:szCs w:val="24"/>
        </w:rPr>
        <w:t>né</w:t>
      </w:r>
      <w:proofErr w:type="spellEnd"/>
      <w:r w:rsidRPr="00AA736D">
        <w:rPr>
          <w:rFonts w:cs="Arial"/>
          <w:szCs w:val="24"/>
        </w:rPr>
        <w:t xml:space="preserve"> plnenie časového rozpisu vo výške</w:t>
      </w:r>
      <w:r w:rsidRPr="00AA736D">
        <w:rPr>
          <w:rFonts w:cs="Arial"/>
          <w:szCs w:val="24"/>
        </w:rPr>
        <w:tab/>
        <w:t>105 361 tis. Eur</w:t>
      </w:r>
      <w:r w:rsidRPr="00AA736D">
        <w:t>.</w:t>
      </w:r>
    </w:p>
    <w:p w:rsidR="00AA736D" w:rsidRPr="00AA736D" w:rsidRDefault="00AA736D" w:rsidP="00AA736D">
      <w:pPr>
        <w:tabs>
          <w:tab w:val="left" w:pos="709"/>
          <w:tab w:val="left" w:pos="5025"/>
        </w:tabs>
        <w:spacing w:before="240" w:after="120"/>
        <w:ind w:firstLine="720"/>
        <w:rPr>
          <w:szCs w:val="24"/>
        </w:rPr>
      </w:pPr>
      <w:r w:rsidRPr="00AA736D">
        <w:rPr>
          <w:szCs w:val="24"/>
        </w:rPr>
        <w:t>Plnenie rozpočtu v tis. Eur:</w:t>
      </w:r>
    </w:p>
    <w:tbl>
      <w:tblPr>
        <w:tblW w:w="9077" w:type="dxa"/>
        <w:tblInd w:w="65" w:type="dxa"/>
        <w:tblCellMar>
          <w:left w:w="70" w:type="dxa"/>
          <w:right w:w="70" w:type="dxa"/>
        </w:tblCellMar>
        <w:tblLook w:val="04A0" w:firstRow="1" w:lastRow="0" w:firstColumn="1" w:lastColumn="0" w:noHBand="0" w:noVBand="1"/>
      </w:tblPr>
      <w:tblGrid>
        <w:gridCol w:w="4258"/>
        <w:gridCol w:w="1559"/>
        <w:gridCol w:w="1276"/>
        <w:gridCol w:w="992"/>
        <w:gridCol w:w="992"/>
      </w:tblGrid>
      <w:tr w:rsidR="00AA736D" w:rsidRPr="00AA736D" w:rsidTr="00565313">
        <w:trPr>
          <w:trHeight w:val="510"/>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 xml:space="preserve">Príjmy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Časový rozpis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Skutočnosť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 xml:space="preserve">Rozdiel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 plnenia 2/1</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a</w:t>
            </w:r>
          </w:p>
        </w:tc>
        <w:tc>
          <w:tcPr>
            <w:tcW w:w="1559"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1</w:t>
            </w:r>
          </w:p>
        </w:tc>
        <w:tc>
          <w:tcPr>
            <w:tcW w:w="1276"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2</w:t>
            </w:r>
          </w:p>
        </w:tc>
        <w:tc>
          <w:tcPr>
            <w:tcW w:w="992"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0"/>
              </w:rPr>
            </w:pPr>
            <w:r w:rsidRPr="00AA736D">
              <w:rPr>
                <w:rFonts w:cs="Arial"/>
                <w:sz w:val="20"/>
              </w:rPr>
              <w:t>3</w:t>
            </w:r>
          </w:p>
        </w:tc>
        <w:tc>
          <w:tcPr>
            <w:tcW w:w="99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4</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0"/>
              </w:rPr>
            </w:pPr>
            <w:r w:rsidRPr="00AA736D">
              <w:rPr>
                <w:rFonts w:cs="Arial"/>
                <w:sz w:val="20"/>
              </w:rPr>
              <w:t>Starobné poistenie</w:t>
            </w:r>
          </w:p>
        </w:tc>
        <w:tc>
          <w:tcPr>
            <w:tcW w:w="1559"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68 461</w:t>
            </w:r>
          </w:p>
        </w:tc>
        <w:tc>
          <w:tcPr>
            <w:tcW w:w="1276"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62 744</w:t>
            </w:r>
          </w:p>
        </w:tc>
        <w:tc>
          <w:tcPr>
            <w:tcW w:w="992"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-5 717</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91,65</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0"/>
              </w:rPr>
            </w:pPr>
            <w:r w:rsidRPr="00AA736D">
              <w:rPr>
                <w:rFonts w:cs="Arial"/>
                <w:sz w:val="20"/>
              </w:rPr>
              <w:t>Invalidné poistenie</w:t>
            </w:r>
          </w:p>
        </w:tc>
        <w:tc>
          <w:tcPr>
            <w:tcW w:w="1559"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27 652</w:t>
            </w:r>
          </w:p>
        </w:tc>
        <w:tc>
          <w:tcPr>
            <w:tcW w:w="1276"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24 933</w:t>
            </w:r>
          </w:p>
        </w:tc>
        <w:tc>
          <w:tcPr>
            <w:tcW w:w="992"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-2 719</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90,17</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0"/>
              </w:rPr>
            </w:pPr>
            <w:r w:rsidRPr="00AA736D">
              <w:rPr>
                <w:rFonts w:cs="Arial"/>
                <w:sz w:val="20"/>
              </w:rPr>
              <w:t>Rezervný fond solidarity</w:t>
            </w:r>
          </w:p>
        </w:tc>
        <w:tc>
          <w:tcPr>
            <w:tcW w:w="1559"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9 212</w:t>
            </w:r>
          </w:p>
        </w:tc>
        <w:tc>
          <w:tcPr>
            <w:tcW w:w="1276"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8 176</w:t>
            </w:r>
          </w:p>
        </w:tc>
        <w:tc>
          <w:tcPr>
            <w:tcW w:w="992"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-1 036</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88,75</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0"/>
              </w:rPr>
            </w:pPr>
            <w:r w:rsidRPr="00AA736D">
              <w:rPr>
                <w:rFonts w:cs="Arial"/>
                <w:sz w:val="20"/>
              </w:rPr>
              <w:t>Príjmy správneho fondu  z príspevkov na SDS za poistencov štátu</w:t>
            </w:r>
          </w:p>
        </w:tc>
        <w:tc>
          <w:tcPr>
            <w:tcW w:w="1559"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36</w:t>
            </w:r>
          </w:p>
        </w:tc>
        <w:tc>
          <w:tcPr>
            <w:tcW w:w="1276"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26</w:t>
            </w:r>
          </w:p>
        </w:tc>
        <w:tc>
          <w:tcPr>
            <w:tcW w:w="992"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-10</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72,22</w:t>
            </w:r>
          </w:p>
        </w:tc>
      </w:tr>
      <w:tr w:rsidR="00AA736D" w:rsidRPr="00AA736D" w:rsidTr="00565313">
        <w:trPr>
          <w:trHeight w:val="255"/>
        </w:trPr>
        <w:tc>
          <w:tcPr>
            <w:tcW w:w="4258"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rPr>
                <w:rFonts w:cs="Arial"/>
                <w:sz w:val="20"/>
              </w:rPr>
            </w:pPr>
            <w:r w:rsidRPr="00AA736D">
              <w:rPr>
                <w:rFonts w:cs="Arial"/>
                <w:sz w:val="20"/>
              </w:rPr>
              <w:t>Spolu</w:t>
            </w:r>
          </w:p>
        </w:tc>
        <w:tc>
          <w:tcPr>
            <w:tcW w:w="1559"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105 361</w:t>
            </w:r>
          </w:p>
        </w:tc>
        <w:tc>
          <w:tcPr>
            <w:tcW w:w="1276"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95 879</w:t>
            </w:r>
          </w:p>
        </w:tc>
        <w:tc>
          <w:tcPr>
            <w:tcW w:w="992" w:type="dxa"/>
            <w:tcBorders>
              <w:top w:val="nil"/>
              <w:left w:val="nil"/>
              <w:bottom w:val="single" w:sz="4" w:space="0" w:color="auto"/>
              <w:right w:val="single" w:sz="4" w:space="0" w:color="auto"/>
            </w:tcBorders>
            <w:shd w:val="clear" w:color="auto" w:fill="auto"/>
            <w:vAlign w:val="bottom"/>
          </w:tcPr>
          <w:p w:rsidR="00AA736D" w:rsidRPr="00AA736D" w:rsidRDefault="00AA736D" w:rsidP="00AA736D">
            <w:pPr>
              <w:jc w:val="right"/>
              <w:rPr>
                <w:rFonts w:cs="Arial"/>
                <w:sz w:val="20"/>
              </w:rPr>
            </w:pPr>
            <w:r w:rsidRPr="00AA736D">
              <w:rPr>
                <w:rFonts w:cs="Arial"/>
                <w:sz w:val="20"/>
              </w:rPr>
              <w:t>-9 482</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91,00</w:t>
            </w:r>
          </w:p>
        </w:tc>
      </w:tr>
    </w:tbl>
    <w:p w:rsidR="00AA736D" w:rsidRPr="00AA736D" w:rsidRDefault="00AA736D" w:rsidP="00AA736D">
      <w:pPr>
        <w:tabs>
          <w:tab w:val="left" w:pos="6840"/>
        </w:tabs>
        <w:spacing w:before="240" w:after="120"/>
        <w:ind w:firstLine="720"/>
        <w:jc w:val="both"/>
      </w:pPr>
      <w:r w:rsidRPr="00AA736D">
        <w:lastRenderedPageBreak/>
        <w:t>Príjmy z poistného plateného štátom predstavujú finančné prostriedky, ktoré v hodnotenom období poukázalo MPSVR SR, znížené o  príspevky na SDS, ktoré Sociálna poisťovňa poukázala na príslušné účty DSS.</w:t>
      </w:r>
    </w:p>
    <w:p w:rsidR="00AA736D" w:rsidRPr="00AA736D" w:rsidRDefault="00AA736D" w:rsidP="00AA736D">
      <w:pPr>
        <w:tabs>
          <w:tab w:val="left" w:pos="720"/>
          <w:tab w:val="decimal" w:pos="8280"/>
        </w:tabs>
        <w:spacing w:before="240" w:after="120"/>
      </w:pPr>
      <w:r w:rsidRPr="00AA736D">
        <w:rPr>
          <w:b/>
        </w:rPr>
        <w:t>1.2.</w:t>
      </w:r>
      <w:r w:rsidRPr="00AA736D">
        <w:rPr>
          <w:b/>
        </w:rPr>
        <w:tab/>
        <w:t xml:space="preserve">Sociálna poisťovňa </w:t>
      </w:r>
      <w:r w:rsidRPr="00AA736D">
        <w:t xml:space="preserve">zaplatila poistné v sume </w:t>
      </w:r>
      <w:r w:rsidRPr="00AA736D">
        <w:tab/>
      </w:r>
      <w:r w:rsidRPr="00AA736D">
        <w:rPr>
          <w:b/>
        </w:rPr>
        <w:t>1 321 tis. Eur,</w:t>
      </w:r>
      <w:r w:rsidRPr="00AA736D">
        <w:br/>
        <w:t xml:space="preserve">čo je 52,84 %- </w:t>
      </w:r>
      <w:proofErr w:type="spellStart"/>
      <w:r w:rsidRPr="00AA736D">
        <w:t>né</w:t>
      </w:r>
      <w:proofErr w:type="spellEnd"/>
      <w:r w:rsidRPr="00AA736D">
        <w:t xml:space="preserve"> plnenie schváleného rozpočtu na rok 2015 v sume</w:t>
      </w:r>
      <w:r w:rsidRPr="00AA736D">
        <w:tab/>
        <w:t>2 500 tis. Eur</w:t>
      </w:r>
      <w:r w:rsidRPr="00AA736D">
        <w:br/>
      </w:r>
      <w:r w:rsidRPr="00AA736D">
        <w:rPr>
          <w:rFonts w:cs="Arial"/>
          <w:szCs w:val="24"/>
        </w:rPr>
        <w:t xml:space="preserve">a 110,92 %- </w:t>
      </w:r>
      <w:proofErr w:type="spellStart"/>
      <w:r w:rsidRPr="00AA736D">
        <w:rPr>
          <w:rFonts w:cs="Arial"/>
          <w:szCs w:val="24"/>
        </w:rPr>
        <w:t>né</w:t>
      </w:r>
      <w:proofErr w:type="spellEnd"/>
      <w:r w:rsidRPr="00AA736D">
        <w:rPr>
          <w:rFonts w:cs="Arial"/>
          <w:szCs w:val="24"/>
        </w:rPr>
        <w:t xml:space="preserve"> plnenie časového rozpisu v sume</w:t>
      </w:r>
      <w:r w:rsidRPr="00AA736D">
        <w:rPr>
          <w:rFonts w:cs="Arial"/>
          <w:szCs w:val="24"/>
        </w:rPr>
        <w:tab/>
        <w:t>1 191 tis. Eur</w:t>
      </w:r>
      <w:r w:rsidRPr="00AA736D">
        <w:t>.</w:t>
      </w:r>
    </w:p>
    <w:p w:rsidR="00AA736D" w:rsidRPr="00AA736D" w:rsidRDefault="00AA736D" w:rsidP="00AA736D">
      <w:pPr>
        <w:tabs>
          <w:tab w:val="decimal" w:pos="8280"/>
        </w:tabs>
        <w:spacing w:before="240" w:after="120"/>
        <w:ind w:firstLine="720"/>
        <w:jc w:val="both"/>
      </w:pPr>
      <w:r w:rsidRPr="00AA736D">
        <w:t>Uvedená suma predstavuje poistné uhradené zo základného fondu úrazového poistenia do základného fondu starobného poistenia.</w:t>
      </w:r>
    </w:p>
    <w:p w:rsidR="00AA736D" w:rsidRPr="00AA736D" w:rsidRDefault="00AA736D" w:rsidP="00AA736D">
      <w:pPr>
        <w:tabs>
          <w:tab w:val="left" w:pos="720"/>
          <w:tab w:val="decimal" w:pos="8280"/>
        </w:tabs>
        <w:spacing w:before="240" w:after="120"/>
        <w:rPr>
          <w:rFonts w:cs="Arial"/>
        </w:rPr>
      </w:pPr>
      <w:r w:rsidRPr="00AA736D">
        <w:rPr>
          <w:rFonts w:cs="Arial"/>
          <w:b/>
        </w:rPr>
        <w:t xml:space="preserve">1.3. </w:t>
      </w:r>
      <w:r w:rsidRPr="00AA736D">
        <w:rPr>
          <w:rFonts w:cs="Arial"/>
          <w:b/>
        </w:rPr>
        <w:tab/>
        <w:t xml:space="preserve">Ostatné príjmy </w:t>
      </w:r>
      <w:r w:rsidRPr="00AA736D">
        <w:rPr>
          <w:rFonts w:cs="Arial"/>
        </w:rPr>
        <w:t xml:space="preserve">(vrátane prostriedkov zo ŠR SR) dosiahli </w:t>
      </w:r>
      <w:r w:rsidRPr="00AA736D">
        <w:rPr>
          <w:rFonts w:cs="Arial"/>
        </w:rPr>
        <w:tab/>
      </w:r>
      <w:r w:rsidRPr="00AA736D">
        <w:rPr>
          <w:rFonts w:cs="Arial"/>
        </w:rPr>
        <w:br/>
        <w:t xml:space="preserve">výšku </w:t>
      </w:r>
      <w:r w:rsidRPr="00AA736D">
        <w:rPr>
          <w:rFonts w:cs="Arial"/>
        </w:rPr>
        <w:tab/>
      </w:r>
      <w:r w:rsidRPr="00AA736D">
        <w:rPr>
          <w:rFonts w:cs="Arial"/>
        </w:rPr>
        <w:tab/>
      </w:r>
      <w:r w:rsidRPr="00AA736D">
        <w:rPr>
          <w:rFonts w:cs="Arial"/>
          <w:b/>
        </w:rPr>
        <w:t>461 274 tis. Eur</w:t>
      </w:r>
      <w:r w:rsidRPr="00AA736D">
        <w:rPr>
          <w:rFonts w:cs="Arial"/>
          <w:b/>
        </w:rPr>
        <w:br/>
      </w:r>
      <w:r w:rsidRPr="00AA736D">
        <w:rPr>
          <w:rFonts w:cs="Arial"/>
        </w:rPr>
        <w:t xml:space="preserve">čo je 50,07 %- </w:t>
      </w:r>
      <w:proofErr w:type="spellStart"/>
      <w:r w:rsidRPr="00AA736D">
        <w:rPr>
          <w:rFonts w:cs="Arial"/>
        </w:rPr>
        <w:t>né</w:t>
      </w:r>
      <w:proofErr w:type="spellEnd"/>
      <w:r w:rsidRPr="00AA736D">
        <w:rPr>
          <w:rFonts w:cs="Arial"/>
        </w:rPr>
        <w:t xml:space="preserve"> plnenie schváleného rozpočtu na rok 2015 </w:t>
      </w:r>
      <w:r w:rsidRPr="00AA736D">
        <w:rPr>
          <w:rFonts w:cs="Arial"/>
        </w:rPr>
        <w:br/>
        <w:t>vo výške</w:t>
      </w:r>
      <w:r w:rsidRPr="00AA736D">
        <w:rPr>
          <w:rFonts w:cs="Arial"/>
        </w:rPr>
        <w:tab/>
        <w:t>921 215 tis. Eur</w:t>
      </w:r>
      <w:r w:rsidRPr="00AA736D">
        <w:rPr>
          <w:rFonts w:cs="Arial"/>
        </w:rPr>
        <w:br/>
        <w:t xml:space="preserve">a 100,20 %- </w:t>
      </w:r>
      <w:proofErr w:type="spellStart"/>
      <w:r w:rsidRPr="00AA736D">
        <w:rPr>
          <w:rFonts w:cs="Arial"/>
        </w:rPr>
        <w:t>né</w:t>
      </w:r>
      <w:proofErr w:type="spellEnd"/>
      <w:r w:rsidRPr="00AA736D">
        <w:rPr>
          <w:rFonts w:cs="Arial"/>
        </w:rPr>
        <w:t xml:space="preserve"> plnenie časového rozpisu vo výške</w:t>
      </w:r>
      <w:r w:rsidRPr="00AA736D">
        <w:rPr>
          <w:rFonts w:cs="Arial"/>
        </w:rPr>
        <w:tab/>
        <w:t>460 335 tis. Eur.</w:t>
      </w:r>
    </w:p>
    <w:p w:rsidR="00AA736D" w:rsidRPr="00AA736D" w:rsidRDefault="00AA736D" w:rsidP="00AA736D">
      <w:pPr>
        <w:tabs>
          <w:tab w:val="decimal" w:pos="8280"/>
        </w:tabs>
        <w:spacing w:before="240" w:after="120"/>
        <w:ind w:firstLine="709"/>
        <w:jc w:val="both"/>
        <w:rPr>
          <w:rFonts w:cs="Arial"/>
        </w:rPr>
      </w:pPr>
      <w:r w:rsidRPr="00AA736D">
        <w:rPr>
          <w:rFonts w:cs="Arial"/>
        </w:rPr>
        <w:t>Na celkovej výške ostatných príjmov sa, okrem príjmov zo ŠR SR vo výške 452 983 tis. Eur, podieľajú najmä:</w:t>
      </w:r>
    </w:p>
    <w:p w:rsidR="00AA736D" w:rsidRPr="00AA736D" w:rsidRDefault="00AA736D" w:rsidP="00AA736D">
      <w:pPr>
        <w:numPr>
          <w:ilvl w:val="0"/>
          <w:numId w:val="8"/>
        </w:numPr>
        <w:tabs>
          <w:tab w:val="decimal" w:pos="8280"/>
        </w:tabs>
        <w:ind w:left="709" w:hanging="709"/>
        <w:rPr>
          <w:rFonts w:cs="Arial"/>
        </w:rPr>
      </w:pPr>
      <w:r w:rsidRPr="00AA736D">
        <w:rPr>
          <w:rFonts w:cs="Arial"/>
        </w:rPr>
        <w:t>príjmy z majetku Sociálnej poisťovne (najmä z prenájmu)</w:t>
      </w:r>
      <w:r w:rsidRPr="00AA736D">
        <w:rPr>
          <w:rFonts w:cs="Arial"/>
        </w:rPr>
        <w:tab/>
        <w:t>538 tis. Eur,</w:t>
      </w:r>
    </w:p>
    <w:p w:rsidR="00AA736D" w:rsidRPr="00AA736D" w:rsidRDefault="00AA736D" w:rsidP="00AA736D">
      <w:pPr>
        <w:numPr>
          <w:ilvl w:val="0"/>
          <w:numId w:val="8"/>
        </w:numPr>
        <w:tabs>
          <w:tab w:val="decimal" w:pos="8280"/>
        </w:tabs>
        <w:ind w:left="709" w:hanging="709"/>
        <w:rPr>
          <w:rFonts w:cs="Arial"/>
        </w:rPr>
      </w:pPr>
      <w:r w:rsidRPr="00AA736D">
        <w:rPr>
          <w:rFonts w:cs="Arial"/>
        </w:rPr>
        <w:t>príjmy z úhrad preplatkov na dávkach a regresných náhrad</w:t>
      </w:r>
      <w:r w:rsidRPr="00AA736D">
        <w:rPr>
          <w:rFonts w:cs="Arial"/>
        </w:rPr>
        <w:tab/>
        <w:t>2 621</w:t>
      </w:r>
      <w:r w:rsidRPr="00AA736D">
        <w:t> </w:t>
      </w:r>
      <w:r w:rsidRPr="00AA736D">
        <w:rPr>
          <w:rFonts w:cs="Arial"/>
        </w:rPr>
        <w:t>tis. Eur,</w:t>
      </w:r>
    </w:p>
    <w:p w:rsidR="00AA736D" w:rsidRPr="00AA736D" w:rsidRDefault="00AA736D" w:rsidP="00AA736D">
      <w:pPr>
        <w:numPr>
          <w:ilvl w:val="0"/>
          <w:numId w:val="8"/>
        </w:numPr>
        <w:tabs>
          <w:tab w:val="decimal" w:pos="8280"/>
        </w:tabs>
        <w:ind w:left="709" w:hanging="709"/>
        <w:rPr>
          <w:rFonts w:cs="Arial"/>
        </w:rPr>
      </w:pPr>
      <w:r w:rsidRPr="00AA736D">
        <w:rPr>
          <w:rFonts w:cs="Arial"/>
        </w:rPr>
        <w:t>príjmy z úhrad preplatkov na zaniknutých dôchodkoch</w:t>
      </w:r>
      <w:r w:rsidRPr="00AA736D">
        <w:rPr>
          <w:rFonts w:cs="Arial"/>
        </w:rPr>
        <w:tab/>
        <w:t>178 tis. Eur,</w:t>
      </w:r>
    </w:p>
    <w:p w:rsidR="00AA736D" w:rsidRPr="00AA736D" w:rsidRDefault="00AA736D" w:rsidP="00AA736D">
      <w:pPr>
        <w:numPr>
          <w:ilvl w:val="0"/>
          <w:numId w:val="8"/>
        </w:numPr>
        <w:tabs>
          <w:tab w:val="decimal" w:pos="8280"/>
        </w:tabs>
        <w:ind w:left="709" w:hanging="709"/>
        <w:rPr>
          <w:rFonts w:cs="Arial"/>
        </w:rPr>
      </w:pPr>
      <w:r w:rsidRPr="00AA736D">
        <w:rPr>
          <w:rFonts w:cs="Arial"/>
        </w:rPr>
        <w:t>príjmy z úhrad poistného bez právneho titulu</w:t>
      </w:r>
      <w:r w:rsidRPr="00AA736D">
        <w:rPr>
          <w:rFonts w:cs="Arial"/>
        </w:rPr>
        <w:tab/>
        <w:t>354 tis. Eur,</w:t>
      </w:r>
    </w:p>
    <w:p w:rsidR="00AA736D" w:rsidRPr="00AA736D" w:rsidRDefault="00AA736D" w:rsidP="00AA736D">
      <w:pPr>
        <w:numPr>
          <w:ilvl w:val="0"/>
          <w:numId w:val="8"/>
        </w:numPr>
        <w:tabs>
          <w:tab w:val="decimal" w:pos="8280"/>
        </w:tabs>
        <w:ind w:left="709" w:hanging="709"/>
        <w:rPr>
          <w:rFonts w:cs="Arial"/>
        </w:rPr>
      </w:pPr>
      <w:r w:rsidRPr="00AA736D">
        <w:rPr>
          <w:rFonts w:cs="Arial"/>
        </w:rPr>
        <w:t>príjmy z refundácií dávok v nezamestnanosti zo zahraničia</w:t>
      </w:r>
      <w:r w:rsidRPr="00AA736D">
        <w:rPr>
          <w:rFonts w:cs="Arial"/>
        </w:rPr>
        <w:tab/>
        <w:t>4 294 tis. Eur</w:t>
      </w:r>
    </w:p>
    <w:p w:rsidR="00AA736D" w:rsidRPr="00AA736D" w:rsidRDefault="00AA736D" w:rsidP="00AA736D">
      <w:pPr>
        <w:spacing w:before="240" w:after="120"/>
        <w:ind w:firstLine="709"/>
        <w:jc w:val="both"/>
        <w:rPr>
          <w:rFonts w:cs="Arial"/>
        </w:rPr>
      </w:pPr>
      <w:r w:rsidRPr="00AA736D">
        <w:rPr>
          <w:rFonts w:cs="Arial"/>
        </w:rPr>
        <w:t>Okrem príjmov zo ŠR SR boli ostatné príjmy pripisované do jednotlivých fondov podľa vecnej príslušnosti. Úroky z bežných účtov pobočiek sa rozdelili do fondov percentuálne, zodpovedajúc podielu príjmov konkrétneho základného fondu a rezervného fondu solidarity na celkových príjmoch z poistného.</w:t>
      </w:r>
    </w:p>
    <w:p w:rsidR="00AA736D" w:rsidRPr="00AA736D" w:rsidRDefault="00AA736D" w:rsidP="00AA736D">
      <w:pPr>
        <w:spacing w:before="240" w:after="120"/>
        <w:jc w:val="both"/>
        <w:rPr>
          <w:rFonts w:cs="Arial"/>
          <w:b/>
        </w:rPr>
      </w:pPr>
      <w:r w:rsidRPr="00AA736D">
        <w:rPr>
          <w:rFonts w:cs="Arial"/>
          <w:b/>
        </w:rPr>
        <w:t>1.4.</w:t>
      </w:r>
      <w:r w:rsidRPr="00AA736D">
        <w:rPr>
          <w:rFonts w:cs="Arial"/>
          <w:b/>
        </w:rPr>
        <w:tab/>
        <w:t>Tvorba fondov</w:t>
      </w:r>
    </w:p>
    <w:p w:rsidR="00AA736D" w:rsidRPr="00AA736D" w:rsidRDefault="00AA736D" w:rsidP="00AA736D">
      <w:pPr>
        <w:spacing w:before="240"/>
        <w:ind w:firstLine="709"/>
        <w:jc w:val="both"/>
        <w:rPr>
          <w:rFonts w:cs="Arial"/>
          <w:szCs w:val="24"/>
        </w:rPr>
      </w:pPr>
      <w:r w:rsidRPr="00AA736D">
        <w:rPr>
          <w:rFonts w:cs="Arial"/>
          <w:szCs w:val="24"/>
        </w:rPr>
        <w:t>Z príjmov poistného, pokút, penále a ostatných príjmov v mesiacoch január až jún 2015 boli vytvorené jednotlivé fondy:</w:t>
      </w:r>
    </w:p>
    <w:tbl>
      <w:tblPr>
        <w:tblW w:w="9262" w:type="dxa"/>
        <w:tblInd w:w="70" w:type="dxa"/>
        <w:tblLayout w:type="fixed"/>
        <w:tblCellMar>
          <w:left w:w="70" w:type="dxa"/>
          <w:right w:w="70" w:type="dxa"/>
        </w:tblCellMar>
        <w:tblLook w:val="04A0" w:firstRow="1" w:lastRow="0" w:firstColumn="1" w:lastColumn="0" w:noHBand="0" w:noVBand="1"/>
      </w:tblPr>
      <w:tblGrid>
        <w:gridCol w:w="4395"/>
        <w:gridCol w:w="1622"/>
        <w:gridCol w:w="1622"/>
        <w:gridCol w:w="1623"/>
      </w:tblGrid>
      <w:tr w:rsidR="00AA736D" w:rsidRPr="00AA736D" w:rsidTr="00565313">
        <w:trPr>
          <w:trHeight w:val="255"/>
        </w:trPr>
        <w:tc>
          <w:tcPr>
            <w:tcW w:w="4395"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622"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622"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623"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20"/>
              </w:rPr>
            </w:pPr>
            <w:r w:rsidRPr="00AA736D">
              <w:rPr>
                <w:rFonts w:cs="Arial"/>
                <w:sz w:val="20"/>
              </w:rPr>
              <w:t>v tis. Eur</w:t>
            </w:r>
          </w:p>
        </w:tc>
      </w:tr>
      <w:tr w:rsidR="00AA736D" w:rsidRPr="00AA736D" w:rsidTr="00565313">
        <w:trPr>
          <w:trHeight w:val="55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 xml:space="preserve">Fond  </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Tvorba fondu v bežnom roku</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Prevod zostatku z roku 2014</w:t>
            </w:r>
          </w:p>
        </w:tc>
        <w:tc>
          <w:tcPr>
            <w:tcW w:w="1623"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Tvorba fondu celkom</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nemocenského poistenia</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256 813</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49 846</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306 659</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starobného poistenia</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2 408 781</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217 886</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2 626 667</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invalidného poistenia</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542 252</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105 423</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647 675</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úrazového poistenia</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71 218</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18 198</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89 416</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garančného poistenia</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19 125</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5 522</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24 647</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poistenia v nezamestnanosti</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164 461</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35 971</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200 432</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Rezervný fond solidarity</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434 540</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7 081</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441 621</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Správny fond</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76 566</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21 460</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98 026</w:t>
            </w:r>
          </w:p>
        </w:tc>
      </w:tr>
      <w:tr w:rsidR="00AA736D" w:rsidRPr="00AA736D" w:rsidTr="0056531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Spolu</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3 973 756</w:t>
            </w:r>
          </w:p>
        </w:tc>
        <w:tc>
          <w:tcPr>
            <w:tcW w:w="162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461 387</w:t>
            </w:r>
          </w:p>
        </w:tc>
        <w:tc>
          <w:tcPr>
            <w:tcW w:w="1623"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4 435 143</w:t>
            </w:r>
          </w:p>
        </w:tc>
      </w:tr>
    </w:tbl>
    <w:p w:rsidR="00AA736D" w:rsidRPr="00AA736D" w:rsidRDefault="00AA736D" w:rsidP="00AA736D">
      <w:pPr>
        <w:ind w:firstLine="709"/>
        <w:jc w:val="both"/>
        <w:rPr>
          <w:rFonts w:cs="Arial"/>
          <w:szCs w:val="24"/>
        </w:rPr>
      </w:pPr>
    </w:p>
    <w:p w:rsidR="00AA736D" w:rsidRPr="00AA736D" w:rsidRDefault="00AA736D" w:rsidP="00AA736D">
      <w:pPr>
        <w:numPr>
          <w:ilvl w:val="0"/>
          <w:numId w:val="5"/>
        </w:numPr>
        <w:tabs>
          <w:tab w:val="clear" w:pos="720"/>
        </w:tabs>
        <w:spacing w:before="240" w:after="120"/>
        <w:ind w:left="0" w:firstLine="0"/>
        <w:jc w:val="both"/>
        <w:rPr>
          <w:b/>
          <w:sz w:val="28"/>
          <w:szCs w:val="28"/>
        </w:rPr>
      </w:pPr>
      <w:r w:rsidRPr="00AA736D">
        <w:rPr>
          <w:b/>
          <w:sz w:val="28"/>
          <w:szCs w:val="28"/>
        </w:rPr>
        <w:t>Pohľadávky</w:t>
      </w:r>
    </w:p>
    <w:p w:rsidR="00AA736D" w:rsidRPr="00AA736D" w:rsidRDefault="00AA736D" w:rsidP="00AA736D">
      <w:pPr>
        <w:spacing w:before="240" w:after="120" w:line="276" w:lineRule="auto"/>
        <w:ind w:firstLine="709"/>
        <w:jc w:val="both"/>
        <w:rPr>
          <w:rFonts w:cs="Arial"/>
          <w:szCs w:val="24"/>
        </w:rPr>
      </w:pPr>
      <w:bookmarkStart w:id="1" w:name="OLE_LINK2"/>
      <w:r w:rsidRPr="00AA736D">
        <w:rPr>
          <w:rFonts w:cs="Arial"/>
          <w:szCs w:val="24"/>
        </w:rPr>
        <w:t xml:space="preserve">Pohľadávky podľa § 148 zákona o sociálnom poistení (ďalej len pohľadávky) evidované Sociálnou poisťovňou k 30. júnu 2015 dosiahli výšku 716 089 tis. Eur </w:t>
      </w:r>
      <w:r w:rsidRPr="00AA736D">
        <w:rPr>
          <w:rFonts w:cs="Arial"/>
          <w:szCs w:val="24"/>
        </w:rPr>
        <w:lastRenderedPageBreak/>
        <w:t>a oproti stavu k 31. decembru 2014 sa znížili o -9 424 tis. Eur (-1,3 %). Podiel pohľadávok predpísaných na základe právoplatného rozhodnutia k 30. júnu 2015 predstavoval 88,5 % z celkových pohľadávok. Z celkového stavu pohľadávok predstavujú pohľadávky na poistnom na základe rozhodnutia 457 152 tis. Eur (63,8 %) a pohľadávky na penále 157 531 tis. Eur (22,0 %), nepredpísané pohľadávky 82 479 tis. Eur (11,5 %) a ostatné pohľadávky 18 927 tis. Eur (2,6 %). V rámci uvedených pohľadávok Sociálna poisťovňa eviduje k 30. júnu 2015 pohľadávky z roku 1993 (pohľadávky štátu) v celkovom objeme 3 522 tis. Eur (0,5 % z celkového objemu pohľadávok) a pohľadávky zo zúčtovania poistného z roku 1994 na zdravotnom fonde v celkovom objeme 90 tis. Eur (0,01 %). Vývoj pohľadávok Sociálnej poisťovne podľa druhov a podľa fondov mesačne v roku 2015 je uvedený v prílohe.</w:t>
      </w:r>
    </w:p>
    <w:p w:rsidR="00AA736D" w:rsidRPr="00AA736D" w:rsidRDefault="00AA736D" w:rsidP="00AA736D">
      <w:pPr>
        <w:spacing w:before="240" w:after="120" w:line="276" w:lineRule="auto"/>
        <w:ind w:firstLine="709"/>
        <w:jc w:val="both"/>
        <w:rPr>
          <w:rFonts w:cs="Arial"/>
          <w:szCs w:val="24"/>
        </w:rPr>
      </w:pPr>
      <w:r w:rsidRPr="00AA736D">
        <w:rPr>
          <w:rFonts w:cs="Arial"/>
          <w:szCs w:val="24"/>
        </w:rPr>
        <w:t>Podľa stavu vymáhaných pohľadávok Sociálnej poisťovne bolo k 30. júnu 2015 z predpísaných pohľadávok uplatnených niektorým zo sledovaných spôsobov vymáhania 58,4 %. To predstavuje celkovú uplatnenú sumu 417 883 tis. Eur. Podľa spôsobov vymáhania najväčší objem pohľadávok je uplatnený v exekučnom konaní (324 775 tis. Eur, čo predstavuje 45,4 % z celkových pohľadávok). Nevymáhané pohľadávky voči zdravotníckym zariadeniam (vrátane penále) eviduje Sociálna poisťovňa v objeme 153 038 tis. Eur (21,4 %), pohľadávky po ukončení vymáhania v objeme 34 402 tis. Eur (4,8 %) a pohľadávky pred začatím vymáhania v objeme 9 080 tis. Eur (1,2 %). Štruktúra pohľadávok Sociálnej poisťovne podľa najvýznamnejších spôsobov vymáhania v tis. Eur je uvedená v prílohe.</w:t>
      </w:r>
    </w:p>
    <w:p w:rsidR="00AA736D" w:rsidRPr="00AA736D" w:rsidRDefault="00AA736D" w:rsidP="00AA736D">
      <w:pPr>
        <w:spacing w:before="240" w:after="120" w:line="276" w:lineRule="auto"/>
        <w:ind w:firstLine="709"/>
        <w:jc w:val="both"/>
        <w:rPr>
          <w:rFonts w:cs="Arial"/>
          <w:szCs w:val="24"/>
        </w:rPr>
      </w:pPr>
      <w:r w:rsidRPr="00AA736D">
        <w:rPr>
          <w:rFonts w:cs="Arial"/>
          <w:szCs w:val="24"/>
        </w:rPr>
        <w:t>Sociálna poisťovňa od začiatku roka 2015 podala návrhy na vykonanie exekúcie v celkovom objeme 42 419 tis. Eur. Z toho v mesiaci jún v objeme 7 560 tis. Eur. Týmto spôsobom bolo od začiatku roka 2015 vymáhaných spolu 52 518 rozhodnutí. Podrobnejší prehľad je uvedený v prílohe.</w:t>
      </w:r>
    </w:p>
    <w:p w:rsidR="00AA736D" w:rsidRPr="00AA736D" w:rsidRDefault="00AA736D" w:rsidP="00AA736D">
      <w:pPr>
        <w:spacing w:before="240" w:after="120" w:line="276" w:lineRule="auto"/>
        <w:ind w:firstLine="709"/>
        <w:jc w:val="both"/>
        <w:rPr>
          <w:rFonts w:cs="Arial"/>
          <w:szCs w:val="24"/>
        </w:rPr>
      </w:pPr>
      <w:r w:rsidRPr="00AA736D">
        <w:rPr>
          <w:rFonts w:cs="Arial"/>
          <w:szCs w:val="24"/>
        </w:rPr>
        <w:t xml:space="preserve">Prehľad pohľadávok vymáhaných prostredníctvom mandátnej správy spoločnosťou </w:t>
      </w:r>
      <w:proofErr w:type="spellStart"/>
      <w:r w:rsidRPr="00AA736D">
        <w:rPr>
          <w:rFonts w:cs="Arial"/>
          <w:szCs w:val="24"/>
        </w:rPr>
        <w:t>General</w:t>
      </w:r>
      <w:proofErr w:type="spellEnd"/>
      <w:r w:rsidRPr="00AA736D">
        <w:rPr>
          <w:rFonts w:cs="Arial"/>
          <w:szCs w:val="24"/>
        </w:rPr>
        <w:t xml:space="preserve"> </w:t>
      </w:r>
      <w:proofErr w:type="spellStart"/>
      <w:r w:rsidRPr="00AA736D">
        <w:rPr>
          <w:rFonts w:cs="Arial"/>
          <w:szCs w:val="24"/>
        </w:rPr>
        <w:t>Factoring</w:t>
      </w:r>
      <w:proofErr w:type="spellEnd"/>
      <w:r w:rsidRPr="00AA736D">
        <w:rPr>
          <w:rFonts w:cs="Arial"/>
          <w:szCs w:val="24"/>
        </w:rPr>
        <w:t xml:space="preserve"> a. s. je uvedený v prílohách. Sociálna poisťovňa previedla do mandátnej správy od 1. januára 2015 do 30. júna 2015 spolu 71 122 pohľadávok v sume 27 487 tis. Eur. Od 1. januára 2015 do 30. júna 2015 bolo spolu akceptovaných úhrad v objeme 7 732 tis. Eur viažucich sa ku všetkým zoznamom pohľadávok prevedených do mandátnej správy do 30. júna 2015.</w:t>
      </w:r>
    </w:p>
    <w:p w:rsidR="00AA736D" w:rsidRPr="00AA736D" w:rsidRDefault="00AA736D" w:rsidP="00AA736D">
      <w:pPr>
        <w:spacing w:before="240" w:after="120" w:line="276" w:lineRule="auto"/>
        <w:ind w:firstLine="709"/>
        <w:jc w:val="both"/>
        <w:rPr>
          <w:rFonts w:eastAsia="Calibri" w:cs="Arial"/>
          <w:szCs w:val="24"/>
          <w:lang w:eastAsia="en-US"/>
        </w:rPr>
      </w:pPr>
      <w:r w:rsidRPr="00AA736D">
        <w:rPr>
          <w:rFonts w:eastAsia="Calibri" w:cs="Arial"/>
          <w:szCs w:val="24"/>
          <w:lang w:eastAsia="en-US"/>
        </w:rPr>
        <w:t>V roku 2015 Sociálna poisťovňa rozšírila zasielanie upozornení na aktuálny nedoplatok na poistnom formou SMS a emailov pre samostatne zárobkovo činné osoby na všetky svoje pobočky a postupne plánuje rozšíriť okruh oslovovaných odvádzateľov. V mesiaci júl 2015  sa uskutočnila kampaň za všetky pobočky  prvýkrát plne automatizovane.</w:t>
      </w:r>
    </w:p>
    <w:p w:rsidR="00AA736D" w:rsidRPr="00AA736D" w:rsidRDefault="00AA736D" w:rsidP="00AA736D">
      <w:pPr>
        <w:spacing w:before="240" w:after="120" w:line="276" w:lineRule="auto"/>
        <w:ind w:firstLine="709"/>
        <w:jc w:val="both"/>
        <w:rPr>
          <w:rFonts w:eastAsia="Calibri" w:cs="Arial"/>
          <w:szCs w:val="24"/>
          <w:lang w:eastAsia="en-US"/>
        </w:rPr>
      </w:pPr>
      <w:r w:rsidRPr="00AA736D">
        <w:rPr>
          <w:rFonts w:eastAsia="Calibri" w:cs="Arial"/>
          <w:szCs w:val="24"/>
          <w:lang w:eastAsia="en-US"/>
        </w:rPr>
        <w:t>V mesiaci júl 2015 odoslala 15 968 SMS správ a e-mailov, ktorými vyzvala k úhrade poistného  za mesiac jún 2015. Príjem za obdobie január až jún 2015 je tak vo výške v sume 1 960 736,82 EUR. Počet zaslaných SMS správ a e-mailov za obdobie január až jún 2015 bol 108 272 ks, ktoré upomínali na dlžné poistné vo výške 14 071 587,84 EUR. Vo vzťahu k tejto čiastke ide o takmer 13,93</w:t>
      </w:r>
      <w:r w:rsidR="001933FE">
        <w:rPr>
          <w:rFonts w:eastAsia="Calibri" w:cs="Arial"/>
          <w:szCs w:val="24"/>
          <w:lang w:eastAsia="en-US"/>
        </w:rPr>
        <w:t> </w:t>
      </w:r>
      <w:r w:rsidRPr="00AA736D">
        <w:rPr>
          <w:rFonts w:eastAsia="Calibri" w:cs="Arial"/>
          <w:szCs w:val="24"/>
          <w:lang w:eastAsia="en-US"/>
        </w:rPr>
        <w:t>% úspešnosť.</w:t>
      </w:r>
    </w:p>
    <w:p w:rsidR="00AA736D" w:rsidRPr="00AA736D" w:rsidRDefault="00AA736D" w:rsidP="00AA736D">
      <w:pPr>
        <w:spacing w:before="240" w:after="120"/>
        <w:ind w:firstLine="709"/>
        <w:jc w:val="both"/>
        <w:rPr>
          <w:rFonts w:cs="Arial"/>
          <w:szCs w:val="24"/>
        </w:rPr>
      </w:pPr>
      <w:r w:rsidRPr="00AA736D">
        <w:rPr>
          <w:rFonts w:cs="Arial"/>
          <w:szCs w:val="24"/>
        </w:rPr>
        <w:lastRenderedPageBreak/>
        <w:t>Vývoj v jednotlivých mesiacoch bol:</w:t>
      </w:r>
    </w:p>
    <w:tbl>
      <w:tblPr>
        <w:tblW w:w="8520" w:type="dxa"/>
        <w:tblInd w:w="55" w:type="dxa"/>
        <w:tblLayout w:type="fixed"/>
        <w:tblCellMar>
          <w:left w:w="70" w:type="dxa"/>
          <w:right w:w="70" w:type="dxa"/>
        </w:tblCellMar>
        <w:tblLook w:val="04A0" w:firstRow="1" w:lastRow="0" w:firstColumn="1" w:lastColumn="0" w:noHBand="0" w:noVBand="1"/>
      </w:tblPr>
      <w:tblGrid>
        <w:gridCol w:w="1850"/>
        <w:gridCol w:w="1851"/>
        <w:gridCol w:w="2409"/>
        <w:gridCol w:w="2410"/>
      </w:tblGrid>
      <w:tr w:rsidR="00AA736D" w:rsidRPr="00AA736D" w:rsidTr="00565313">
        <w:trPr>
          <w:trHeight w:val="1500"/>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color w:val="000000"/>
                <w:sz w:val="22"/>
                <w:szCs w:val="22"/>
              </w:rPr>
            </w:pPr>
            <w:r w:rsidRPr="00AA736D">
              <w:rPr>
                <w:rFonts w:cs="Arial"/>
                <w:color w:val="000000"/>
                <w:sz w:val="22"/>
                <w:szCs w:val="22"/>
              </w:rPr>
              <w:t xml:space="preserve">Obdobie </w:t>
            </w:r>
          </w:p>
        </w:tc>
        <w:tc>
          <w:tcPr>
            <w:tcW w:w="1851" w:type="dxa"/>
            <w:tcBorders>
              <w:top w:val="single" w:sz="4" w:space="0" w:color="auto"/>
              <w:left w:val="nil"/>
              <w:bottom w:val="single" w:sz="4" w:space="0" w:color="auto"/>
              <w:right w:val="single" w:sz="4" w:space="0" w:color="auto"/>
            </w:tcBorders>
            <w:shd w:val="clear" w:color="000000" w:fill="FFFFFF"/>
            <w:vAlign w:val="center"/>
            <w:hideMark/>
          </w:tcPr>
          <w:p w:rsidR="00AA736D" w:rsidRPr="00AA736D" w:rsidRDefault="00AA736D" w:rsidP="00AA736D">
            <w:pPr>
              <w:jc w:val="center"/>
              <w:rPr>
                <w:rFonts w:cs="Arial"/>
                <w:color w:val="000000"/>
                <w:sz w:val="22"/>
                <w:szCs w:val="22"/>
              </w:rPr>
            </w:pPr>
            <w:r w:rsidRPr="00AA736D">
              <w:rPr>
                <w:rFonts w:cs="Arial"/>
                <w:color w:val="000000"/>
                <w:sz w:val="22"/>
                <w:szCs w:val="22"/>
              </w:rPr>
              <w:t>Počet odoslaných SMS a e-mailov</w:t>
            </w:r>
          </w:p>
        </w:tc>
        <w:tc>
          <w:tcPr>
            <w:tcW w:w="2409" w:type="dxa"/>
            <w:tcBorders>
              <w:top w:val="single" w:sz="4" w:space="0" w:color="auto"/>
              <w:left w:val="nil"/>
              <w:bottom w:val="single" w:sz="4" w:space="0" w:color="auto"/>
              <w:right w:val="nil"/>
            </w:tcBorders>
            <w:shd w:val="clear" w:color="000000" w:fill="FFFFFF"/>
            <w:vAlign w:val="center"/>
            <w:hideMark/>
          </w:tcPr>
          <w:p w:rsidR="00AA736D" w:rsidRPr="00AA736D" w:rsidRDefault="00AA736D" w:rsidP="00AA736D">
            <w:pPr>
              <w:jc w:val="center"/>
              <w:rPr>
                <w:rFonts w:cs="Arial"/>
                <w:color w:val="000000"/>
                <w:sz w:val="22"/>
                <w:szCs w:val="22"/>
              </w:rPr>
            </w:pPr>
            <w:r w:rsidRPr="00AA736D">
              <w:rPr>
                <w:rFonts w:cs="Arial"/>
                <w:color w:val="000000"/>
                <w:sz w:val="22"/>
                <w:szCs w:val="22"/>
              </w:rPr>
              <w:t>Objem poistného, viažuceho sa k odoslaným SMS správam a e-mailom v Eur</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736D" w:rsidRPr="00AA736D" w:rsidRDefault="00AA736D" w:rsidP="00AA736D">
            <w:pPr>
              <w:jc w:val="center"/>
              <w:rPr>
                <w:rFonts w:cs="Arial"/>
                <w:color w:val="000000"/>
                <w:sz w:val="22"/>
                <w:szCs w:val="22"/>
              </w:rPr>
            </w:pPr>
            <w:r w:rsidRPr="00AA736D">
              <w:rPr>
                <w:rFonts w:cs="Arial"/>
                <w:color w:val="000000"/>
                <w:sz w:val="22"/>
                <w:szCs w:val="22"/>
              </w:rPr>
              <w:t>Uhradené poistné na základe upozornenia formou SMS správ a e-mailu v Eur</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color w:val="000000"/>
                <w:sz w:val="22"/>
                <w:szCs w:val="22"/>
              </w:rPr>
            </w:pPr>
            <w:r w:rsidRPr="00AA736D">
              <w:rPr>
                <w:rFonts w:cs="Arial"/>
                <w:color w:val="000000"/>
                <w:sz w:val="22"/>
                <w:szCs w:val="22"/>
              </w:rPr>
              <w:t>Január 2015</w:t>
            </w:r>
          </w:p>
        </w:tc>
        <w:tc>
          <w:tcPr>
            <w:tcW w:w="1851"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center"/>
              <w:rPr>
                <w:rFonts w:cs="Arial"/>
                <w:color w:val="000000"/>
                <w:sz w:val="22"/>
                <w:szCs w:val="22"/>
              </w:rPr>
            </w:pPr>
            <w:r w:rsidRPr="00AA736D">
              <w:rPr>
                <w:rFonts w:cs="Arial"/>
                <w:color w:val="000000"/>
                <w:sz w:val="22"/>
                <w:szCs w:val="22"/>
              </w:rPr>
              <w:t>20 538</w:t>
            </w:r>
          </w:p>
        </w:tc>
        <w:tc>
          <w:tcPr>
            <w:tcW w:w="2409"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right"/>
              <w:rPr>
                <w:rFonts w:cs="Arial"/>
                <w:color w:val="000000"/>
                <w:sz w:val="22"/>
                <w:szCs w:val="22"/>
              </w:rPr>
            </w:pPr>
            <w:r w:rsidRPr="00AA736D">
              <w:rPr>
                <w:rFonts w:cs="Arial"/>
                <w:color w:val="000000"/>
                <w:sz w:val="22"/>
                <w:szCs w:val="22"/>
              </w:rPr>
              <w:t>2 359 271,63</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right"/>
              <w:rPr>
                <w:rFonts w:cs="Arial"/>
                <w:color w:val="000000"/>
                <w:sz w:val="22"/>
                <w:szCs w:val="22"/>
              </w:rPr>
            </w:pPr>
            <w:r w:rsidRPr="00AA736D">
              <w:rPr>
                <w:rFonts w:cs="Arial"/>
                <w:color w:val="000000"/>
                <w:sz w:val="22"/>
                <w:szCs w:val="22"/>
              </w:rPr>
              <w:t>368 810,77</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color w:val="000000"/>
                <w:sz w:val="22"/>
                <w:szCs w:val="22"/>
              </w:rPr>
            </w:pPr>
            <w:r w:rsidRPr="00AA736D">
              <w:rPr>
                <w:rFonts w:cs="Arial"/>
                <w:color w:val="000000"/>
                <w:sz w:val="22"/>
                <w:szCs w:val="22"/>
              </w:rPr>
              <w:t>Február 2015</w:t>
            </w:r>
          </w:p>
        </w:tc>
        <w:tc>
          <w:tcPr>
            <w:tcW w:w="1851"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center"/>
              <w:rPr>
                <w:rFonts w:cs="Arial"/>
                <w:color w:val="000000"/>
                <w:sz w:val="22"/>
                <w:szCs w:val="22"/>
              </w:rPr>
            </w:pPr>
            <w:r w:rsidRPr="00AA736D">
              <w:rPr>
                <w:rFonts w:cs="Arial"/>
                <w:color w:val="000000"/>
                <w:sz w:val="22"/>
                <w:szCs w:val="22"/>
              </w:rPr>
              <w:t>18 814</w:t>
            </w:r>
          </w:p>
        </w:tc>
        <w:tc>
          <w:tcPr>
            <w:tcW w:w="2409"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right"/>
              <w:rPr>
                <w:rFonts w:cs="Arial"/>
                <w:color w:val="000000"/>
                <w:sz w:val="22"/>
                <w:szCs w:val="22"/>
              </w:rPr>
            </w:pPr>
            <w:r w:rsidRPr="00AA736D">
              <w:rPr>
                <w:rFonts w:cs="Arial"/>
                <w:color w:val="000000"/>
                <w:sz w:val="22"/>
                <w:szCs w:val="22"/>
              </w:rPr>
              <w:t>2 399 733,31</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rsidR="00AA736D" w:rsidRPr="00AA736D" w:rsidRDefault="00AA736D" w:rsidP="00AA736D">
            <w:pPr>
              <w:jc w:val="right"/>
              <w:rPr>
                <w:rFonts w:cs="Arial"/>
                <w:color w:val="000000"/>
                <w:sz w:val="22"/>
                <w:szCs w:val="22"/>
              </w:rPr>
            </w:pPr>
            <w:r w:rsidRPr="00AA736D">
              <w:rPr>
                <w:rFonts w:cs="Arial"/>
                <w:color w:val="000000"/>
                <w:sz w:val="22"/>
                <w:szCs w:val="22"/>
              </w:rPr>
              <w:t>311 169,16</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color w:val="000000"/>
                <w:sz w:val="22"/>
                <w:szCs w:val="22"/>
              </w:rPr>
            </w:pPr>
            <w:r w:rsidRPr="00AA736D">
              <w:rPr>
                <w:rFonts w:cs="Arial"/>
                <w:color w:val="000000"/>
                <w:sz w:val="22"/>
                <w:szCs w:val="22"/>
              </w:rPr>
              <w:t>Marec 2015</w:t>
            </w:r>
          </w:p>
        </w:tc>
        <w:tc>
          <w:tcPr>
            <w:tcW w:w="1851"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center"/>
              <w:rPr>
                <w:rFonts w:eastAsiaTheme="minorHAnsi" w:cs="Arial"/>
                <w:color w:val="000000"/>
                <w:sz w:val="22"/>
                <w:szCs w:val="22"/>
              </w:rPr>
            </w:pPr>
            <w:r w:rsidRPr="00AA736D">
              <w:rPr>
                <w:rFonts w:cs="Arial"/>
                <w:color w:val="000000"/>
                <w:sz w:val="22"/>
                <w:szCs w:val="22"/>
              </w:rPr>
              <w:t>19 400</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eastAsiaTheme="minorHAnsi" w:cs="Arial"/>
                <w:color w:val="000000"/>
                <w:sz w:val="22"/>
                <w:szCs w:val="22"/>
              </w:rPr>
            </w:pPr>
            <w:r w:rsidRPr="00AA736D">
              <w:rPr>
                <w:rFonts w:cs="Arial"/>
                <w:color w:val="000000"/>
                <w:sz w:val="22"/>
                <w:szCs w:val="22"/>
              </w:rPr>
              <w:t>2 577 859,79</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DF1334">
            <w:pPr>
              <w:jc w:val="right"/>
              <w:rPr>
                <w:rFonts w:eastAsiaTheme="minorHAnsi" w:cs="Arial"/>
                <w:color w:val="000000"/>
                <w:sz w:val="22"/>
                <w:szCs w:val="22"/>
              </w:rPr>
            </w:pPr>
            <w:r w:rsidRPr="00AA736D">
              <w:rPr>
                <w:rFonts w:cs="Arial"/>
                <w:color w:val="000000"/>
                <w:sz w:val="22"/>
                <w:szCs w:val="22"/>
              </w:rPr>
              <w:t xml:space="preserve">345 </w:t>
            </w:r>
            <w:r w:rsidR="00DF1334">
              <w:rPr>
                <w:rFonts w:cs="Arial"/>
                <w:color w:val="000000"/>
                <w:sz w:val="22"/>
                <w:szCs w:val="22"/>
              </w:rPr>
              <w:t>5</w:t>
            </w:r>
            <w:r w:rsidRPr="00AA736D">
              <w:rPr>
                <w:rFonts w:cs="Arial"/>
                <w:color w:val="000000"/>
                <w:sz w:val="22"/>
                <w:szCs w:val="22"/>
              </w:rPr>
              <w:t>71,17</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color w:val="000000"/>
                <w:sz w:val="22"/>
                <w:szCs w:val="22"/>
              </w:rPr>
            </w:pPr>
            <w:r w:rsidRPr="00AA736D">
              <w:rPr>
                <w:rFonts w:cs="Arial"/>
                <w:color w:val="000000"/>
                <w:sz w:val="22"/>
                <w:szCs w:val="22"/>
              </w:rPr>
              <w:t>Apríl 2015</w:t>
            </w:r>
          </w:p>
        </w:tc>
        <w:tc>
          <w:tcPr>
            <w:tcW w:w="1851"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center"/>
              <w:rPr>
                <w:rFonts w:eastAsiaTheme="minorHAnsi" w:cs="Arial"/>
                <w:sz w:val="22"/>
                <w:szCs w:val="22"/>
              </w:rPr>
            </w:pPr>
            <w:r w:rsidRPr="00AA736D">
              <w:rPr>
                <w:rFonts w:cs="Arial"/>
                <w:color w:val="000000"/>
                <w:sz w:val="22"/>
                <w:szCs w:val="22"/>
              </w:rPr>
              <w:t>15 592</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eastAsiaTheme="minorHAnsi" w:cs="Arial"/>
                <w:sz w:val="22"/>
                <w:szCs w:val="22"/>
              </w:rPr>
            </w:pPr>
            <w:r w:rsidRPr="00AA736D">
              <w:rPr>
                <w:rFonts w:cs="Arial"/>
                <w:color w:val="000000"/>
                <w:sz w:val="22"/>
                <w:szCs w:val="22"/>
              </w:rPr>
              <w:t>2 066 440,38</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eastAsiaTheme="minorHAnsi" w:cs="Arial"/>
                <w:sz w:val="22"/>
                <w:szCs w:val="22"/>
              </w:rPr>
            </w:pPr>
            <w:r w:rsidRPr="00AA736D">
              <w:rPr>
                <w:rFonts w:cs="Arial"/>
                <w:color w:val="000000"/>
                <w:sz w:val="22"/>
                <w:szCs w:val="22"/>
              </w:rPr>
              <w:t>259 161,22</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color w:val="000000"/>
                <w:sz w:val="22"/>
                <w:szCs w:val="22"/>
              </w:rPr>
            </w:pPr>
            <w:r w:rsidRPr="00AA736D">
              <w:rPr>
                <w:rFonts w:cs="Arial"/>
                <w:color w:val="000000"/>
                <w:sz w:val="22"/>
                <w:szCs w:val="22"/>
              </w:rPr>
              <w:t>Máj 2015</w:t>
            </w:r>
          </w:p>
        </w:tc>
        <w:tc>
          <w:tcPr>
            <w:tcW w:w="1851"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center"/>
              <w:rPr>
                <w:rFonts w:cs="Arial"/>
                <w:color w:val="000000"/>
                <w:sz w:val="22"/>
                <w:szCs w:val="22"/>
              </w:rPr>
            </w:pPr>
            <w:r w:rsidRPr="00AA736D">
              <w:rPr>
                <w:rFonts w:cs="Arial"/>
                <w:color w:val="000000"/>
                <w:sz w:val="22"/>
                <w:szCs w:val="22"/>
              </w:rPr>
              <w:t>17 960</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cs="Arial"/>
                <w:color w:val="000000"/>
                <w:sz w:val="22"/>
                <w:szCs w:val="22"/>
              </w:rPr>
            </w:pPr>
            <w:r w:rsidRPr="00AA736D">
              <w:rPr>
                <w:rFonts w:cs="Arial"/>
                <w:color w:val="000000"/>
                <w:sz w:val="22"/>
                <w:szCs w:val="22"/>
              </w:rPr>
              <w:t>2 446 759,13</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cs="Arial"/>
                <w:color w:val="000000"/>
                <w:sz w:val="22"/>
                <w:szCs w:val="22"/>
              </w:rPr>
            </w:pPr>
            <w:r w:rsidRPr="00AA736D">
              <w:rPr>
                <w:rFonts w:cs="Arial"/>
                <w:color w:val="000000"/>
                <w:sz w:val="22"/>
                <w:szCs w:val="22"/>
              </w:rPr>
              <w:t>362 498,95</w:t>
            </w:r>
          </w:p>
        </w:tc>
      </w:tr>
      <w:tr w:rsidR="00AA736D" w:rsidRPr="00AA736D" w:rsidTr="00565313">
        <w:trPr>
          <w:trHeight w:val="457"/>
        </w:trPr>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color w:val="000000"/>
                <w:sz w:val="22"/>
                <w:szCs w:val="22"/>
              </w:rPr>
            </w:pPr>
            <w:r w:rsidRPr="00AA736D">
              <w:rPr>
                <w:rFonts w:cs="Arial"/>
                <w:color w:val="000000"/>
                <w:sz w:val="22"/>
                <w:szCs w:val="22"/>
              </w:rPr>
              <w:t>Jún 2015</w:t>
            </w:r>
          </w:p>
        </w:tc>
        <w:tc>
          <w:tcPr>
            <w:tcW w:w="1851"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center"/>
              <w:rPr>
                <w:rFonts w:cs="Arial"/>
                <w:color w:val="000000"/>
                <w:sz w:val="22"/>
                <w:szCs w:val="22"/>
              </w:rPr>
            </w:pPr>
            <w:r w:rsidRPr="00AA736D">
              <w:rPr>
                <w:rFonts w:cs="Arial"/>
                <w:color w:val="000000"/>
                <w:sz w:val="22"/>
                <w:szCs w:val="22"/>
              </w:rPr>
              <w:t>15 968</w:t>
            </w:r>
          </w:p>
        </w:tc>
        <w:tc>
          <w:tcPr>
            <w:tcW w:w="2409"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cs="Arial"/>
                <w:color w:val="000000"/>
                <w:sz w:val="22"/>
                <w:szCs w:val="22"/>
              </w:rPr>
            </w:pPr>
            <w:r w:rsidRPr="00AA736D">
              <w:rPr>
                <w:rFonts w:cs="Arial"/>
                <w:color w:val="000000"/>
                <w:sz w:val="22"/>
                <w:szCs w:val="22"/>
              </w:rPr>
              <w:t>2 221 523,61</w:t>
            </w:r>
          </w:p>
        </w:tc>
        <w:tc>
          <w:tcPr>
            <w:tcW w:w="2410" w:type="dxa"/>
            <w:tcBorders>
              <w:top w:val="single" w:sz="4" w:space="0" w:color="auto"/>
              <w:left w:val="nil"/>
              <w:bottom w:val="single" w:sz="4" w:space="0" w:color="auto"/>
              <w:right w:val="single" w:sz="4" w:space="0" w:color="auto"/>
            </w:tcBorders>
            <w:shd w:val="clear" w:color="000000" w:fill="FFFFFF"/>
            <w:noWrap/>
            <w:vAlign w:val="bottom"/>
          </w:tcPr>
          <w:p w:rsidR="00AA736D" w:rsidRPr="00AA736D" w:rsidRDefault="00AA736D" w:rsidP="00AA736D">
            <w:pPr>
              <w:jc w:val="right"/>
              <w:rPr>
                <w:rFonts w:cs="Arial"/>
                <w:color w:val="000000"/>
                <w:sz w:val="22"/>
                <w:szCs w:val="22"/>
              </w:rPr>
            </w:pPr>
            <w:r w:rsidRPr="00AA736D">
              <w:rPr>
                <w:rFonts w:cs="Arial"/>
                <w:color w:val="000000"/>
                <w:sz w:val="22"/>
                <w:szCs w:val="22"/>
              </w:rPr>
              <w:t>313 525,55</w:t>
            </w:r>
          </w:p>
        </w:tc>
      </w:tr>
    </w:tbl>
    <w:p w:rsidR="00AA736D" w:rsidRPr="00AA736D" w:rsidRDefault="00AA736D" w:rsidP="00AA736D">
      <w:pPr>
        <w:jc w:val="both"/>
        <w:rPr>
          <w:rFonts w:cs="Arial"/>
          <w:szCs w:val="24"/>
        </w:rPr>
      </w:pPr>
    </w:p>
    <w:p w:rsidR="00AA736D" w:rsidRPr="00AA736D" w:rsidRDefault="00AA736D" w:rsidP="00AA736D">
      <w:pPr>
        <w:jc w:val="both"/>
        <w:rPr>
          <w:rFonts w:cs="Arial"/>
          <w:szCs w:val="24"/>
        </w:rPr>
      </w:pPr>
      <w:r>
        <w:rPr>
          <w:noProof/>
        </w:rPr>
        <w:drawing>
          <wp:inline distT="0" distB="0" distL="0" distR="0" wp14:anchorId="03F8D28D" wp14:editId="7BB222D1">
            <wp:extent cx="5904230" cy="3894887"/>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1"/>
    <w:p w:rsidR="00AA736D" w:rsidRPr="00AA736D" w:rsidRDefault="00AA736D" w:rsidP="00AA736D">
      <w:pPr>
        <w:spacing w:before="240" w:after="120"/>
        <w:ind w:firstLine="709"/>
        <w:jc w:val="both"/>
        <w:rPr>
          <w:rFonts w:cs="Arial"/>
          <w:szCs w:val="24"/>
        </w:rPr>
      </w:pPr>
      <w:r w:rsidRPr="00AA736D">
        <w:rPr>
          <w:rFonts w:cs="Arial"/>
          <w:szCs w:val="24"/>
        </w:rPr>
        <w:t>Od 1. januára 2015 do 30. júna 2015 vydala Sociálna poisťovňa spolu 601 rozhodnutí o </w:t>
      </w:r>
      <w:r w:rsidRPr="00AA736D">
        <w:rPr>
          <w:rFonts w:cs="Arial"/>
          <w:i/>
          <w:szCs w:val="24"/>
        </w:rPr>
        <w:t>povolení splátok dlžných súm</w:t>
      </w:r>
      <w:r w:rsidRPr="00AA736D">
        <w:rPr>
          <w:rFonts w:cs="Arial"/>
          <w:szCs w:val="24"/>
        </w:rPr>
        <w:t xml:space="preserve"> v celkovom objeme 20 024  tis. Eur. Z toho k úspešnému ukončeniu splátkového kalendára (100 % úhrada) došlo v 44 prípadoch s uhradenou sumou 40 tis. Eur. K zrušeniu splátkových kalendárov z dôvodov ich nedodržania došlo v 174 prípadoch na celkovú sumu 442 tis. Eur. Ku dňu zrušenia rozhodnutia bolo uhradené zo sumy povolenej na splácanie v zmysle schváleného splátkového kalendára 54 tis. Eur. Naďalej aktívnych splátkových kalendárov bolo 383 na celkový objem pohľadávok 19 542 tis. Eur. Z nich bolo od 1. januára 2015 do 30. júna 2015 uhradených 247 tis. Eur. Prehľad vývoja povolení splátok dlžných súm v roku 2015 je uvedený v prílohe.</w:t>
      </w:r>
    </w:p>
    <w:p w:rsidR="00AA736D" w:rsidRPr="00AA736D" w:rsidRDefault="00AA736D" w:rsidP="00AA736D">
      <w:pPr>
        <w:spacing w:before="240" w:after="120"/>
        <w:ind w:firstLine="709"/>
        <w:jc w:val="both"/>
        <w:rPr>
          <w:rFonts w:cs="Arial"/>
          <w:color w:val="000000"/>
          <w:szCs w:val="24"/>
        </w:rPr>
      </w:pPr>
      <w:r w:rsidRPr="00AA736D">
        <w:rPr>
          <w:rFonts w:cs="Arial"/>
          <w:color w:val="000000"/>
          <w:szCs w:val="24"/>
        </w:rPr>
        <w:lastRenderedPageBreak/>
        <w:t xml:space="preserve">Celkový objem pohľadávok na neuhradenom poistnom (ďalej len "pohľadávka") Sociálnej poisťovne evidovaných voči </w:t>
      </w:r>
      <w:r w:rsidRPr="00AA736D">
        <w:rPr>
          <w:rFonts w:cs="Arial"/>
          <w:i/>
          <w:color w:val="000000"/>
          <w:szCs w:val="24"/>
        </w:rPr>
        <w:t>sledovaným zdravotníckym zariadeniam v pôsobnosti MZ SR a transformovaným zdravotníckym zariadeniam</w:t>
      </w:r>
      <w:r w:rsidRPr="00AA736D">
        <w:rPr>
          <w:rFonts w:cs="Arial"/>
          <w:color w:val="000000"/>
          <w:szCs w:val="24"/>
        </w:rPr>
        <w:t xml:space="preserve"> dosiahol k 30. júnu 2015 sumu 138 109 tis. Eur. Objem pohľadávok evidovaný k 30. júnu 2015 v porovnaní s objemom pohľadávok k 31. decembru 2014 zaznamenal nárast o 17 825 tis. Eur. </w:t>
      </w:r>
    </w:p>
    <w:p w:rsidR="00AA736D" w:rsidRPr="00AA736D" w:rsidRDefault="00AA736D" w:rsidP="00AA736D">
      <w:pPr>
        <w:tabs>
          <w:tab w:val="left" w:pos="1276"/>
        </w:tabs>
        <w:spacing w:before="240" w:after="120"/>
        <w:ind w:firstLine="709"/>
        <w:jc w:val="both"/>
        <w:rPr>
          <w:rFonts w:cs="Arial"/>
          <w:color w:val="000000"/>
          <w:szCs w:val="24"/>
          <w:highlight w:val="cyan"/>
        </w:rPr>
      </w:pPr>
      <w:r w:rsidRPr="00AA736D">
        <w:rPr>
          <w:rFonts w:cs="Arial"/>
          <w:color w:val="000000"/>
          <w:szCs w:val="24"/>
        </w:rPr>
        <w:t>Pohľadávky voči</w:t>
      </w:r>
      <w:r w:rsidRPr="00AA736D">
        <w:rPr>
          <w:rFonts w:cs="Arial"/>
          <w:b/>
          <w:color w:val="000000"/>
          <w:szCs w:val="24"/>
        </w:rPr>
        <w:t xml:space="preserve"> </w:t>
      </w:r>
      <w:r w:rsidRPr="00AA736D">
        <w:rPr>
          <w:rFonts w:cs="Arial"/>
          <w:i/>
          <w:color w:val="000000"/>
          <w:szCs w:val="24"/>
        </w:rPr>
        <w:t>zdravotníckym zariadeniam v pôsobnosti MZ SR</w:t>
      </w:r>
      <w:r w:rsidRPr="00AA736D">
        <w:rPr>
          <w:rFonts w:cs="Arial"/>
          <w:color w:val="000000"/>
          <w:szCs w:val="24"/>
        </w:rPr>
        <w:t xml:space="preserve"> dosiahli k 30. júnu 2015 výšku 96 590 tis. Eur, čo predstavuje 69,9 % z celkového objemu pohľadávok voči všetkým sledovaným zdravotníckym zariadeniam. V porovnaní so stavom k 31. decembru 2014 sa pohľadávky voči týmto zariadeniam zvýšili o 14 737 tis. Eur. Nárast pohľadávok z titulu neplatenia mesačných odvodov v súčasnosti evidujeme pri 5 zdravotníckych zariadeniach  v pôsobnosti MZ SR a to Univerzitnej nemocnici Bratislava, Detskej fakultnej nemocnici s poliklinikou Bratislava, Fakultnej nemocnici J. A. </w:t>
      </w:r>
      <w:proofErr w:type="spellStart"/>
      <w:r w:rsidRPr="00AA736D">
        <w:rPr>
          <w:rFonts w:cs="Arial"/>
          <w:color w:val="000000"/>
          <w:szCs w:val="24"/>
        </w:rPr>
        <w:t>Reimana</w:t>
      </w:r>
      <w:proofErr w:type="spellEnd"/>
      <w:r w:rsidRPr="00AA736D">
        <w:rPr>
          <w:rFonts w:cs="Arial"/>
          <w:color w:val="000000"/>
          <w:szCs w:val="24"/>
        </w:rPr>
        <w:t xml:space="preserve">, Prešov, Národnej transfúznej službe SR, Bratislava a Detskej ozdravovni, Kremnické Bane.  </w:t>
      </w:r>
    </w:p>
    <w:p w:rsidR="00AA736D" w:rsidRPr="00AA736D" w:rsidRDefault="00AA736D" w:rsidP="00AA736D">
      <w:pPr>
        <w:spacing w:before="240" w:after="120"/>
        <w:ind w:firstLine="709"/>
        <w:jc w:val="both"/>
        <w:rPr>
          <w:rFonts w:cs="Arial"/>
          <w:color w:val="000000"/>
          <w:szCs w:val="24"/>
        </w:rPr>
      </w:pPr>
      <w:r w:rsidRPr="00AA736D">
        <w:rPr>
          <w:rFonts w:cs="Arial"/>
          <w:color w:val="000000"/>
          <w:szCs w:val="24"/>
        </w:rPr>
        <w:t>Voči</w:t>
      </w:r>
      <w:r w:rsidRPr="00AA736D">
        <w:rPr>
          <w:rFonts w:cs="Arial"/>
          <w:b/>
          <w:color w:val="000000"/>
          <w:szCs w:val="24"/>
        </w:rPr>
        <w:t xml:space="preserve"> </w:t>
      </w:r>
      <w:r w:rsidRPr="00AA736D">
        <w:rPr>
          <w:rFonts w:cs="Arial"/>
          <w:i/>
          <w:color w:val="000000"/>
          <w:szCs w:val="24"/>
        </w:rPr>
        <w:t>transformovaným zdravotníckym zariadeniam</w:t>
      </w:r>
      <w:r w:rsidRPr="00AA736D">
        <w:rPr>
          <w:rFonts w:cs="Arial"/>
          <w:color w:val="000000"/>
          <w:szCs w:val="24"/>
        </w:rPr>
        <w:t xml:space="preserve"> eviduje Sociálna poisťovňa k 30. júnu 2015 pohľadávky vo výške 41 519 tis. Eur, čo predstavuje </w:t>
      </w:r>
      <w:r w:rsidRPr="00AA736D">
        <w:rPr>
          <w:rFonts w:cs="Arial"/>
          <w:szCs w:val="24"/>
        </w:rPr>
        <w:t xml:space="preserve">30,1 % </w:t>
      </w:r>
      <w:r w:rsidRPr="00AA736D">
        <w:rPr>
          <w:rFonts w:cs="Arial"/>
          <w:color w:val="000000"/>
          <w:szCs w:val="24"/>
        </w:rPr>
        <w:t xml:space="preserve">z celkového objemu pohľadávok voči všetkým sledovaným zdravotníckym zariadeniam. V porovnaní so stavom k 31. decembru 2014 sa pohľadávky voči týmto zdravotníckym zariadeniam zvýšili o 3 088 tis. Eur. Nárast pohľadávok z titulu neplatenia mesačných odvodov v súčasnosti evidujeme pri 8 transformovaných zdravotníckych zariadeniach a to Nemocnici s poliklinikou v Považskej Bystrici, Nemocnici s poliklinikou Myjava, Nemocnici s poliklinikou Ilava, </w:t>
      </w:r>
      <w:proofErr w:type="spellStart"/>
      <w:r w:rsidRPr="00AA736D">
        <w:rPr>
          <w:rFonts w:cs="Arial"/>
          <w:color w:val="000000"/>
          <w:szCs w:val="24"/>
        </w:rPr>
        <w:t>n.o</w:t>
      </w:r>
      <w:proofErr w:type="spellEnd"/>
      <w:r w:rsidRPr="00AA736D">
        <w:rPr>
          <w:rFonts w:cs="Arial"/>
          <w:color w:val="000000"/>
          <w:szCs w:val="24"/>
        </w:rPr>
        <w:t xml:space="preserve">., Všeobecnej nemocnici s poliklinikou, </w:t>
      </w:r>
      <w:proofErr w:type="spellStart"/>
      <w:r w:rsidRPr="00AA736D">
        <w:rPr>
          <w:rFonts w:cs="Arial"/>
          <w:color w:val="000000"/>
          <w:szCs w:val="24"/>
        </w:rPr>
        <w:t>n.o</w:t>
      </w:r>
      <w:proofErr w:type="spellEnd"/>
      <w:r w:rsidRPr="00AA736D">
        <w:rPr>
          <w:rFonts w:cs="Arial"/>
          <w:color w:val="000000"/>
          <w:szCs w:val="24"/>
        </w:rPr>
        <w:t xml:space="preserve">., Veľký Krtíš, Mestskej nemocnici Prof. MUDr. Rudolfa Korca, DrSc. Zlaté Moravce, Nemocnici s poliklinikou Dunajská Streda, a.s., Sanatóriu Tatranská Kotlina   n. o. a Mestskej poliklinike Dubnica, </w:t>
      </w:r>
      <w:proofErr w:type="spellStart"/>
      <w:r w:rsidRPr="00AA736D">
        <w:rPr>
          <w:rFonts w:cs="Arial"/>
          <w:color w:val="000000"/>
          <w:szCs w:val="24"/>
        </w:rPr>
        <w:t>m.p.o</w:t>
      </w:r>
      <w:proofErr w:type="spellEnd"/>
      <w:r w:rsidRPr="00AA736D">
        <w:rPr>
          <w:rFonts w:cs="Arial"/>
          <w:color w:val="000000"/>
          <w:szCs w:val="24"/>
        </w:rPr>
        <w:t xml:space="preserve">., Dubnica nad Váhom. </w:t>
      </w:r>
    </w:p>
    <w:p w:rsidR="00AA736D" w:rsidRPr="00AA736D" w:rsidRDefault="00AA736D" w:rsidP="00AA736D">
      <w:pPr>
        <w:tabs>
          <w:tab w:val="left" w:pos="709"/>
        </w:tabs>
        <w:spacing w:before="240" w:after="120"/>
        <w:jc w:val="both"/>
        <w:rPr>
          <w:b/>
          <w:sz w:val="28"/>
        </w:rPr>
      </w:pPr>
      <w:r w:rsidRPr="00AA736D">
        <w:rPr>
          <w:b/>
          <w:sz w:val="28"/>
        </w:rPr>
        <w:t>3.</w:t>
      </w:r>
      <w:r w:rsidRPr="00AA736D">
        <w:rPr>
          <w:b/>
          <w:sz w:val="28"/>
        </w:rPr>
        <w:tab/>
        <w:t>Výdavky (náklady) Sociálnej poisťovne</w:t>
      </w:r>
    </w:p>
    <w:p w:rsidR="00AA736D" w:rsidRPr="00AA736D" w:rsidRDefault="00AA736D" w:rsidP="00AA736D">
      <w:pPr>
        <w:tabs>
          <w:tab w:val="decimal" w:pos="8222"/>
        </w:tabs>
        <w:spacing w:before="240" w:after="120"/>
        <w:ind w:firstLine="709"/>
        <w:jc w:val="both"/>
      </w:pPr>
      <w:r w:rsidRPr="00AA736D">
        <w:t>Výdavky (náklady) Sociálnej poisťovne v mesiacoch január až jún 2015:</w:t>
      </w:r>
    </w:p>
    <w:tbl>
      <w:tblPr>
        <w:tblW w:w="10193" w:type="dxa"/>
        <w:tblInd w:w="-356" w:type="dxa"/>
        <w:tblLayout w:type="fixed"/>
        <w:tblCellMar>
          <w:left w:w="70" w:type="dxa"/>
          <w:right w:w="70" w:type="dxa"/>
        </w:tblCellMar>
        <w:tblLook w:val="04A0" w:firstRow="1" w:lastRow="0" w:firstColumn="1" w:lastColumn="0" w:noHBand="0" w:noVBand="1"/>
      </w:tblPr>
      <w:tblGrid>
        <w:gridCol w:w="3687"/>
        <w:gridCol w:w="1275"/>
        <w:gridCol w:w="1276"/>
        <w:gridCol w:w="1404"/>
        <w:gridCol w:w="850"/>
        <w:gridCol w:w="850"/>
        <w:gridCol w:w="851"/>
      </w:tblGrid>
      <w:tr w:rsidR="00AA736D" w:rsidRPr="00AA736D" w:rsidTr="00565313">
        <w:trPr>
          <w:trHeight w:val="255"/>
        </w:trPr>
        <w:tc>
          <w:tcPr>
            <w:tcW w:w="3687"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275"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276" w:type="dxa"/>
            <w:tcBorders>
              <w:top w:val="nil"/>
              <w:left w:val="nil"/>
              <w:bottom w:val="nil"/>
              <w:right w:val="nil"/>
            </w:tcBorders>
            <w:shd w:val="clear" w:color="auto" w:fill="auto"/>
            <w:noWrap/>
            <w:vAlign w:val="bottom"/>
            <w:hideMark/>
          </w:tcPr>
          <w:p w:rsidR="00AA736D" w:rsidRPr="00AA736D" w:rsidRDefault="00AA736D" w:rsidP="00AA736D">
            <w:pPr>
              <w:rPr>
                <w:rFonts w:cs="Arial"/>
                <w:color w:val="000000"/>
                <w:sz w:val="20"/>
              </w:rPr>
            </w:pPr>
          </w:p>
        </w:tc>
        <w:tc>
          <w:tcPr>
            <w:tcW w:w="1404" w:type="dxa"/>
            <w:tcBorders>
              <w:top w:val="nil"/>
              <w:left w:val="nil"/>
              <w:bottom w:val="nil"/>
              <w:right w:val="nil"/>
            </w:tcBorders>
            <w:shd w:val="clear" w:color="auto" w:fill="auto"/>
            <w:noWrap/>
            <w:vAlign w:val="bottom"/>
            <w:hideMark/>
          </w:tcPr>
          <w:p w:rsidR="00AA736D" w:rsidRPr="00AA736D" w:rsidRDefault="00AA736D" w:rsidP="00AA736D">
            <w:pPr>
              <w:rPr>
                <w:rFonts w:cs="Arial"/>
                <w:color w:val="000000"/>
                <w:sz w:val="20"/>
              </w:rPr>
            </w:pPr>
          </w:p>
        </w:tc>
        <w:tc>
          <w:tcPr>
            <w:tcW w:w="85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85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851" w:type="dxa"/>
            <w:tcBorders>
              <w:top w:val="nil"/>
              <w:left w:val="nil"/>
              <w:bottom w:val="nil"/>
              <w:right w:val="nil"/>
            </w:tcBorders>
            <w:shd w:val="clear" w:color="auto" w:fill="auto"/>
            <w:noWrap/>
            <w:vAlign w:val="bottom"/>
            <w:hideMark/>
          </w:tcPr>
          <w:p w:rsidR="00AA736D" w:rsidRPr="00AA736D" w:rsidRDefault="00AA736D" w:rsidP="00AA736D">
            <w:pPr>
              <w:ind w:left="-69"/>
              <w:jc w:val="right"/>
              <w:rPr>
                <w:rFonts w:cs="Arial"/>
                <w:sz w:val="20"/>
              </w:rPr>
            </w:pPr>
            <w:r w:rsidRPr="00AA736D">
              <w:rPr>
                <w:rFonts w:cs="Arial"/>
                <w:sz w:val="20"/>
              </w:rPr>
              <w:t>v tis. Eur</w:t>
            </w:r>
          </w:p>
        </w:tc>
      </w:tr>
      <w:tr w:rsidR="00AA736D" w:rsidRPr="00AA736D" w:rsidTr="00565313">
        <w:trPr>
          <w:trHeight w:val="450"/>
        </w:trPr>
        <w:tc>
          <w:tcPr>
            <w:tcW w:w="3687" w:type="dxa"/>
            <w:tcBorders>
              <w:top w:val="single" w:sz="4" w:space="0" w:color="auto"/>
              <w:left w:val="single" w:sz="4" w:space="0" w:color="auto"/>
              <w:bottom w:val="nil"/>
              <w:right w:val="single" w:sz="4" w:space="0" w:color="auto"/>
            </w:tcBorders>
            <w:shd w:val="clear" w:color="auto" w:fill="auto"/>
            <w:noWrap/>
            <w:vAlign w:val="bottom"/>
            <w:hideMark/>
          </w:tcPr>
          <w:p w:rsidR="00AA736D" w:rsidRPr="00AA736D" w:rsidRDefault="00AA736D" w:rsidP="00AA736D">
            <w:pPr>
              <w:ind w:right="354"/>
              <w:jc w:val="center"/>
              <w:rPr>
                <w:rFonts w:cs="Arial"/>
                <w:sz w:val="20"/>
              </w:rPr>
            </w:pPr>
            <w:r w:rsidRPr="00AA736D">
              <w:rPr>
                <w:rFonts w:cs="Arial"/>
                <w:sz w:val="20"/>
              </w:rPr>
              <w:t>Ukazovateľ</w:t>
            </w:r>
          </w:p>
        </w:tc>
        <w:tc>
          <w:tcPr>
            <w:tcW w:w="1275" w:type="dxa"/>
            <w:tcBorders>
              <w:top w:val="single" w:sz="4" w:space="0" w:color="auto"/>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Schválený rozpočet na rok 2015</w:t>
            </w:r>
          </w:p>
        </w:tc>
        <w:tc>
          <w:tcPr>
            <w:tcW w:w="1276" w:type="dxa"/>
            <w:tcBorders>
              <w:top w:val="single" w:sz="4" w:space="0" w:color="auto"/>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xml:space="preserve">Časový rozpis </w:t>
            </w:r>
          </w:p>
        </w:tc>
        <w:tc>
          <w:tcPr>
            <w:tcW w:w="1404" w:type="dxa"/>
            <w:tcBorders>
              <w:top w:val="single" w:sz="4" w:space="0" w:color="auto"/>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Skutočnosť k 30. 6. 2015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 plnenia 3/1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 plnenia 3/2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Rozdiel 3-2</w:t>
            </w:r>
          </w:p>
        </w:tc>
      </w:tr>
      <w:tr w:rsidR="00AA736D" w:rsidRPr="00AA736D" w:rsidTr="00565313">
        <w:trPr>
          <w:trHeight w:val="255"/>
        </w:trPr>
        <w:tc>
          <w:tcPr>
            <w:tcW w:w="3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color w:val="000000"/>
                <w:sz w:val="20"/>
              </w:rPr>
            </w:pPr>
            <w:r w:rsidRPr="00AA736D">
              <w:rPr>
                <w:rFonts w:cs="Arial"/>
                <w:color w:val="000000"/>
                <w:sz w:val="20"/>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2</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3</w:t>
            </w:r>
          </w:p>
        </w:tc>
        <w:tc>
          <w:tcPr>
            <w:tcW w:w="85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4</w:t>
            </w:r>
          </w:p>
        </w:tc>
        <w:tc>
          <w:tcPr>
            <w:tcW w:w="85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5</w:t>
            </w:r>
          </w:p>
        </w:tc>
        <w:tc>
          <w:tcPr>
            <w:tcW w:w="851"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6</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Použitie prostriedkov celkom</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7 104 115</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3 491 382</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3 504 346</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49,33</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100,37</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12 964</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v tom:</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 </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nemocenského poistenia</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416 469</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213 061</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211 842</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50,87</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99,43</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-1 219</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starobného poistenia</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5 417 976</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2 642 499</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2 676 605</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49,40</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101,29</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34 106</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invalidného poistenia</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940 693</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462 776</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450 057</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47,84</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97,25</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-12 719</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úrazového poistenia</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46 902</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23 737</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23 532</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50,17</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99,14</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-205</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garančného poistenia</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18 789</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9 362</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7 550</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40,18</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80,65</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-1 812</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poistenia v nezamestnanosti</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157 286</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80 068</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77 928</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49,55</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97,33</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-2 140</w:t>
            </w:r>
          </w:p>
        </w:tc>
      </w:tr>
      <w:tr w:rsidR="00AA736D" w:rsidRPr="00AA736D" w:rsidTr="00565313">
        <w:trPr>
          <w:trHeight w:val="255"/>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správny fond</w:t>
            </w:r>
          </w:p>
        </w:tc>
        <w:tc>
          <w:tcPr>
            <w:tcW w:w="127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106 000</w:t>
            </w:r>
          </w:p>
        </w:tc>
        <w:tc>
          <w:tcPr>
            <w:tcW w:w="1276"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59 879</w:t>
            </w:r>
          </w:p>
        </w:tc>
        <w:tc>
          <w:tcPr>
            <w:tcW w:w="140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56 832</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53,62</w:t>
            </w:r>
          </w:p>
        </w:tc>
        <w:tc>
          <w:tcPr>
            <w:tcW w:w="85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94,91</w:t>
            </w:r>
          </w:p>
        </w:tc>
        <w:tc>
          <w:tcPr>
            <w:tcW w:w="85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-3 047</w:t>
            </w:r>
          </w:p>
        </w:tc>
      </w:tr>
    </w:tbl>
    <w:p w:rsidR="00AA736D" w:rsidRPr="00AA736D" w:rsidRDefault="00AA736D" w:rsidP="00AA736D">
      <w:pPr>
        <w:tabs>
          <w:tab w:val="decimal" w:pos="8222"/>
        </w:tabs>
        <w:spacing w:after="120"/>
        <w:ind w:firstLine="709"/>
        <w:jc w:val="both"/>
      </w:pPr>
    </w:p>
    <w:p w:rsidR="00AA736D" w:rsidRPr="00AA736D" w:rsidRDefault="00AA736D" w:rsidP="00AA736D">
      <w:pPr>
        <w:tabs>
          <w:tab w:val="left" w:pos="709"/>
          <w:tab w:val="decimal" w:pos="8222"/>
        </w:tabs>
        <w:spacing w:before="120" w:after="120"/>
        <w:jc w:val="both"/>
      </w:pPr>
      <w:r w:rsidRPr="00AA736D">
        <w:rPr>
          <w:b/>
          <w:color w:val="000000"/>
        </w:rPr>
        <w:t>3.1.</w:t>
      </w:r>
      <w:r w:rsidRPr="00AA736D">
        <w:rPr>
          <w:b/>
          <w:color w:val="000000"/>
        </w:rPr>
        <w:tab/>
        <w:t>Výdavky základného fondu nemocenského poistenia</w:t>
      </w:r>
      <w:r w:rsidRPr="00AA736D">
        <w:rPr>
          <w:b/>
          <w:color w:val="000000"/>
        </w:rPr>
        <w:tab/>
        <w:t>211 842</w:t>
      </w:r>
      <w:r w:rsidRPr="00AA736D">
        <w:rPr>
          <w:b/>
        </w:rPr>
        <w:t> tis. Eur</w:t>
      </w:r>
      <w:r w:rsidRPr="00AA736D">
        <w:t>,</w:t>
      </w:r>
      <w:r w:rsidRPr="00AA736D">
        <w:rPr>
          <w:b/>
          <w:color w:val="000000"/>
        </w:rPr>
        <w:br/>
      </w:r>
      <w:r w:rsidRPr="00AA736D">
        <w:rPr>
          <w:color w:val="000000"/>
        </w:rPr>
        <w:t xml:space="preserve">čo je 50,87 % schváleného </w:t>
      </w:r>
      <w:r w:rsidRPr="00AA736D">
        <w:t xml:space="preserve">rozpočtu na rok 2015 </w:t>
      </w:r>
      <w:r w:rsidRPr="00AA736D">
        <w:rPr>
          <w:color w:val="000000"/>
        </w:rPr>
        <w:t>vo výške</w:t>
      </w:r>
      <w:r w:rsidRPr="00AA736D">
        <w:rPr>
          <w:color w:val="000000"/>
        </w:rPr>
        <w:tab/>
        <w:t>416 469 tis. Eur</w:t>
      </w:r>
      <w:r w:rsidRPr="00AA736D">
        <w:br/>
        <w:t>a 99,43 % časového rozpisu vo výške</w:t>
      </w:r>
      <w:r w:rsidRPr="00AA736D">
        <w:tab/>
        <w:t>213 061 tis. Eur</w:t>
      </w:r>
      <w:r w:rsidRPr="00AA736D">
        <w:rPr>
          <w:color w:val="000000"/>
        </w:rPr>
        <w:t>.</w:t>
      </w:r>
    </w:p>
    <w:p w:rsidR="00AA736D" w:rsidRPr="00AA736D" w:rsidRDefault="00AA736D" w:rsidP="00AA736D">
      <w:pPr>
        <w:spacing w:before="240" w:after="120"/>
        <w:ind w:firstLine="720"/>
        <w:jc w:val="both"/>
      </w:pPr>
      <w:r w:rsidRPr="00AA736D">
        <w:lastRenderedPageBreak/>
        <w:t>V mesiacoch január až jún 2015 boli výdavky základného fondu nemocenského poistenia v členení na dávky v porovnaní s časovým rozpisom a v porovnaní s rovnakým obdobím roka 2014:</w:t>
      </w:r>
    </w:p>
    <w:tbl>
      <w:tblPr>
        <w:tblW w:w="9498" w:type="dxa"/>
        <w:tblInd w:w="-72" w:type="dxa"/>
        <w:tblLayout w:type="fixed"/>
        <w:tblCellMar>
          <w:left w:w="70" w:type="dxa"/>
          <w:right w:w="70" w:type="dxa"/>
        </w:tblCellMar>
        <w:tblLook w:val="04A0" w:firstRow="1" w:lastRow="0" w:firstColumn="1" w:lastColumn="0" w:noHBand="0" w:noVBand="1"/>
      </w:tblPr>
      <w:tblGrid>
        <w:gridCol w:w="2269"/>
        <w:gridCol w:w="1134"/>
        <w:gridCol w:w="895"/>
        <w:gridCol w:w="239"/>
        <w:gridCol w:w="1121"/>
        <w:gridCol w:w="928"/>
        <w:gridCol w:w="928"/>
        <w:gridCol w:w="992"/>
        <w:gridCol w:w="992"/>
      </w:tblGrid>
      <w:tr w:rsidR="00AA736D" w:rsidRPr="00AA736D" w:rsidTr="00565313">
        <w:trPr>
          <w:trHeight w:val="255"/>
        </w:trPr>
        <w:tc>
          <w:tcPr>
            <w:tcW w:w="2269"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134"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895"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360" w:type="dxa"/>
            <w:gridSpan w:val="2"/>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928"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928"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992"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992"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r w:rsidRPr="00AA736D">
              <w:rPr>
                <w:rFonts w:cs="Arial"/>
                <w:sz w:val="20"/>
              </w:rPr>
              <w:t>v tis. Eur</w:t>
            </w:r>
          </w:p>
        </w:tc>
      </w:tr>
      <w:tr w:rsidR="00AA736D" w:rsidRPr="00AA736D" w:rsidTr="00565313">
        <w:trPr>
          <w:trHeight w:val="375"/>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Výdavky základného fondu nemocenského poistenia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xml:space="preserve">Časový rozpis </w:t>
            </w:r>
          </w:p>
        </w:tc>
        <w:tc>
          <w:tcPr>
            <w:tcW w:w="225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Skutočnosť január až jún</w:t>
            </w:r>
          </w:p>
        </w:tc>
        <w:tc>
          <w:tcPr>
            <w:tcW w:w="185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Rozdiel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 plnenia 3/1</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Index v % 3/2</w:t>
            </w:r>
          </w:p>
        </w:tc>
      </w:tr>
      <w:tr w:rsidR="00AA736D" w:rsidRPr="00AA736D" w:rsidTr="00565313">
        <w:trPr>
          <w:trHeight w:val="375"/>
        </w:trPr>
        <w:tc>
          <w:tcPr>
            <w:tcW w:w="2269"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c>
          <w:tcPr>
            <w:tcW w:w="1134" w:type="dxa"/>
            <w:gridSpan w:val="2"/>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2014</w:t>
            </w:r>
          </w:p>
        </w:tc>
        <w:tc>
          <w:tcPr>
            <w:tcW w:w="1121"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2015</w:t>
            </w:r>
          </w:p>
        </w:tc>
        <w:tc>
          <w:tcPr>
            <w:tcW w:w="928"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3-1</w:t>
            </w:r>
          </w:p>
        </w:tc>
        <w:tc>
          <w:tcPr>
            <w:tcW w:w="928"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3-2</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a</w:t>
            </w:r>
          </w:p>
        </w:tc>
        <w:tc>
          <w:tcPr>
            <w:tcW w:w="1134"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2</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3</w:t>
            </w:r>
          </w:p>
        </w:tc>
        <w:tc>
          <w:tcPr>
            <w:tcW w:w="928"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4</w:t>
            </w:r>
          </w:p>
        </w:tc>
        <w:tc>
          <w:tcPr>
            <w:tcW w:w="928"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5</w:t>
            </w:r>
          </w:p>
        </w:tc>
        <w:tc>
          <w:tcPr>
            <w:tcW w:w="99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6</w:t>
            </w:r>
          </w:p>
        </w:tc>
        <w:tc>
          <w:tcPr>
            <w:tcW w:w="99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7</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nemocenské</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147 003</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133 546</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145 641</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-1 362</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12 095</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99,07</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109,06</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 xml:space="preserve">ošetrovné </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5 116</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4 488</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5 659</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543</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1 171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110,61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126,09</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vyrovnávacia dávka</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44</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33</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28</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-16</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63,64</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84,85</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materské</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60 898</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56 615</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60 516</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-382</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3 901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99,37</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106,89</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cudzie platby (pobočka SNV)</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0,00</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0,00</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20"/>
              </w:rPr>
            </w:pPr>
            <w:r w:rsidRPr="00AA736D">
              <w:rPr>
                <w:rFonts w:cs="Arial"/>
                <w:sz w:val="20"/>
              </w:rPr>
              <w:t>zúčtovanie dávok § 112</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0,00</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0,00</w:t>
            </w:r>
          </w:p>
        </w:tc>
      </w:tr>
      <w:tr w:rsidR="00AA736D" w:rsidRPr="00AA736D" w:rsidTr="00565313">
        <w:trPr>
          <w:trHeight w:val="25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 xml:space="preserve">Celkom </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213 061</w:t>
            </w:r>
          </w:p>
        </w:tc>
        <w:tc>
          <w:tcPr>
            <w:tcW w:w="1134" w:type="dxa"/>
            <w:gridSpan w:val="2"/>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194 681</w:t>
            </w:r>
          </w:p>
        </w:tc>
        <w:tc>
          <w:tcPr>
            <w:tcW w:w="112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211 842</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-1 219</w:t>
            </w:r>
          </w:p>
        </w:tc>
        <w:tc>
          <w:tcPr>
            <w:tcW w:w="928"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17 161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99,43</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108,81</w:t>
            </w:r>
          </w:p>
        </w:tc>
      </w:tr>
    </w:tbl>
    <w:p w:rsidR="00AA736D" w:rsidRPr="00AA736D" w:rsidRDefault="00AA736D" w:rsidP="00AA736D">
      <w:pPr>
        <w:jc w:val="both"/>
      </w:pPr>
    </w:p>
    <w:p w:rsidR="00AA736D" w:rsidRPr="00AA736D" w:rsidRDefault="00AA736D" w:rsidP="00AA736D">
      <w:pPr>
        <w:spacing w:before="240"/>
        <w:ind w:firstLine="709"/>
        <w:jc w:val="both"/>
      </w:pPr>
      <w:r w:rsidRPr="00AA736D">
        <w:t>Vývoj výdavkov základného fondu nemocenského poistenia v jednotlivých mesiacoch v rokoch 2010 až 2015 bol:</w:t>
      </w:r>
    </w:p>
    <w:p w:rsidR="00AA736D" w:rsidRPr="00AA736D" w:rsidRDefault="00AA736D" w:rsidP="00AA736D">
      <w:pPr>
        <w:spacing w:before="240"/>
        <w:ind w:firstLine="709"/>
        <w:jc w:val="both"/>
      </w:pPr>
    </w:p>
    <w:p w:rsidR="00AA736D" w:rsidRPr="00AA736D" w:rsidRDefault="00AA736D" w:rsidP="00AA736D">
      <w:pPr>
        <w:ind w:left="-426"/>
        <w:jc w:val="both"/>
        <w:rPr>
          <w:noProof/>
        </w:rPr>
      </w:pPr>
      <w:r w:rsidRPr="00AA736D">
        <w:rPr>
          <w:noProof/>
        </w:rPr>
        <w:drawing>
          <wp:inline distT="0" distB="0" distL="0" distR="0" wp14:anchorId="230C140B" wp14:editId="2169B287">
            <wp:extent cx="6477000" cy="3800475"/>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736D" w:rsidRPr="00AA736D" w:rsidRDefault="00AA736D" w:rsidP="00AA736D">
      <w:pPr>
        <w:ind w:left="-426"/>
        <w:jc w:val="both"/>
      </w:pPr>
    </w:p>
    <w:p w:rsidR="00AA736D" w:rsidRPr="00AA736D" w:rsidRDefault="00AA736D" w:rsidP="00AA736D">
      <w:pPr>
        <w:spacing w:before="240" w:after="120"/>
        <w:ind w:firstLine="720"/>
        <w:jc w:val="both"/>
        <w:rPr>
          <w:rFonts w:cs="Arial"/>
          <w:szCs w:val="24"/>
        </w:rPr>
      </w:pPr>
      <w:r w:rsidRPr="00AA736D">
        <w:t xml:space="preserve">Na výšku výdavkov na nemocenské dávky mal vplyv počet prípadov a priemerná mesačná výška dávky. </w:t>
      </w:r>
      <w:r w:rsidRPr="00AA736D">
        <w:rPr>
          <w:rFonts w:cs="Arial"/>
          <w:szCs w:val="24"/>
        </w:rPr>
        <w:t>Vývoj ukazovateľov bol:</w:t>
      </w:r>
    </w:p>
    <w:p w:rsidR="00AA736D" w:rsidRPr="00AA736D" w:rsidRDefault="00AA736D" w:rsidP="00AA736D">
      <w:pPr>
        <w:numPr>
          <w:ilvl w:val="0"/>
          <w:numId w:val="12"/>
        </w:numPr>
        <w:spacing w:after="240"/>
        <w:ind w:hanging="720"/>
        <w:contextualSpacing/>
        <w:jc w:val="both"/>
      </w:pPr>
      <w:r w:rsidRPr="00AA736D">
        <w:t>priemerný mesačný počet prípadov dávky:</w:t>
      </w:r>
    </w:p>
    <w:p w:rsidR="00AA736D" w:rsidRDefault="00AA736D" w:rsidP="00AA736D">
      <w:pPr>
        <w:spacing w:after="240"/>
        <w:jc w:val="both"/>
      </w:pPr>
    </w:p>
    <w:p w:rsidR="00AA736D" w:rsidRPr="00AA736D" w:rsidRDefault="00AA736D" w:rsidP="00AA736D">
      <w:pPr>
        <w:spacing w:after="240"/>
        <w:jc w:val="both"/>
      </w:pPr>
    </w:p>
    <w:tbl>
      <w:tblPr>
        <w:tblW w:w="9371" w:type="dxa"/>
        <w:tblInd w:w="55" w:type="dxa"/>
        <w:tblCellMar>
          <w:left w:w="70" w:type="dxa"/>
          <w:right w:w="70" w:type="dxa"/>
        </w:tblCellMar>
        <w:tblLook w:val="04A0" w:firstRow="1" w:lastRow="0" w:firstColumn="1" w:lastColumn="0" w:noHBand="0" w:noVBand="1"/>
      </w:tblPr>
      <w:tblGrid>
        <w:gridCol w:w="2240"/>
        <w:gridCol w:w="1180"/>
        <w:gridCol w:w="1320"/>
        <w:gridCol w:w="1371"/>
        <w:gridCol w:w="1134"/>
        <w:gridCol w:w="992"/>
        <w:gridCol w:w="1134"/>
      </w:tblGrid>
      <w:tr w:rsidR="00AA736D" w:rsidRPr="00AA736D" w:rsidTr="00565313">
        <w:trPr>
          <w:trHeight w:val="375"/>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lastRenderedPageBreak/>
              <w:t>Druh dávky</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Schválený rozpočet na rok 2015</w:t>
            </w:r>
          </w:p>
        </w:tc>
        <w:tc>
          <w:tcPr>
            <w:tcW w:w="269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Skutočnosť január až jún</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Rozdiel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xml:space="preserve">Index v  % 3/2 </w:t>
            </w:r>
          </w:p>
        </w:tc>
      </w:tr>
      <w:tr w:rsidR="00AA736D" w:rsidRPr="00AA736D" w:rsidTr="00565313">
        <w:trPr>
          <w:trHeight w:val="375"/>
        </w:trPr>
        <w:tc>
          <w:tcPr>
            <w:tcW w:w="224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c>
          <w:tcPr>
            <w:tcW w:w="1320"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2014</w:t>
            </w:r>
          </w:p>
        </w:tc>
        <w:tc>
          <w:tcPr>
            <w:tcW w:w="1371"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2015</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3-1</w:t>
            </w:r>
          </w:p>
        </w:tc>
        <w:tc>
          <w:tcPr>
            <w:tcW w:w="992"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3-2</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a</w:t>
            </w:r>
          </w:p>
        </w:tc>
        <w:tc>
          <w:tcPr>
            <w:tcW w:w="118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2</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4</w:t>
            </w:r>
          </w:p>
        </w:tc>
        <w:tc>
          <w:tcPr>
            <w:tcW w:w="99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5</w:t>
            </w:r>
          </w:p>
        </w:tc>
        <w:tc>
          <w:tcPr>
            <w:tcW w:w="1134"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6</w:t>
            </w: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nemocenské</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104 246</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104 591</w:t>
            </w:r>
          </w:p>
        </w:tc>
        <w:tc>
          <w:tcPr>
            <w:tcW w:w="137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114 189</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9 943</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9 598</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109,18</w:t>
            </w: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 xml:space="preserve">ošetrovné </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10 169</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9 780</w:t>
            </w:r>
          </w:p>
        </w:tc>
        <w:tc>
          <w:tcPr>
            <w:tcW w:w="137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11 673</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1 504</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1 893</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119,36</w:t>
            </w: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vyrovnávacia dávka</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94</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91</w:t>
            </w:r>
          </w:p>
        </w:tc>
        <w:tc>
          <w:tcPr>
            <w:tcW w:w="137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83</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91,21</w:t>
            </w: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materské</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24 015</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22 626</w:t>
            </w:r>
          </w:p>
        </w:tc>
        <w:tc>
          <w:tcPr>
            <w:tcW w:w="137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23 842</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-173</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1 216</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105,37</w:t>
            </w:r>
          </w:p>
        </w:tc>
      </w:tr>
      <w:tr w:rsidR="00AA736D" w:rsidRPr="00AA736D" w:rsidTr="00565313">
        <w:trPr>
          <w:trHeight w:val="255"/>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 xml:space="preserve">Celkom </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138 524</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137 088</w:t>
            </w:r>
          </w:p>
        </w:tc>
        <w:tc>
          <w:tcPr>
            <w:tcW w:w="1371"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149 787</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11 263</w:t>
            </w:r>
          </w:p>
        </w:tc>
        <w:tc>
          <w:tcPr>
            <w:tcW w:w="992"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12 699</w:t>
            </w:r>
          </w:p>
        </w:tc>
        <w:tc>
          <w:tcPr>
            <w:tcW w:w="1134"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109,26</w:t>
            </w:r>
          </w:p>
        </w:tc>
      </w:tr>
    </w:tbl>
    <w:p w:rsidR="00AA736D" w:rsidRPr="00AA736D" w:rsidRDefault="00AA736D" w:rsidP="00AA736D">
      <w:pPr>
        <w:spacing w:after="120"/>
        <w:jc w:val="both"/>
      </w:pPr>
    </w:p>
    <w:p w:rsidR="00AA736D" w:rsidRPr="00AA736D" w:rsidRDefault="00AA736D" w:rsidP="00AA736D">
      <w:pPr>
        <w:numPr>
          <w:ilvl w:val="0"/>
          <w:numId w:val="12"/>
        </w:numPr>
        <w:spacing w:after="120"/>
        <w:ind w:hanging="720"/>
        <w:contextualSpacing/>
        <w:jc w:val="both"/>
      </w:pPr>
      <w:r w:rsidRPr="00AA736D">
        <w:t>priemerná mesačná výška dávky:</w:t>
      </w:r>
    </w:p>
    <w:tbl>
      <w:tblPr>
        <w:tblW w:w="9360" w:type="dxa"/>
        <w:tblInd w:w="55" w:type="dxa"/>
        <w:tblCellMar>
          <w:left w:w="70" w:type="dxa"/>
          <w:right w:w="70" w:type="dxa"/>
        </w:tblCellMar>
        <w:tblLook w:val="04A0" w:firstRow="1" w:lastRow="0" w:firstColumn="1" w:lastColumn="0" w:noHBand="0" w:noVBand="1"/>
      </w:tblPr>
      <w:tblGrid>
        <w:gridCol w:w="2240"/>
        <w:gridCol w:w="1180"/>
        <w:gridCol w:w="1320"/>
        <w:gridCol w:w="1320"/>
        <w:gridCol w:w="1180"/>
        <w:gridCol w:w="1060"/>
        <w:gridCol w:w="1060"/>
      </w:tblGrid>
      <w:tr w:rsidR="00AA736D" w:rsidRPr="00AA736D" w:rsidTr="00565313">
        <w:tc>
          <w:tcPr>
            <w:tcW w:w="224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18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32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32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18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060"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06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20"/>
              </w:rPr>
            </w:pPr>
            <w:r w:rsidRPr="00AA736D">
              <w:rPr>
                <w:rFonts w:cs="Arial"/>
                <w:sz w:val="20"/>
              </w:rPr>
              <w:t>v Eur</w:t>
            </w:r>
          </w:p>
        </w:tc>
      </w:tr>
      <w:tr w:rsidR="00AA736D" w:rsidRPr="00AA736D" w:rsidTr="00565313">
        <w:trPr>
          <w:trHeight w:val="440"/>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Druh dávky</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Schválený rozpočet na rok 2015</w:t>
            </w:r>
          </w:p>
        </w:tc>
        <w:tc>
          <w:tcPr>
            <w:tcW w:w="26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Skutočnosť január až jún</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Rozdiel</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xml:space="preserve">Index v  % 3/2 </w:t>
            </w:r>
          </w:p>
        </w:tc>
      </w:tr>
      <w:tr w:rsidR="00AA736D" w:rsidRPr="00AA736D" w:rsidTr="00565313">
        <w:tc>
          <w:tcPr>
            <w:tcW w:w="224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c>
          <w:tcPr>
            <w:tcW w:w="1320"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2014</w:t>
            </w:r>
          </w:p>
        </w:tc>
        <w:tc>
          <w:tcPr>
            <w:tcW w:w="1320"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2015</w:t>
            </w:r>
          </w:p>
        </w:tc>
        <w:tc>
          <w:tcPr>
            <w:tcW w:w="1180"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3-1</w:t>
            </w:r>
          </w:p>
        </w:tc>
        <w:tc>
          <w:tcPr>
            <w:tcW w:w="1060"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3-2</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0"/>
              </w:rPr>
            </w:pPr>
          </w:p>
        </w:tc>
      </w:tr>
      <w:tr w:rsidR="00AA736D" w:rsidRPr="00AA736D" w:rsidTr="00565313">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a</w:t>
            </w:r>
          </w:p>
        </w:tc>
        <w:tc>
          <w:tcPr>
            <w:tcW w:w="118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3</w:t>
            </w:r>
          </w:p>
        </w:tc>
        <w:tc>
          <w:tcPr>
            <w:tcW w:w="118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5</w:t>
            </w:r>
          </w:p>
        </w:tc>
        <w:tc>
          <w:tcPr>
            <w:tcW w:w="10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6</w:t>
            </w:r>
          </w:p>
        </w:tc>
      </w:tr>
      <w:tr w:rsidR="00AA736D" w:rsidRPr="00AA736D" w:rsidTr="00565313">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nemocenské</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224</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212,8</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213,6</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-10,4</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0,8</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100,38</w:t>
            </w:r>
          </w:p>
        </w:tc>
      </w:tr>
      <w:tr w:rsidR="00AA736D" w:rsidRPr="00AA736D" w:rsidTr="00565313">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 xml:space="preserve">ošetrovné </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81</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76,5</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81,2</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0,2</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4,7</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106,14</w:t>
            </w:r>
          </w:p>
        </w:tc>
      </w:tr>
      <w:tr w:rsidR="00AA736D" w:rsidRPr="00AA736D" w:rsidTr="00565313">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vyrovnávacia dávka</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65</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60,8</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57,7</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-7,3</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-3,1</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94,90</w:t>
            </w:r>
          </w:p>
        </w:tc>
      </w:tr>
      <w:tr w:rsidR="00AA736D" w:rsidRPr="00AA736D" w:rsidTr="00565313">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materské</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438</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417,1</w:t>
            </w:r>
          </w:p>
        </w:tc>
        <w:tc>
          <w:tcPr>
            <w:tcW w:w="132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423,4</w:t>
            </w:r>
          </w:p>
        </w:tc>
        <w:tc>
          <w:tcPr>
            <w:tcW w:w="118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-14,6</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6,3</w:t>
            </w:r>
          </w:p>
        </w:tc>
        <w:tc>
          <w:tcPr>
            <w:tcW w:w="1060"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101,51</w:t>
            </w:r>
          </w:p>
        </w:tc>
      </w:tr>
    </w:tbl>
    <w:p w:rsidR="00AA736D" w:rsidRPr="00AA736D" w:rsidRDefault="00AA736D" w:rsidP="00AA736D">
      <w:pPr>
        <w:spacing w:before="240" w:after="120"/>
        <w:jc w:val="both"/>
      </w:pPr>
    </w:p>
    <w:p w:rsidR="00AA736D" w:rsidRPr="00AA736D" w:rsidRDefault="00AA736D" w:rsidP="00AA736D">
      <w:pPr>
        <w:tabs>
          <w:tab w:val="left" w:pos="709"/>
          <w:tab w:val="decimal" w:pos="8222"/>
        </w:tabs>
        <w:rPr>
          <w:b/>
          <w:color w:val="000000"/>
        </w:rPr>
      </w:pPr>
      <w:r w:rsidRPr="00AA736D">
        <w:rPr>
          <w:b/>
          <w:color w:val="000000"/>
        </w:rPr>
        <w:t>3.2.</w:t>
      </w:r>
      <w:r w:rsidRPr="00AA736D">
        <w:rPr>
          <w:b/>
          <w:color w:val="000000"/>
        </w:rPr>
        <w:tab/>
        <w:t>Výdavky z dôchodkového poistenia</w:t>
      </w:r>
      <w:r w:rsidRPr="00AA736D">
        <w:rPr>
          <w:b/>
          <w:color w:val="000000"/>
        </w:rPr>
        <w:tab/>
        <w:t>3 126 662 tis. Eur</w:t>
      </w:r>
      <w:r w:rsidRPr="00AA736D">
        <w:rPr>
          <w:color w:val="000000"/>
        </w:rPr>
        <w:t>,</w:t>
      </w:r>
    </w:p>
    <w:p w:rsidR="00AA736D" w:rsidRPr="00AA736D" w:rsidRDefault="00AA736D" w:rsidP="00AA736D">
      <w:pPr>
        <w:tabs>
          <w:tab w:val="left" w:pos="709"/>
          <w:tab w:val="decimal" w:pos="8222"/>
        </w:tabs>
        <w:spacing w:after="120"/>
        <w:rPr>
          <w:color w:val="000000"/>
        </w:rPr>
      </w:pPr>
      <w:r w:rsidRPr="00AA736D">
        <w:rPr>
          <w:color w:val="000000"/>
        </w:rPr>
        <w:t>čo je 49,17 % schváleného rozpočtu na rok 2015 vo výške</w:t>
      </w:r>
      <w:r w:rsidRPr="00AA736D">
        <w:rPr>
          <w:color w:val="000000"/>
        </w:rPr>
        <w:tab/>
        <w:t>6 358 669 tis. Eur,</w:t>
      </w:r>
      <w:r w:rsidRPr="00AA736D">
        <w:rPr>
          <w:color w:val="000000"/>
        </w:rPr>
        <w:br/>
        <w:t>a 100,69 % časového rozpisu vo výške</w:t>
      </w:r>
      <w:r w:rsidRPr="00AA736D">
        <w:rPr>
          <w:color w:val="000000"/>
        </w:rPr>
        <w:tab/>
        <w:t>3 105 275 tis. Eur,</w:t>
      </w:r>
    </w:p>
    <w:p w:rsidR="00AA736D" w:rsidRPr="00AA736D" w:rsidRDefault="00AA736D" w:rsidP="00AA736D">
      <w:pPr>
        <w:tabs>
          <w:tab w:val="left" w:pos="709"/>
          <w:tab w:val="decimal" w:pos="8222"/>
        </w:tabs>
        <w:rPr>
          <w:color w:val="000000"/>
        </w:rPr>
      </w:pPr>
      <w:r w:rsidRPr="00AA736D">
        <w:rPr>
          <w:b/>
          <w:color w:val="000000"/>
        </w:rPr>
        <w:t>Výdavky základného fondu starobného poistenia</w:t>
      </w:r>
      <w:r w:rsidRPr="00AA736D">
        <w:rPr>
          <w:b/>
          <w:color w:val="000000"/>
        </w:rPr>
        <w:tab/>
        <w:t>2 676 605</w:t>
      </w:r>
      <w:r w:rsidRPr="00AA736D">
        <w:rPr>
          <w:color w:val="000000"/>
        </w:rPr>
        <w:t> </w:t>
      </w:r>
      <w:r w:rsidRPr="00AA736D">
        <w:rPr>
          <w:b/>
          <w:color w:val="000000"/>
        </w:rPr>
        <w:t>tis. Eur</w:t>
      </w:r>
      <w:r w:rsidRPr="00AA736D">
        <w:rPr>
          <w:color w:val="000000"/>
        </w:rPr>
        <w:t>,</w:t>
      </w:r>
    </w:p>
    <w:p w:rsidR="00AA736D" w:rsidRPr="00AA736D" w:rsidRDefault="00AA736D" w:rsidP="00AA736D">
      <w:pPr>
        <w:tabs>
          <w:tab w:val="left" w:pos="709"/>
          <w:tab w:val="decimal" w:pos="8222"/>
        </w:tabs>
        <w:spacing w:after="120"/>
        <w:rPr>
          <w:color w:val="000000"/>
        </w:rPr>
      </w:pPr>
      <w:r w:rsidRPr="00AA736D">
        <w:rPr>
          <w:color w:val="000000"/>
        </w:rPr>
        <w:t>čo je 49,40 % schváleného rozpočtu na rok 2015 vo výške</w:t>
      </w:r>
      <w:r w:rsidRPr="00AA736D">
        <w:rPr>
          <w:color w:val="000000"/>
        </w:rPr>
        <w:tab/>
        <w:t>5 417 976 tis. Eur,</w:t>
      </w:r>
      <w:r w:rsidRPr="00AA736D">
        <w:rPr>
          <w:color w:val="000000"/>
        </w:rPr>
        <w:br/>
        <w:t>a 101,29 % časového rozpisu vo výške</w:t>
      </w:r>
      <w:r w:rsidRPr="00AA736D">
        <w:rPr>
          <w:color w:val="000000"/>
        </w:rPr>
        <w:tab/>
        <w:t> 2 642 499 tis. Eur,</w:t>
      </w:r>
    </w:p>
    <w:p w:rsidR="00AA736D" w:rsidRPr="00AA736D" w:rsidRDefault="00AA736D" w:rsidP="00AA736D">
      <w:pPr>
        <w:tabs>
          <w:tab w:val="left" w:pos="709"/>
          <w:tab w:val="decimal" w:pos="8222"/>
        </w:tabs>
        <w:jc w:val="both"/>
        <w:rPr>
          <w:color w:val="000000"/>
        </w:rPr>
      </w:pPr>
      <w:r w:rsidRPr="00AA736D">
        <w:rPr>
          <w:b/>
          <w:color w:val="000000"/>
        </w:rPr>
        <w:t>Výdavky základného fondu invalidného poistenia</w:t>
      </w:r>
      <w:r w:rsidRPr="00AA736D">
        <w:rPr>
          <w:b/>
          <w:color w:val="000000"/>
        </w:rPr>
        <w:tab/>
        <w:t>450 057</w:t>
      </w:r>
      <w:r w:rsidRPr="00AA736D">
        <w:rPr>
          <w:color w:val="000000"/>
        </w:rPr>
        <w:t> </w:t>
      </w:r>
      <w:r w:rsidRPr="00AA736D">
        <w:rPr>
          <w:b/>
          <w:color w:val="000000"/>
        </w:rPr>
        <w:t>tis. Eur</w:t>
      </w:r>
      <w:r w:rsidRPr="00AA736D">
        <w:rPr>
          <w:color w:val="000000"/>
        </w:rPr>
        <w:t>,</w:t>
      </w:r>
      <w:r w:rsidRPr="00AA736D">
        <w:rPr>
          <w:color w:val="000000"/>
        </w:rPr>
        <w:br/>
        <w:t>čo je 47,84 % schváleného rozpočtu na rok 2015 vo výške</w:t>
      </w:r>
      <w:r w:rsidRPr="00AA736D">
        <w:rPr>
          <w:color w:val="000000"/>
        </w:rPr>
        <w:tab/>
        <w:t>940 693 tis. Eur,</w:t>
      </w:r>
    </w:p>
    <w:p w:rsidR="00AA736D" w:rsidRPr="00AA736D" w:rsidRDefault="00AA736D" w:rsidP="00AA736D">
      <w:pPr>
        <w:tabs>
          <w:tab w:val="left" w:pos="709"/>
          <w:tab w:val="decimal" w:pos="8222"/>
        </w:tabs>
        <w:jc w:val="both"/>
        <w:rPr>
          <w:color w:val="000000"/>
        </w:rPr>
      </w:pPr>
      <w:r w:rsidRPr="00AA736D">
        <w:rPr>
          <w:color w:val="000000"/>
        </w:rPr>
        <w:t>a 97,25 % časového rozpisu vo výške</w:t>
      </w:r>
      <w:r w:rsidRPr="00AA736D">
        <w:rPr>
          <w:color w:val="000000"/>
        </w:rPr>
        <w:tab/>
        <w:t>462 776 tis. Eur.</w:t>
      </w:r>
    </w:p>
    <w:p w:rsidR="00AA736D" w:rsidRPr="00AA736D" w:rsidRDefault="00AA736D" w:rsidP="00AA736D">
      <w:pPr>
        <w:tabs>
          <w:tab w:val="decimal" w:pos="-4500"/>
          <w:tab w:val="left" w:pos="-1418"/>
        </w:tabs>
        <w:spacing w:before="240" w:after="120"/>
        <w:ind w:firstLine="720"/>
        <w:jc w:val="both"/>
        <w:outlineLvl w:val="0"/>
        <w:rPr>
          <w:color w:val="000000"/>
        </w:rPr>
      </w:pPr>
      <w:r w:rsidRPr="00AA736D">
        <w:rPr>
          <w:color w:val="000000"/>
        </w:rPr>
        <w:t xml:space="preserve">Čerpanie finančných prostriedkov z dôchodkového poistenia bolo vyššie o 21 387 tis. Eur oproti časovému rozpisu. </w:t>
      </w:r>
    </w:p>
    <w:p w:rsidR="00AA736D" w:rsidRPr="00AA736D" w:rsidRDefault="00AA736D" w:rsidP="00AA736D">
      <w:pPr>
        <w:tabs>
          <w:tab w:val="left" w:pos="-1418"/>
          <w:tab w:val="decimal" w:pos="8222"/>
        </w:tabs>
        <w:spacing w:before="240" w:after="120"/>
        <w:ind w:firstLine="720"/>
        <w:jc w:val="both"/>
        <w:rPr>
          <w:color w:val="000000"/>
        </w:rPr>
      </w:pPr>
      <w:r w:rsidRPr="00AA736D">
        <w:t>Vyššie ako rozpočtované, boli výdavky v základnom fonde starobného poistenia o 34 106 tis. Eur, najmä v dôchodkoch starobných (34 075 tis. Eur), z dôvodu vyššej priemernej výšky novopriznávaných dôchodkov ako bolo rozpočtované.</w:t>
      </w:r>
    </w:p>
    <w:p w:rsidR="00AA736D" w:rsidRPr="00AA736D" w:rsidRDefault="00AA736D" w:rsidP="00AA736D">
      <w:pPr>
        <w:tabs>
          <w:tab w:val="left" w:pos="-1418"/>
          <w:tab w:val="decimal" w:pos="8222"/>
        </w:tabs>
        <w:spacing w:before="240" w:after="120"/>
        <w:ind w:firstLine="720"/>
        <w:jc w:val="both"/>
        <w:rPr>
          <w:color w:val="000000"/>
        </w:rPr>
      </w:pPr>
      <w:r w:rsidRPr="00AA736D">
        <w:rPr>
          <w:color w:val="000000"/>
        </w:rPr>
        <w:t>Nižšie ako rozpočtované, boli výdavky v základnom fonde invalidného poistenia o 12 719 tis. Eur, najmä v dôchodkoch:</w:t>
      </w:r>
    </w:p>
    <w:p w:rsidR="00AA736D" w:rsidRPr="00AA736D" w:rsidRDefault="00AA736D" w:rsidP="00AA736D">
      <w:pPr>
        <w:numPr>
          <w:ilvl w:val="0"/>
          <w:numId w:val="11"/>
        </w:numPr>
        <w:tabs>
          <w:tab w:val="left" w:pos="-1418"/>
          <w:tab w:val="num" w:pos="1068"/>
        </w:tabs>
        <w:spacing w:after="120"/>
        <w:ind w:left="0" w:firstLine="0"/>
        <w:jc w:val="both"/>
        <w:rPr>
          <w:rFonts w:cs="Arial"/>
          <w:szCs w:val="24"/>
        </w:rPr>
      </w:pPr>
      <w:r w:rsidRPr="00AA736D">
        <w:t>invalidných (5 366 tis. Eur), z dôvodu nižšieho počtu novopriznávaných dôchodkov ako bolo rozpočtované,</w:t>
      </w:r>
    </w:p>
    <w:p w:rsidR="00AA736D" w:rsidRPr="00AA736D" w:rsidRDefault="00AA736D" w:rsidP="00AA736D">
      <w:pPr>
        <w:numPr>
          <w:ilvl w:val="0"/>
          <w:numId w:val="11"/>
        </w:numPr>
        <w:tabs>
          <w:tab w:val="left" w:pos="-1418"/>
        </w:tabs>
        <w:spacing w:after="120"/>
        <w:ind w:left="0" w:firstLine="0"/>
        <w:jc w:val="both"/>
        <w:rPr>
          <w:rFonts w:cs="Arial"/>
          <w:szCs w:val="24"/>
        </w:rPr>
      </w:pPr>
      <w:r w:rsidRPr="00AA736D">
        <w:rPr>
          <w:rFonts w:cs="Arial"/>
          <w:szCs w:val="24"/>
        </w:rPr>
        <w:t xml:space="preserve">vdovských (4 248 tis. Eur) </w:t>
      </w:r>
      <w:r w:rsidRPr="00AA736D">
        <w:t xml:space="preserve">z dôvodu nižšieho počtu novopriznávaných dôchodkov a vyššieho počtu zaniknutých dôchodkov </w:t>
      </w:r>
      <w:r w:rsidRPr="00AA736D">
        <w:rPr>
          <w:rFonts w:cs="Arial"/>
          <w:szCs w:val="24"/>
        </w:rPr>
        <w:t>ako bolo rozpočtované na rok 2015,</w:t>
      </w:r>
    </w:p>
    <w:p w:rsidR="00AA736D" w:rsidRPr="00AA736D" w:rsidRDefault="00AA736D" w:rsidP="00AA736D">
      <w:pPr>
        <w:numPr>
          <w:ilvl w:val="0"/>
          <w:numId w:val="11"/>
        </w:numPr>
        <w:tabs>
          <w:tab w:val="left" w:pos="-1418"/>
        </w:tabs>
        <w:spacing w:before="120" w:after="120"/>
        <w:ind w:left="0" w:firstLine="0"/>
        <w:jc w:val="both"/>
        <w:rPr>
          <w:rFonts w:cs="Arial"/>
          <w:szCs w:val="24"/>
        </w:rPr>
      </w:pPr>
      <w:r w:rsidRPr="00AA736D">
        <w:rPr>
          <w:rFonts w:cs="Arial"/>
          <w:color w:val="000000"/>
          <w:szCs w:val="24"/>
        </w:rPr>
        <w:t xml:space="preserve">sirotských (2 181 tis. Eur) spôsobené </w:t>
      </w:r>
      <w:r w:rsidRPr="00AA736D">
        <w:t>nižším počtom novopriznávaných dôchodkov a vyšším počtom a vyššou priemernou výškou zaniknutých dôchodkov</w:t>
      </w:r>
      <w:r w:rsidRPr="00AA736D">
        <w:rPr>
          <w:rFonts w:cs="Arial"/>
          <w:szCs w:val="24"/>
        </w:rPr>
        <w:t xml:space="preserve"> ako bolo rozpočtované.</w:t>
      </w:r>
    </w:p>
    <w:p w:rsidR="00AA736D" w:rsidRPr="00AA736D" w:rsidRDefault="00AA736D" w:rsidP="00AA736D">
      <w:pPr>
        <w:tabs>
          <w:tab w:val="decimal" w:pos="-4500"/>
          <w:tab w:val="left" w:pos="-1418"/>
        </w:tabs>
        <w:spacing w:before="240" w:after="120"/>
        <w:ind w:firstLine="720"/>
        <w:jc w:val="both"/>
        <w:outlineLvl w:val="0"/>
        <w:rPr>
          <w:color w:val="000000"/>
        </w:rPr>
      </w:pPr>
      <w:r w:rsidRPr="00AA736D">
        <w:lastRenderedPageBreak/>
        <w:t xml:space="preserve">Výška výdavkov na dôchodkové dávky v hodnotenom </w:t>
      </w:r>
      <w:r w:rsidRPr="00AA736D">
        <w:rPr>
          <w:color w:val="000000"/>
        </w:rPr>
        <w:t>období zahŕňa aj zvýšenie dôchodkov od 1. januára  2015 v zmysle § 82 zákona o sociálnom poistení pevnou sumou vo výške 43 441 tis. Eur, v ktorej sa zvýšenie od prvého dňa v mesiaci prejavilo v sume 2 632 tis. Eur. Zvýšenie na jeden dôchodok predstavovalo 4,11 Eur (na starobný dôchodok 4,97 Eur, predčasný starobný dôchodok 5,25 Eur a na invalidný dôchodok 3,52 Eur).</w:t>
      </w:r>
    </w:p>
    <w:p w:rsidR="00AA736D" w:rsidRPr="00AA736D" w:rsidRDefault="00AA736D" w:rsidP="00AA736D">
      <w:pPr>
        <w:spacing w:before="240" w:after="120"/>
        <w:ind w:right="-110" w:firstLine="709"/>
        <w:jc w:val="both"/>
        <w:rPr>
          <w:color w:val="000000"/>
        </w:rPr>
      </w:pPr>
      <w:r w:rsidRPr="00AA736D">
        <w:rPr>
          <w:color w:val="000000"/>
        </w:rPr>
        <w:t>Podiel jednotlivých dôchodkových dávok na celkových výdavkoch v percentuálnom vyjadrení:</w:t>
      </w:r>
    </w:p>
    <w:p w:rsidR="00AA736D" w:rsidRPr="00AA736D" w:rsidRDefault="00AA736D" w:rsidP="00AA736D">
      <w:pPr>
        <w:spacing w:before="240" w:after="120"/>
        <w:ind w:right="-110" w:firstLine="709"/>
        <w:jc w:val="both"/>
        <w:rPr>
          <w:color w:val="000000"/>
        </w:rPr>
      </w:pPr>
      <w:r w:rsidRPr="00AA736D">
        <w:rPr>
          <w:noProof/>
        </w:rPr>
        <w:drawing>
          <wp:inline distT="0" distB="0" distL="0" distR="0" wp14:anchorId="7EB6DFC2" wp14:editId="48B30053">
            <wp:extent cx="5514975" cy="2486025"/>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736D" w:rsidRPr="00AA736D" w:rsidRDefault="00AA736D" w:rsidP="00AA736D">
      <w:pPr>
        <w:spacing w:before="240" w:after="120"/>
        <w:ind w:right="-159" w:firstLine="709"/>
        <w:jc w:val="both"/>
        <w:rPr>
          <w:color w:val="000000"/>
        </w:rPr>
      </w:pPr>
      <w:r w:rsidRPr="00AA736D">
        <w:rPr>
          <w:color w:val="000000"/>
        </w:rPr>
        <w:t xml:space="preserve">V porovnaní so stavom k 31. decembru 2014 sa v hodnotenom období znížil počet vyplácaných dôchodkov o 2 951. Najväčší pokles bol v starobných dôchodkoch (o 2 438) a vdovských dôchodkoch (o 2 374). Najväčší nárast bol zaznamenaný v prípade invalidných dôchodkov (o 1 883). </w:t>
      </w:r>
    </w:p>
    <w:p w:rsidR="00AA736D" w:rsidRPr="00AA736D" w:rsidRDefault="00AA736D" w:rsidP="00AA736D">
      <w:pPr>
        <w:spacing w:before="240" w:after="120"/>
        <w:ind w:firstLine="720"/>
        <w:jc w:val="both"/>
        <w:rPr>
          <w:rFonts w:cs="Arial"/>
          <w:color w:val="000000"/>
          <w:szCs w:val="24"/>
        </w:rPr>
      </w:pPr>
      <w:r w:rsidRPr="00AA736D">
        <w:rPr>
          <w:color w:val="000000"/>
        </w:rPr>
        <w:t>Prehľad o počte vyplácaných dôchodkov podľa druhu dôchodku k 30. júnu 2015, v porovnaní so stavom k 30</w:t>
      </w:r>
      <w:r w:rsidRPr="00AA736D">
        <w:rPr>
          <w:rFonts w:cs="Arial"/>
          <w:color w:val="000000"/>
          <w:szCs w:val="24"/>
        </w:rPr>
        <w:t>. júnu 2014 a k 31. decembru 2014:</w:t>
      </w:r>
    </w:p>
    <w:tbl>
      <w:tblPr>
        <w:tblW w:w="9718" w:type="dxa"/>
        <w:tblInd w:w="65" w:type="dxa"/>
        <w:tblCellMar>
          <w:left w:w="70" w:type="dxa"/>
          <w:right w:w="70" w:type="dxa"/>
        </w:tblCellMar>
        <w:tblLook w:val="04A0" w:firstRow="1" w:lastRow="0" w:firstColumn="1" w:lastColumn="0" w:noHBand="0" w:noVBand="1"/>
      </w:tblPr>
      <w:tblGrid>
        <w:gridCol w:w="3850"/>
        <w:gridCol w:w="1554"/>
        <w:gridCol w:w="1554"/>
        <w:gridCol w:w="1133"/>
        <w:gridCol w:w="820"/>
        <w:gridCol w:w="807"/>
      </w:tblGrid>
      <w:tr w:rsidR="00AA736D" w:rsidRPr="00AA736D" w:rsidTr="00565313">
        <w:trPr>
          <w:trHeight w:val="255"/>
        </w:trPr>
        <w:tc>
          <w:tcPr>
            <w:tcW w:w="3850" w:type="dxa"/>
            <w:tcBorders>
              <w:top w:val="single" w:sz="4" w:space="0" w:color="auto"/>
              <w:left w:val="single" w:sz="4" w:space="0" w:color="auto"/>
              <w:bottom w:val="nil"/>
              <w:right w:val="single" w:sz="4" w:space="0" w:color="auto"/>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w:t>
            </w:r>
          </w:p>
        </w:tc>
        <w:tc>
          <w:tcPr>
            <w:tcW w:w="424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Stav k</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Rozdiel 3-1</w:t>
            </w:r>
          </w:p>
        </w:tc>
        <w:tc>
          <w:tcPr>
            <w:tcW w:w="8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Rozdiel 3-2</w:t>
            </w:r>
          </w:p>
        </w:tc>
      </w:tr>
      <w:tr w:rsidR="00AA736D" w:rsidRPr="00AA736D" w:rsidTr="00565313">
        <w:trPr>
          <w:trHeight w:val="255"/>
        </w:trPr>
        <w:tc>
          <w:tcPr>
            <w:tcW w:w="385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Druh dôchodku</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30.6.2014</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31.12.2014</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30.6.2015</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ascii="Arial CE" w:hAnsi="Arial CE" w:cs="Arial CE"/>
                <w:sz w:val="20"/>
              </w:rPr>
            </w:pPr>
          </w:p>
        </w:tc>
        <w:tc>
          <w:tcPr>
            <w:tcW w:w="807"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ascii="Arial CE" w:hAnsi="Arial CE" w:cs="Arial CE"/>
                <w:sz w:val="20"/>
              </w:rPr>
            </w:pPr>
          </w:p>
        </w:tc>
      </w:tr>
      <w:tr w:rsidR="00AA736D" w:rsidRPr="00AA736D" w:rsidTr="00565313">
        <w:trPr>
          <w:trHeight w:val="255"/>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a</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1</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2</w:t>
            </w:r>
          </w:p>
        </w:tc>
        <w:tc>
          <w:tcPr>
            <w:tcW w:w="1133"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4</w:t>
            </w:r>
          </w:p>
        </w:tc>
        <w:tc>
          <w:tcPr>
            <w:tcW w:w="807"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5</w:t>
            </w:r>
          </w:p>
        </w:tc>
      </w:tr>
      <w:tr w:rsidR="00AA736D" w:rsidRPr="00AA736D" w:rsidTr="00565313">
        <w:trPr>
          <w:trHeight w:val="269"/>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Starobný dôchodok</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1 005 325</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1 018 814</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1 016 376</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11 051</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-2 438</w:t>
            </w:r>
          </w:p>
        </w:tc>
      </w:tr>
      <w:tr w:rsidR="00AA736D" w:rsidRPr="00AA736D" w:rsidTr="00565313">
        <w:trPr>
          <w:trHeight w:val="127"/>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Predčasný starobný dôchodok</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20 137</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21 348</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21 173</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1 036</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- 175</w:t>
            </w:r>
          </w:p>
        </w:tc>
      </w:tr>
      <w:tr w:rsidR="00AA736D" w:rsidRPr="00AA736D" w:rsidTr="00565313">
        <w:trPr>
          <w:trHeight w:val="187"/>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Invalidný dôchodok</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230 837</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233 009</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234 892</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4 055</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1 883</w:t>
            </w:r>
          </w:p>
        </w:tc>
      </w:tr>
      <w:tr w:rsidR="00AA736D" w:rsidRPr="00AA736D" w:rsidTr="00565313">
        <w:trPr>
          <w:trHeight w:val="106"/>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Vdovský dôchodok</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293 304</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294 986</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292 612</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-692</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-2 374</w:t>
            </w:r>
          </w:p>
        </w:tc>
      </w:tr>
      <w:tr w:rsidR="00AA736D" w:rsidRPr="00AA736D" w:rsidTr="00565313">
        <w:trPr>
          <w:trHeight w:val="151"/>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xml:space="preserve">Vdovecký dôchodok </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numPr>
                <w:ilvl w:val="0"/>
                <w:numId w:val="44"/>
              </w:numPr>
              <w:contextualSpacing/>
              <w:jc w:val="right"/>
              <w:rPr>
                <w:rFonts w:ascii="Arial CE" w:hAnsi="Arial CE" w:cs="Arial CE"/>
                <w:sz w:val="20"/>
              </w:rPr>
            </w:pPr>
            <w:r w:rsidRPr="00AA736D">
              <w:rPr>
                <w:rFonts w:ascii="Arial CE" w:hAnsi="Arial CE" w:cs="Arial CE"/>
                <w:sz w:val="20"/>
              </w:rPr>
              <w:t>961</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numPr>
                <w:ilvl w:val="0"/>
                <w:numId w:val="44"/>
              </w:numPr>
              <w:contextualSpacing/>
              <w:jc w:val="right"/>
              <w:rPr>
                <w:rFonts w:ascii="Arial CE" w:hAnsi="Arial CE" w:cs="Arial CE"/>
                <w:sz w:val="20"/>
              </w:rPr>
            </w:pPr>
            <w:r w:rsidRPr="00AA736D">
              <w:rPr>
                <w:rFonts w:ascii="Arial CE" w:hAnsi="Arial CE" w:cs="Arial CE"/>
                <w:sz w:val="20"/>
              </w:rPr>
              <w:t>960</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41 224</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1 263</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ind w:right="-138"/>
              <w:contextualSpacing/>
              <w:rPr>
                <w:rFonts w:ascii="Arial CE" w:hAnsi="Arial CE" w:cs="Arial CE"/>
                <w:sz w:val="20"/>
              </w:rPr>
            </w:pPr>
            <w:r w:rsidRPr="00AA736D">
              <w:rPr>
                <w:rFonts w:ascii="Arial CE" w:hAnsi="Arial CE" w:cs="Arial CE"/>
                <w:sz w:val="20"/>
              </w:rPr>
              <w:t xml:space="preserve">      264</w:t>
            </w:r>
          </w:p>
        </w:tc>
      </w:tr>
      <w:tr w:rsidR="00AA736D" w:rsidRPr="00AA736D" w:rsidTr="00565313">
        <w:trPr>
          <w:trHeight w:val="80"/>
        </w:trPr>
        <w:tc>
          <w:tcPr>
            <w:tcW w:w="385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Sirotský dôchodok</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26 126</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24 625</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24 083</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- 2 043</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- 542</w:t>
            </w:r>
          </w:p>
        </w:tc>
      </w:tr>
      <w:tr w:rsidR="00AA736D" w:rsidRPr="00AA736D" w:rsidTr="00565313">
        <w:trPr>
          <w:trHeight w:val="80"/>
        </w:trPr>
        <w:tc>
          <w:tcPr>
            <w:tcW w:w="3850" w:type="dxa"/>
            <w:tcBorders>
              <w:top w:val="nil"/>
              <w:left w:val="single" w:sz="4" w:space="0" w:color="auto"/>
              <w:bottom w:val="nil"/>
              <w:right w:val="nil"/>
            </w:tcBorders>
            <w:shd w:val="clear" w:color="auto" w:fill="auto"/>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xml:space="preserve">Dôchodky </w:t>
            </w:r>
            <w:proofErr w:type="spellStart"/>
            <w:r w:rsidRPr="00AA736D">
              <w:rPr>
                <w:rFonts w:ascii="Arial CE" w:hAnsi="Arial CE" w:cs="Arial CE"/>
                <w:sz w:val="20"/>
              </w:rPr>
              <w:t>neprev</w:t>
            </w:r>
            <w:proofErr w:type="spellEnd"/>
            <w:r w:rsidRPr="00AA736D">
              <w:rPr>
                <w:rFonts w:ascii="Arial CE" w:hAnsi="Arial CE" w:cs="Arial CE"/>
                <w:sz w:val="20"/>
              </w:rPr>
              <w:t>. do automat. evidencie</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72</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70</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64</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- 8</w:t>
            </w:r>
          </w:p>
        </w:tc>
        <w:tc>
          <w:tcPr>
            <w:tcW w:w="807"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- 6</w:t>
            </w:r>
          </w:p>
        </w:tc>
      </w:tr>
      <w:tr w:rsidR="00AA736D" w:rsidRPr="00AA736D" w:rsidTr="00565313">
        <w:trPr>
          <w:trHeight w:val="122"/>
        </w:trPr>
        <w:tc>
          <w:tcPr>
            <w:tcW w:w="3850" w:type="dxa"/>
            <w:tcBorders>
              <w:top w:val="nil"/>
              <w:left w:val="single" w:sz="4" w:space="0" w:color="auto"/>
              <w:bottom w:val="nil"/>
              <w:right w:val="nil"/>
            </w:tcBorders>
            <w:shd w:val="clear" w:color="auto" w:fill="auto"/>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Dôchodky vyplácané do cudziny</w:t>
            </w:r>
          </w:p>
        </w:tc>
        <w:tc>
          <w:tcPr>
            <w:tcW w:w="1554"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20 572</w:t>
            </w:r>
          </w:p>
        </w:tc>
        <w:tc>
          <w:tcPr>
            <w:tcW w:w="1554"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21 607</w:t>
            </w:r>
          </w:p>
        </w:tc>
        <w:tc>
          <w:tcPr>
            <w:tcW w:w="1133"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22 044</w:t>
            </w:r>
          </w:p>
        </w:tc>
        <w:tc>
          <w:tcPr>
            <w:tcW w:w="82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1 472</w:t>
            </w:r>
          </w:p>
        </w:tc>
        <w:tc>
          <w:tcPr>
            <w:tcW w:w="807"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437</w:t>
            </w:r>
          </w:p>
        </w:tc>
      </w:tr>
      <w:tr w:rsidR="00AA736D" w:rsidRPr="00AA736D" w:rsidTr="00565313">
        <w:trPr>
          <w:trHeight w:val="345"/>
        </w:trPr>
        <w:tc>
          <w:tcPr>
            <w:tcW w:w="3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Celkom</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1 636 334</w:t>
            </w:r>
          </w:p>
        </w:tc>
        <w:tc>
          <w:tcPr>
            <w:tcW w:w="1554" w:type="dxa"/>
            <w:tcBorders>
              <w:top w:val="single" w:sz="4" w:space="0" w:color="auto"/>
              <w:left w:val="nil"/>
              <w:bottom w:val="single" w:sz="4" w:space="0" w:color="auto"/>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1 655 419</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ind w:left="-71" w:right="-174"/>
              <w:jc w:val="right"/>
              <w:rPr>
                <w:rFonts w:ascii="Arial CE" w:hAnsi="Arial CE" w:cs="Arial CE"/>
                <w:sz w:val="20"/>
              </w:rPr>
            </w:pPr>
            <w:r w:rsidRPr="00AA736D">
              <w:rPr>
                <w:rFonts w:ascii="Arial CE" w:hAnsi="Arial CE" w:cs="Arial CE"/>
                <w:sz w:val="20"/>
              </w:rPr>
              <w:t>1 652 4687</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16 134</w:t>
            </w:r>
          </w:p>
        </w:tc>
        <w:tc>
          <w:tcPr>
            <w:tcW w:w="807"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-2 951</w:t>
            </w:r>
          </w:p>
        </w:tc>
      </w:tr>
    </w:tbl>
    <w:p w:rsidR="00AA736D" w:rsidRPr="00AA736D" w:rsidRDefault="00AA736D" w:rsidP="00AA736D">
      <w:pPr>
        <w:spacing w:before="240" w:after="120"/>
        <w:ind w:firstLine="720"/>
        <w:jc w:val="both"/>
        <w:rPr>
          <w:rFonts w:cs="Arial"/>
          <w:color w:val="000000"/>
          <w:szCs w:val="24"/>
        </w:rPr>
      </w:pPr>
    </w:p>
    <w:p w:rsidR="00AA736D" w:rsidRPr="00AA736D" w:rsidRDefault="00AA736D" w:rsidP="00AA736D">
      <w:pPr>
        <w:ind w:right="-159" w:firstLine="720"/>
        <w:jc w:val="both"/>
        <w:rPr>
          <w:color w:val="000000"/>
        </w:rPr>
      </w:pPr>
      <w:r w:rsidRPr="00AA736D">
        <w:rPr>
          <w:color w:val="000000"/>
        </w:rPr>
        <w:t xml:space="preserve">Vývoj počtu vyplácaných dôchodkov podľa jednotlivých mesiacov roka 2014 a 2015: </w:t>
      </w:r>
    </w:p>
    <w:p w:rsidR="00AA736D" w:rsidRPr="00AA736D" w:rsidRDefault="00AA736D" w:rsidP="00AA736D">
      <w:pPr>
        <w:spacing w:before="240" w:after="120"/>
        <w:jc w:val="both"/>
        <w:rPr>
          <w:noProof/>
        </w:rPr>
      </w:pPr>
    </w:p>
    <w:p w:rsidR="00AA736D" w:rsidRPr="00AA736D" w:rsidRDefault="00AA736D" w:rsidP="00AA736D">
      <w:pPr>
        <w:spacing w:before="240" w:after="120"/>
        <w:jc w:val="both"/>
        <w:rPr>
          <w:noProof/>
        </w:rPr>
      </w:pPr>
      <w:r w:rsidRPr="00AA736D">
        <w:rPr>
          <w:noProof/>
        </w:rPr>
        <w:lastRenderedPageBreak/>
        <w:drawing>
          <wp:inline distT="0" distB="0" distL="0" distR="0" wp14:anchorId="088AB8A7" wp14:editId="4CDA9C69">
            <wp:extent cx="5943600" cy="3314700"/>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736D" w:rsidRPr="00AA736D" w:rsidRDefault="00AA736D" w:rsidP="00AA736D">
      <w:pPr>
        <w:spacing w:before="240" w:after="120"/>
        <w:ind w:firstLine="720"/>
        <w:jc w:val="both"/>
        <w:rPr>
          <w:rFonts w:cs="Arial"/>
          <w:color w:val="000000"/>
          <w:szCs w:val="24"/>
        </w:rPr>
      </w:pPr>
      <w:r w:rsidRPr="00AA736D">
        <w:rPr>
          <w:color w:val="000000"/>
        </w:rPr>
        <w:t>Prehľad o priemernej mesačnej výške vyplácaného sólo dôchodku podľa druhu dôchodku k 30. júnu 2015, v porovnaní so stavom k 30</w:t>
      </w:r>
      <w:r w:rsidRPr="00AA736D">
        <w:rPr>
          <w:rFonts w:cs="Arial"/>
          <w:color w:val="000000"/>
          <w:szCs w:val="24"/>
        </w:rPr>
        <w:t>. júnu 2014 a k 31. decembru 2014:</w:t>
      </w:r>
    </w:p>
    <w:tbl>
      <w:tblPr>
        <w:tblW w:w="8197" w:type="dxa"/>
        <w:tblInd w:w="70" w:type="dxa"/>
        <w:tblCellMar>
          <w:left w:w="70" w:type="dxa"/>
          <w:right w:w="70" w:type="dxa"/>
        </w:tblCellMar>
        <w:tblLook w:val="04A0" w:firstRow="1" w:lastRow="0" w:firstColumn="1" w:lastColumn="0" w:noHBand="0" w:noVBand="1"/>
      </w:tblPr>
      <w:tblGrid>
        <w:gridCol w:w="2977"/>
        <w:gridCol w:w="1030"/>
        <w:gridCol w:w="104"/>
        <w:gridCol w:w="1290"/>
        <w:gridCol w:w="1060"/>
        <w:gridCol w:w="860"/>
        <w:gridCol w:w="876"/>
      </w:tblGrid>
      <w:tr w:rsidR="00AA736D" w:rsidRPr="00AA736D" w:rsidTr="00565313">
        <w:trPr>
          <w:trHeight w:val="255"/>
        </w:trPr>
        <w:tc>
          <w:tcPr>
            <w:tcW w:w="2977"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030"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394" w:type="dxa"/>
            <w:gridSpan w:val="2"/>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060"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86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p>
        </w:tc>
        <w:tc>
          <w:tcPr>
            <w:tcW w:w="876"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v Eur</w:t>
            </w:r>
          </w:p>
        </w:tc>
      </w:tr>
      <w:tr w:rsidR="00AA736D" w:rsidRPr="00AA736D" w:rsidTr="00565313">
        <w:trPr>
          <w:trHeight w:val="255"/>
        </w:trPr>
        <w:tc>
          <w:tcPr>
            <w:tcW w:w="2977" w:type="dxa"/>
            <w:tcBorders>
              <w:top w:val="single" w:sz="4" w:space="0" w:color="auto"/>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w:t>
            </w:r>
          </w:p>
        </w:tc>
        <w:tc>
          <w:tcPr>
            <w:tcW w:w="3484" w:type="dxa"/>
            <w:gridSpan w:val="4"/>
            <w:tcBorders>
              <w:top w:val="single" w:sz="4" w:space="0" w:color="auto"/>
              <w:left w:val="single" w:sz="4" w:space="0" w:color="auto"/>
              <w:bottom w:val="nil"/>
              <w:right w:val="single" w:sz="4" w:space="0" w:color="000000"/>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Výška vyplácaného sólo dôchodku k</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Rozdiel   3-1</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Rozdiel   3-2</w:t>
            </w:r>
          </w:p>
        </w:tc>
      </w:tr>
      <w:tr w:rsidR="00AA736D" w:rsidRPr="00AA736D" w:rsidTr="00565313">
        <w:trPr>
          <w:trHeight w:val="255"/>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Druh dôchodku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30.6.2014</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31.12.2014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 xml:space="preserve"> 30.6.2015</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ascii="Arial CE" w:hAnsi="Arial CE" w:cs="Arial CE"/>
                <w:sz w:val="20"/>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ascii="Arial CE" w:hAnsi="Arial CE" w:cs="Arial CE"/>
                <w:sz w:val="20"/>
              </w:rPr>
            </w:pPr>
          </w:p>
        </w:tc>
      </w:tr>
      <w:tr w:rsidR="00AA736D" w:rsidRPr="00AA736D" w:rsidTr="00565313">
        <w:trPr>
          <w:trHeight w:val="255"/>
        </w:trPr>
        <w:tc>
          <w:tcPr>
            <w:tcW w:w="2977" w:type="dxa"/>
            <w:tcBorders>
              <w:top w:val="single" w:sz="4" w:space="0" w:color="auto"/>
              <w:left w:val="single" w:sz="4" w:space="0" w:color="auto"/>
              <w:bottom w:val="single" w:sz="4" w:space="0" w:color="auto"/>
              <w:right w:val="nil"/>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a</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1</w:t>
            </w:r>
          </w:p>
        </w:tc>
        <w:tc>
          <w:tcPr>
            <w:tcW w:w="129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2</w:t>
            </w:r>
          </w:p>
        </w:tc>
        <w:tc>
          <w:tcPr>
            <w:tcW w:w="1060"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3</w:t>
            </w:r>
          </w:p>
        </w:tc>
        <w:tc>
          <w:tcPr>
            <w:tcW w:w="8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4</w:t>
            </w:r>
          </w:p>
        </w:tc>
        <w:tc>
          <w:tcPr>
            <w:tcW w:w="87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5</w:t>
            </w:r>
          </w:p>
        </w:tc>
      </w:tr>
      <w:tr w:rsidR="00AA736D" w:rsidRPr="00AA736D" w:rsidTr="00565313">
        <w:trPr>
          <w:trHeight w:val="127"/>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Starobný dôchodok</w:t>
            </w:r>
          </w:p>
        </w:tc>
        <w:tc>
          <w:tcPr>
            <w:tcW w:w="1134" w:type="dxa"/>
            <w:gridSpan w:val="2"/>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398,90</w:t>
            </w:r>
          </w:p>
        </w:tc>
        <w:tc>
          <w:tcPr>
            <w:tcW w:w="129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400,18</w:t>
            </w:r>
          </w:p>
        </w:tc>
        <w:tc>
          <w:tcPr>
            <w:tcW w:w="106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408,80</w:t>
            </w:r>
          </w:p>
        </w:tc>
        <w:tc>
          <w:tcPr>
            <w:tcW w:w="8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9,90</w:t>
            </w:r>
          </w:p>
        </w:tc>
        <w:tc>
          <w:tcPr>
            <w:tcW w:w="876"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8,62</w:t>
            </w:r>
          </w:p>
        </w:tc>
      </w:tr>
      <w:tr w:rsidR="00AA736D" w:rsidRPr="00AA736D" w:rsidTr="00565313">
        <w:trPr>
          <w:trHeight w:val="183"/>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Predčasný starobný dôchodok</w:t>
            </w:r>
          </w:p>
        </w:tc>
        <w:tc>
          <w:tcPr>
            <w:tcW w:w="1134" w:type="dxa"/>
            <w:gridSpan w:val="2"/>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392,93</w:t>
            </w:r>
          </w:p>
        </w:tc>
        <w:tc>
          <w:tcPr>
            <w:tcW w:w="129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384,42</w:t>
            </w:r>
          </w:p>
        </w:tc>
        <w:tc>
          <w:tcPr>
            <w:tcW w:w="106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390,28</w:t>
            </w:r>
          </w:p>
        </w:tc>
        <w:tc>
          <w:tcPr>
            <w:tcW w:w="8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-2,65</w:t>
            </w:r>
          </w:p>
        </w:tc>
        <w:tc>
          <w:tcPr>
            <w:tcW w:w="876"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5,86</w:t>
            </w:r>
          </w:p>
        </w:tc>
      </w:tr>
      <w:tr w:rsidR="00AA736D" w:rsidRPr="00AA736D" w:rsidTr="00565313">
        <w:trPr>
          <w:trHeight w:val="101"/>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Invalidný dôchodok</w:t>
            </w:r>
          </w:p>
        </w:tc>
        <w:tc>
          <w:tcPr>
            <w:tcW w:w="1134" w:type="dxa"/>
            <w:gridSpan w:val="2"/>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268,63</w:t>
            </w:r>
          </w:p>
        </w:tc>
        <w:tc>
          <w:tcPr>
            <w:tcW w:w="129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266,64</w:t>
            </w:r>
          </w:p>
        </w:tc>
        <w:tc>
          <w:tcPr>
            <w:tcW w:w="106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267,59</w:t>
            </w:r>
          </w:p>
        </w:tc>
        <w:tc>
          <w:tcPr>
            <w:tcW w:w="8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-1,04</w:t>
            </w:r>
          </w:p>
        </w:tc>
        <w:tc>
          <w:tcPr>
            <w:tcW w:w="876"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0,95</w:t>
            </w:r>
          </w:p>
        </w:tc>
      </w:tr>
      <w:tr w:rsidR="00AA736D" w:rsidRPr="00AA736D" w:rsidTr="00565313">
        <w:trPr>
          <w:trHeight w:val="147"/>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Vdovský dôchodok</w:t>
            </w:r>
          </w:p>
        </w:tc>
        <w:tc>
          <w:tcPr>
            <w:tcW w:w="1134" w:type="dxa"/>
            <w:gridSpan w:val="2"/>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242,57</w:t>
            </w:r>
          </w:p>
        </w:tc>
        <w:tc>
          <w:tcPr>
            <w:tcW w:w="129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242,90</w:t>
            </w:r>
          </w:p>
        </w:tc>
        <w:tc>
          <w:tcPr>
            <w:tcW w:w="106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246,14</w:t>
            </w:r>
          </w:p>
        </w:tc>
        <w:tc>
          <w:tcPr>
            <w:tcW w:w="8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3,57</w:t>
            </w:r>
          </w:p>
        </w:tc>
        <w:tc>
          <w:tcPr>
            <w:tcW w:w="876"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3,24</w:t>
            </w:r>
          </w:p>
        </w:tc>
      </w:tr>
      <w:tr w:rsidR="00AA736D" w:rsidRPr="00AA736D" w:rsidTr="00565313">
        <w:trPr>
          <w:trHeight w:val="80"/>
        </w:trPr>
        <w:tc>
          <w:tcPr>
            <w:tcW w:w="2977"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xml:space="preserve">Vdovecký dôchodok </w:t>
            </w:r>
          </w:p>
        </w:tc>
        <w:tc>
          <w:tcPr>
            <w:tcW w:w="1134" w:type="dxa"/>
            <w:gridSpan w:val="2"/>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187,37</w:t>
            </w:r>
          </w:p>
        </w:tc>
        <w:tc>
          <w:tcPr>
            <w:tcW w:w="129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186,71</w:t>
            </w:r>
          </w:p>
        </w:tc>
        <w:tc>
          <w:tcPr>
            <w:tcW w:w="106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188,88</w:t>
            </w:r>
          </w:p>
        </w:tc>
        <w:tc>
          <w:tcPr>
            <w:tcW w:w="8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1,51</w:t>
            </w:r>
          </w:p>
        </w:tc>
        <w:tc>
          <w:tcPr>
            <w:tcW w:w="876"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2,17</w:t>
            </w:r>
          </w:p>
        </w:tc>
      </w:tr>
      <w:tr w:rsidR="00AA736D" w:rsidRPr="00AA736D" w:rsidTr="00565313">
        <w:trPr>
          <w:trHeight w:val="111"/>
        </w:trPr>
        <w:tc>
          <w:tcPr>
            <w:tcW w:w="2977" w:type="dxa"/>
            <w:tcBorders>
              <w:top w:val="nil"/>
              <w:left w:val="single" w:sz="4" w:space="0" w:color="auto"/>
              <w:bottom w:val="single" w:sz="4" w:space="0" w:color="auto"/>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Sirotský dôchodok</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131,78</w:t>
            </w:r>
          </w:p>
        </w:tc>
        <w:tc>
          <w:tcPr>
            <w:tcW w:w="1290" w:type="dxa"/>
            <w:tcBorders>
              <w:top w:val="nil"/>
              <w:left w:val="nil"/>
              <w:bottom w:val="single" w:sz="4" w:space="0" w:color="auto"/>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131,29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130,39</w:t>
            </w:r>
          </w:p>
        </w:tc>
        <w:tc>
          <w:tcPr>
            <w:tcW w:w="8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-1,39</w:t>
            </w:r>
          </w:p>
        </w:tc>
        <w:tc>
          <w:tcPr>
            <w:tcW w:w="87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-0,90</w:t>
            </w:r>
          </w:p>
        </w:tc>
      </w:tr>
    </w:tbl>
    <w:p w:rsidR="00AA736D" w:rsidRPr="00AA736D" w:rsidRDefault="00AA736D" w:rsidP="00AA736D">
      <w:pPr>
        <w:spacing w:after="120"/>
        <w:ind w:firstLine="720"/>
        <w:jc w:val="both"/>
        <w:rPr>
          <w:rFonts w:cs="Arial"/>
          <w:color w:val="000000"/>
          <w:sz w:val="20"/>
        </w:rPr>
      </w:pPr>
    </w:p>
    <w:p w:rsidR="00AA736D" w:rsidRPr="00AA736D" w:rsidRDefault="00AA736D" w:rsidP="00AA736D">
      <w:pPr>
        <w:spacing w:before="240" w:after="120"/>
        <w:ind w:firstLine="709"/>
        <w:jc w:val="both"/>
        <w:rPr>
          <w:rFonts w:cs="Arial"/>
          <w:color w:val="000000"/>
          <w:szCs w:val="24"/>
        </w:rPr>
      </w:pPr>
      <w:r w:rsidRPr="00AA736D">
        <w:rPr>
          <w:rFonts w:cs="Arial"/>
          <w:color w:val="000000"/>
          <w:szCs w:val="24"/>
        </w:rPr>
        <w:t>Prehľad o priemernej výške vyplácaných sólo dôchodkov podľa druhu dôchodku a pohlavia k 30. júnu 2015:</w:t>
      </w:r>
    </w:p>
    <w:tbl>
      <w:tblPr>
        <w:tblW w:w="6176" w:type="dxa"/>
        <w:tblInd w:w="70" w:type="dxa"/>
        <w:tblCellMar>
          <w:left w:w="70" w:type="dxa"/>
          <w:right w:w="70" w:type="dxa"/>
        </w:tblCellMar>
        <w:tblLook w:val="04A0" w:firstRow="1" w:lastRow="0" w:firstColumn="1" w:lastColumn="0" w:noHBand="0" w:noVBand="1"/>
      </w:tblPr>
      <w:tblGrid>
        <w:gridCol w:w="2840"/>
        <w:gridCol w:w="1120"/>
        <w:gridCol w:w="1140"/>
        <w:gridCol w:w="1076"/>
      </w:tblGrid>
      <w:tr w:rsidR="00AA736D" w:rsidRPr="00AA736D" w:rsidTr="00565313">
        <w:trPr>
          <w:trHeight w:val="255"/>
        </w:trPr>
        <w:tc>
          <w:tcPr>
            <w:tcW w:w="2840"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120"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140" w:type="dxa"/>
            <w:tcBorders>
              <w:top w:val="nil"/>
              <w:left w:val="nil"/>
              <w:bottom w:val="nil"/>
              <w:right w:val="nil"/>
            </w:tcBorders>
            <w:shd w:val="clear" w:color="auto" w:fill="auto"/>
            <w:noWrap/>
            <w:vAlign w:val="bottom"/>
            <w:hideMark/>
          </w:tcPr>
          <w:p w:rsidR="00AA736D" w:rsidRPr="00AA736D" w:rsidRDefault="00AA736D" w:rsidP="00AA736D">
            <w:pPr>
              <w:rPr>
                <w:rFonts w:ascii="Arial CE" w:hAnsi="Arial CE" w:cs="Arial CE"/>
                <w:sz w:val="20"/>
              </w:rPr>
            </w:pPr>
          </w:p>
        </w:tc>
        <w:tc>
          <w:tcPr>
            <w:tcW w:w="1076"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v Eur</w:t>
            </w:r>
          </w:p>
        </w:tc>
      </w:tr>
      <w:tr w:rsidR="00AA736D" w:rsidRPr="00AA736D" w:rsidTr="00565313">
        <w:trPr>
          <w:trHeight w:val="255"/>
        </w:trPr>
        <w:tc>
          <w:tcPr>
            <w:tcW w:w="2840" w:type="dxa"/>
            <w:tcBorders>
              <w:top w:val="single" w:sz="4" w:space="0" w:color="auto"/>
              <w:left w:val="single" w:sz="4" w:space="0" w:color="auto"/>
              <w:bottom w:val="single" w:sz="4" w:space="0" w:color="auto"/>
              <w:right w:val="nil"/>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Druh dôchodku</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muži</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ženy</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spolu</w:t>
            </w:r>
          </w:p>
        </w:tc>
      </w:tr>
      <w:tr w:rsidR="00AA736D" w:rsidRPr="00AA736D" w:rsidTr="00565313">
        <w:trPr>
          <w:trHeight w:val="255"/>
        </w:trPr>
        <w:tc>
          <w:tcPr>
            <w:tcW w:w="284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a</w:t>
            </w:r>
          </w:p>
        </w:tc>
        <w:tc>
          <w:tcPr>
            <w:tcW w:w="112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1</w:t>
            </w:r>
          </w:p>
        </w:tc>
        <w:tc>
          <w:tcPr>
            <w:tcW w:w="114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2</w:t>
            </w:r>
          </w:p>
        </w:tc>
        <w:tc>
          <w:tcPr>
            <w:tcW w:w="1076" w:type="dxa"/>
            <w:tcBorders>
              <w:top w:val="nil"/>
              <w:left w:val="nil"/>
              <w:bottom w:val="nil"/>
              <w:right w:val="single" w:sz="4" w:space="0" w:color="auto"/>
            </w:tcBorders>
            <w:shd w:val="clear" w:color="auto" w:fill="auto"/>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3</w:t>
            </w:r>
          </w:p>
        </w:tc>
      </w:tr>
      <w:tr w:rsidR="00AA736D" w:rsidRPr="00AA736D" w:rsidTr="00565313">
        <w:trPr>
          <w:trHeight w:val="249"/>
        </w:trPr>
        <w:tc>
          <w:tcPr>
            <w:tcW w:w="2840" w:type="dxa"/>
            <w:tcBorders>
              <w:top w:val="single" w:sz="4" w:space="0" w:color="auto"/>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Starobný dôchodok</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457,58</w:t>
            </w:r>
          </w:p>
        </w:tc>
        <w:tc>
          <w:tcPr>
            <w:tcW w:w="1140" w:type="dxa"/>
            <w:tcBorders>
              <w:top w:val="single" w:sz="4" w:space="0" w:color="auto"/>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363,53</w:t>
            </w:r>
          </w:p>
        </w:tc>
        <w:tc>
          <w:tcPr>
            <w:tcW w:w="1076" w:type="dxa"/>
            <w:tcBorders>
              <w:top w:val="single" w:sz="4" w:space="0" w:color="auto"/>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408,80</w:t>
            </w:r>
          </w:p>
        </w:tc>
      </w:tr>
      <w:tr w:rsidR="00AA736D" w:rsidRPr="00AA736D" w:rsidTr="00565313">
        <w:trPr>
          <w:trHeight w:val="135"/>
        </w:trPr>
        <w:tc>
          <w:tcPr>
            <w:tcW w:w="2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Predčasný starobný dôchodok</w:t>
            </w:r>
          </w:p>
        </w:tc>
        <w:tc>
          <w:tcPr>
            <w:tcW w:w="112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411,08</w:t>
            </w:r>
          </w:p>
        </w:tc>
        <w:tc>
          <w:tcPr>
            <w:tcW w:w="114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343,51</w:t>
            </w:r>
          </w:p>
        </w:tc>
        <w:tc>
          <w:tcPr>
            <w:tcW w:w="1076"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390,28</w:t>
            </w:r>
          </w:p>
        </w:tc>
      </w:tr>
      <w:tr w:rsidR="00AA736D" w:rsidRPr="00AA736D" w:rsidTr="00565313">
        <w:trPr>
          <w:trHeight w:val="80"/>
        </w:trPr>
        <w:tc>
          <w:tcPr>
            <w:tcW w:w="2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Invalidný dôchodok</w:t>
            </w:r>
          </w:p>
        </w:tc>
        <w:tc>
          <w:tcPr>
            <w:tcW w:w="112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291,88</w:t>
            </w:r>
          </w:p>
        </w:tc>
        <w:tc>
          <w:tcPr>
            <w:tcW w:w="114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241,53</w:t>
            </w:r>
          </w:p>
        </w:tc>
        <w:tc>
          <w:tcPr>
            <w:tcW w:w="1076"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267,59</w:t>
            </w:r>
          </w:p>
        </w:tc>
      </w:tr>
      <w:tr w:rsidR="00AA736D" w:rsidRPr="00AA736D" w:rsidTr="00565313">
        <w:trPr>
          <w:trHeight w:val="80"/>
        </w:trPr>
        <w:tc>
          <w:tcPr>
            <w:tcW w:w="2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Vdovský dôchodok</w:t>
            </w:r>
          </w:p>
        </w:tc>
        <w:tc>
          <w:tcPr>
            <w:tcW w:w="112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x</w:t>
            </w:r>
          </w:p>
        </w:tc>
        <w:tc>
          <w:tcPr>
            <w:tcW w:w="1140" w:type="dxa"/>
            <w:tcBorders>
              <w:top w:val="nil"/>
              <w:left w:val="nil"/>
              <w:bottom w:val="nil"/>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246,14</w:t>
            </w:r>
          </w:p>
        </w:tc>
        <w:tc>
          <w:tcPr>
            <w:tcW w:w="1076"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246,14</w:t>
            </w:r>
          </w:p>
        </w:tc>
      </w:tr>
      <w:tr w:rsidR="00AA736D" w:rsidRPr="00AA736D" w:rsidTr="00565313">
        <w:trPr>
          <w:trHeight w:val="80"/>
        </w:trPr>
        <w:tc>
          <w:tcPr>
            <w:tcW w:w="2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 xml:space="preserve">Vdovecký dôchodok </w:t>
            </w:r>
          </w:p>
        </w:tc>
        <w:tc>
          <w:tcPr>
            <w:tcW w:w="112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188,88</w:t>
            </w:r>
          </w:p>
        </w:tc>
        <w:tc>
          <w:tcPr>
            <w:tcW w:w="1140" w:type="dxa"/>
            <w:tcBorders>
              <w:top w:val="nil"/>
              <w:left w:val="nil"/>
              <w:bottom w:val="nil"/>
              <w:right w:val="nil"/>
            </w:tcBorders>
            <w:shd w:val="clear" w:color="auto" w:fill="auto"/>
            <w:noWrap/>
            <w:vAlign w:val="bottom"/>
            <w:hideMark/>
          </w:tcPr>
          <w:p w:rsidR="00AA736D" w:rsidRPr="00AA736D" w:rsidRDefault="00AA736D" w:rsidP="00AA736D">
            <w:pPr>
              <w:jc w:val="center"/>
              <w:rPr>
                <w:rFonts w:ascii="Arial CE" w:hAnsi="Arial CE" w:cs="Arial CE"/>
                <w:sz w:val="20"/>
              </w:rPr>
            </w:pPr>
            <w:r w:rsidRPr="00AA736D">
              <w:rPr>
                <w:rFonts w:ascii="Arial CE" w:hAnsi="Arial CE" w:cs="Arial CE"/>
                <w:sz w:val="20"/>
              </w:rPr>
              <w:t>x</w:t>
            </w:r>
          </w:p>
        </w:tc>
        <w:tc>
          <w:tcPr>
            <w:tcW w:w="1076"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188,88</w:t>
            </w:r>
          </w:p>
        </w:tc>
      </w:tr>
      <w:tr w:rsidR="00AA736D" w:rsidRPr="00AA736D" w:rsidTr="00565313">
        <w:trPr>
          <w:trHeight w:val="80"/>
        </w:trPr>
        <w:tc>
          <w:tcPr>
            <w:tcW w:w="2840" w:type="dxa"/>
            <w:tcBorders>
              <w:top w:val="nil"/>
              <w:left w:val="single" w:sz="4" w:space="0" w:color="auto"/>
              <w:bottom w:val="single" w:sz="4" w:space="0" w:color="auto"/>
              <w:right w:val="nil"/>
            </w:tcBorders>
            <w:shd w:val="clear" w:color="auto" w:fill="auto"/>
            <w:noWrap/>
            <w:vAlign w:val="bottom"/>
            <w:hideMark/>
          </w:tcPr>
          <w:p w:rsidR="00AA736D" w:rsidRPr="00AA736D" w:rsidRDefault="00AA736D" w:rsidP="00AA736D">
            <w:pPr>
              <w:rPr>
                <w:rFonts w:ascii="Arial CE" w:hAnsi="Arial CE" w:cs="Arial CE"/>
                <w:sz w:val="20"/>
              </w:rPr>
            </w:pPr>
            <w:r w:rsidRPr="00AA736D">
              <w:rPr>
                <w:rFonts w:ascii="Arial CE" w:hAnsi="Arial CE" w:cs="Arial CE"/>
                <w:sz w:val="20"/>
              </w:rPr>
              <w:t>Sirotský dôchodok</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124,45</w:t>
            </w:r>
          </w:p>
        </w:tc>
        <w:tc>
          <w:tcPr>
            <w:tcW w:w="1140" w:type="dxa"/>
            <w:tcBorders>
              <w:top w:val="nil"/>
              <w:left w:val="nil"/>
              <w:bottom w:val="single" w:sz="4" w:space="0" w:color="auto"/>
              <w:right w:val="nil"/>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132,69</w:t>
            </w:r>
          </w:p>
        </w:tc>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20"/>
              </w:rPr>
            </w:pPr>
            <w:r w:rsidRPr="00AA736D">
              <w:rPr>
                <w:rFonts w:ascii="Arial CE" w:hAnsi="Arial CE" w:cs="Arial CE"/>
                <w:sz w:val="20"/>
              </w:rPr>
              <w:t>130,39</w:t>
            </w:r>
          </w:p>
        </w:tc>
      </w:tr>
    </w:tbl>
    <w:p w:rsidR="00AA736D" w:rsidRPr="00AA736D" w:rsidRDefault="00AA736D" w:rsidP="00AA736D">
      <w:pPr>
        <w:ind w:firstLine="709"/>
        <w:jc w:val="both"/>
        <w:rPr>
          <w:rFonts w:cs="Arial"/>
          <w:color w:val="000000"/>
          <w:szCs w:val="24"/>
        </w:rPr>
      </w:pPr>
    </w:p>
    <w:p w:rsidR="00AA736D" w:rsidRPr="00AA736D" w:rsidRDefault="00AA736D" w:rsidP="00AA736D">
      <w:pPr>
        <w:spacing w:after="120"/>
        <w:ind w:firstLine="709"/>
        <w:jc w:val="both"/>
        <w:rPr>
          <w:szCs w:val="24"/>
        </w:rPr>
      </w:pPr>
      <w:r w:rsidRPr="00AA736D">
        <w:rPr>
          <w:szCs w:val="24"/>
        </w:rPr>
        <w:t>Priemerná mesačná výška, takmer všetkých vyplácaných druhov dôchodkov vzrástla, oproti stavu k 31.12.2014, najmä v dôsledku realizovaného zvýšenia dôchodkov s účinnosťou od 1. januára 2015.</w:t>
      </w:r>
    </w:p>
    <w:p w:rsidR="00AA736D" w:rsidRPr="00AA736D" w:rsidRDefault="00AA736D" w:rsidP="00AA736D">
      <w:pPr>
        <w:spacing w:before="240" w:after="120"/>
        <w:ind w:firstLine="709"/>
        <w:jc w:val="both"/>
        <w:rPr>
          <w:szCs w:val="24"/>
        </w:rPr>
      </w:pPr>
      <w:r w:rsidRPr="00AA736D">
        <w:t xml:space="preserve">Sociálna poisťovňa k 30. júnu 2015 poukazovala dôchodky na osobné účty v peňažných ústavoch celkom 917 509 dôchodcom, čo predstavuje oproti stavu </w:t>
      </w:r>
      <w:r w:rsidRPr="00AA736D">
        <w:lastRenderedPageBreak/>
        <w:t>k 31. decembru 2014 nárast o 8 957. Výdavky na dôchodkové dávky poukázané na osobné účty dôchodcom k 30. júnu 2015 predstavovali 2 186 620 tis. Eur, čo je 69,93 % z celkových výdavkov. V nasledujúcej tabuľke je prehľad vývoja počtu osobných účtov v peňažných ústavoch, na ktoré boli poukazované dôchodkové dávky k 30. júnu 2015 v porovnaní so stavom k 31. decembru 2014.</w:t>
      </w:r>
    </w:p>
    <w:tbl>
      <w:tblPr>
        <w:tblW w:w="8301" w:type="dxa"/>
        <w:tblInd w:w="55" w:type="dxa"/>
        <w:tblCellMar>
          <w:left w:w="70" w:type="dxa"/>
          <w:right w:w="70" w:type="dxa"/>
        </w:tblCellMar>
        <w:tblLook w:val="04A0" w:firstRow="1" w:lastRow="0" w:firstColumn="1" w:lastColumn="0" w:noHBand="0" w:noVBand="1"/>
      </w:tblPr>
      <w:tblGrid>
        <w:gridCol w:w="3840"/>
        <w:gridCol w:w="941"/>
        <w:gridCol w:w="880"/>
        <w:gridCol w:w="880"/>
        <w:gridCol w:w="880"/>
        <w:gridCol w:w="880"/>
      </w:tblGrid>
      <w:tr w:rsidR="00AA736D" w:rsidRPr="00AA736D" w:rsidTr="00565313">
        <w:trPr>
          <w:trHeight w:val="225"/>
        </w:trPr>
        <w:tc>
          <w:tcPr>
            <w:tcW w:w="3840" w:type="dxa"/>
            <w:vMerge w:val="restart"/>
            <w:tcBorders>
              <w:top w:val="single" w:sz="4" w:space="0" w:color="auto"/>
              <w:left w:val="single" w:sz="4" w:space="0" w:color="auto"/>
              <w:bottom w:val="nil"/>
              <w:right w:val="nil"/>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Peňažný ústav</w:t>
            </w:r>
          </w:p>
        </w:tc>
        <w:tc>
          <w:tcPr>
            <w:tcW w:w="941" w:type="dxa"/>
            <w:vMerge w:val="restart"/>
            <w:tcBorders>
              <w:top w:val="single" w:sz="4" w:space="0" w:color="auto"/>
              <w:left w:val="single" w:sz="4" w:space="0" w:color="auto"/>
              <w:bottom w:val="nil"/>
              <w:right w:val="single" w:sz="4" w:space="0" w:color="auto"/>
            </w:tcBorders>
            <w:shd w:val="clear" w:color="auto" w:fill="auto"/>
            <w:vAlign w:val="bottom"/>
            <w:hideMark/>
          </w:tcPr>
          <w:p w:rsidR="00AA736D" w:rsidRPr="00AA736D" w:rsidRDefault="00AA736D" w:rsidP="00AA736D">
            <w:pPr>
              <w:jc w:val="center"/>
              <w:rPr>
                <w:rFonts w:cs="Arial"/>
                <w:sz w:val="16"/>
                <w:szCs w:val="16"/>
              </w:rPr>
            </w:pPr>
            <w:r w:rsidRPr="00AA736D">
              <w:rPr>
                <w:rFonts w:cs="Arial"/>
                <w:sz w:val="16"/>
                <w:szCs w:val="16"/>
              </w:rPr>
              <w:t>Stav k 31.12.2014</w:t>
            </w:r>
          </w:p>
        </w:tc>
        <w:tc>
          <w:tcPr>
            <w:tcW w:w="1760" w:type="dxa"/>
            <w:gridSpan w:val="2"/>
            <w:tcBorders>
              <w:top w:val="single" w:sz="4" w:space="0" w:color="auto"/>
              <w:left w:val="nil"/>
              <w:bottom w:val="nil"/>
              <w:right w:val="nil"/>
            </w:tcBorders>
            <w:shd w:val="clear" w:color="auto" w:fill="auto"/>
            <w:vAlign w:val="bottom"/>
            <w:hideMark/>
          </w:tcPr>
          <w:p w:rsidR="00AA736D" w:rsidRPr="00AA736D" w:rsidRDefault="00AA736D" w:rsidP="00AA736D">
            <w:pPr>
              <w:jc w:val="center"/>
              <w:rPr>
                <w:rFonts w:cs="Arial"/>
                <w:sz w:val="16"/>
                <w:szCs w:val="16"/>
              </w:rPr>
            </w:pPr>
            <w:r w:rsidRPr="00AA736D">
              <w:rPr>
                <w:rFonts w:cs="Arial"/>
                <w:sz w:val="16"/>
                <w:szCs w:val="16"/>
              </w:rPr>
              <w:t>Rok 2015</w:t>
            </w:r>
          </w:p>
        </w:tc>
        <w:tc>
          <w:tcPr>
            <w:tcW w:w="17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Rozdiel</w:t>
            </w:r>
          </w:p>
        </w:tc>
      </w:tr>
      <w:tr w:rsidR="00AA736D" w:rsidRPr="00AA736D" w:rsidTr="00565313">
        <w:trPr>
          <w:trHeight w:val="197"/>
        </w:trPr>
        <w:tc>
          <w:tcPr>
            <w:tcW w:w="3840" w:type="dxa"/>
            <w:vMerge/>
            <w:tcBorders>
              <w:top w:val="single" w:sz="4" w:space="0" w:color="auto"/>
              <w:left w:val="single" w:sz="4" w:space="0" w:color="auto"/>
              <w:bottom w:val="nil"/>
              <w:right w:val="nil"/>
            </w:tcBorders>
            <w:vAlign w:val="center"/>
            <w:hideMark/>
          </w:tcPr>
          <w:p w:rsidR="00AA736D" w:rsidRPr="00AA736D" w:rsidRDefault="00AA736D" w:rsidP="00AA736D">
            <w:pPr>
              <w:rPr>
                <w:rFonts w:cs="Arial"/>
                <w:sz w:val="16"/>
                <w:szCs w:val="16"/>
              </w:rPr>
            </w:pPr>
          </w:p>
        </w:tc>
        <w:tc>
          <w:tcPr>
            <w:tcW w:w="941" w:type="dxa"/>
            <w:vMerge/>
            <w:tcBorders>
              <w:top w:val="single" w:sz="4" w:space="0" w:color="auto"/>
              <w:left w:val="single" w:sz="4" w:space="0" w:color="auto"/>
              <w:bottom w:val="nil"/>
              <w:right w:val="single" w:sz="4" w:space="0" w:color="auto"/>
            </w:tcBorders>
            <w:vAlign w:val="center"/>
            <w:hideMark/>
          </w:tcPr>
          <w:p w:rsidR="00AA736D" w:rsidRPr="00AA736D" w:rsidRDefault="00AA736D" w:rsidP="00AA736D">
            <w:pPr>
              <w:rPr>
                <w:rFonts w:cs="Arial"/>
                <w:sz w:val="16"/>
                <w:szCs w:val="16"/>
              </w:rPr>
            </w:pPr>
          </w:p>
        </w:tc>
        <w:tc>
          <w:tcPr>
            <w:tcW w:w="880" w:type="dxa"/>
            <w:tcBorders>
              <w:top w:val="single" w:sz="4" w:space="0" w:color="auto"/>
              <w:left w:val="nil"/>
              <w:bottom w:val="nil"/>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k 31.3.</w:t>
            </w:r>
          </w:p>
        </w:tc>
        <w:tc>
          <w:tcPr>
            <w:tcW w:w="880" w:type="dxa"/>
            <w:tcBorders>
              <w:top w:val="single" w:sz="4" w:space="0" w:color="auto"/>
              <w:left w:val="nil"/>
              <w:bottom w:val="nil"/>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k 30.6.</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2 - 1</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3 - 1</w:t>
            </w:r>
          </w:p>
        </w:tc>
      </w:tr>
      <w:tr w:rsidR="00AA736D" w:rsidRPr="00AA736D" w:rsidTr="00565313">
        <w:trPr>
          <w:trHeight w:val="225"/>
        </w:trPr>
        <w:tc>
          <w:tcPr>
            <w:tcW w:w="3840" w:type="dxa"/>
            <w:tcBorders>
              <w:top w:val="single" w:sz="4" w:space="0" w:color="auto"/>
              <w:left w:val="single" w:sz="4" w:space="0" w:color="auto"/>
              <w:bottom w:val="single" w:sz="4" w:space="0" w:color="auto"/>
              <w:right w:val="nil"/>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1</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2</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3</w:t>
            </w:r>
          </w:p>
        </w:tc>
        <w:tc>
          <w:tcPr>
            <w:tcW w:w="880" w:type="dxa"/>
            <w:tcBorders>
              <w:top w:val="single" w:sz="4" w:space="0" w:color="auto"/>
              <w:left w:val="nil"/>
              <w:bottom w:val="single" w:sz="4" w:space="0" w:color="auto"/>
              <w:right w:val="nil"/>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16"/>
                <w:szCs w:val="16"/>
              </w:rPr>
            </w:pPr>
            <w:r w:rsidRPr="00AA736D">
              <w:rPr>
                <w:rFonts w:cs="Arial"/>
                <w:sz w:val="16"/>
                <w:szCs w:val="16"/>
              </w:rPr>
              <w:t>5</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Slovenská sporiteľňa,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274 010</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278 040</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281 000</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4 030</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6 990</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Poštová banka,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370 779</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366 442</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363 343</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-4 337</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-7 436</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Všeobecná úverová banka,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141 926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144 190</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145 647</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2 264</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3 721</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Tatra banka,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43 373</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44 165</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44 932</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792</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1 559</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PRIMA banka Slovensko,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16 240</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16 806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17 264</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566</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1 024</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Československá obchodná banka,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27 617</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28 229</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28 797</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612</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1 180</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OTP Banka Slovensko,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12 901</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13 086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13 141</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185</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240</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proofErr w:type="spellStart"/>
            <w:r w:rsidRPr="00AA736D">
              <w:rPr>
                <w:rFonts w:cs="Arial"/>
                <w:sz w:val="16"/>
                <w:szCs w:val="16"/>
              </w:rPr>
              <w:t>Unicredit</w:t>
            </w:r>
            <w:proofErr w:type="spellEnd"/>
            <w:r w:rsidRPr="00AA736D">
              <w:rPr>
                <w:rFonts w:cs="Arial"/>
                <w:sz w:val="16"/>
                <w:szCs w:val="16"/>
              </w:rPr>
              <w:t xml:space="preserve"> bank Slovakia,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9 186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9 782</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10 218</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596</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1 032</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proofErr w:type="spellStart"/>
            <w:r w:rsidRPr="00AA736D">
              <w:rPr>
                <w:rFonts w:cs="Arial"/>
                <w:sz w:val="16"/>
                <w:szCs w:val="16"/>
              </w:rPr>
              <w:t>Sberbank</w:t>
            </w:r>
            <w:proofErr w:type="spellEnd"/>
            <w:r w:rsidRPr="00AA736D">
              <w:rPr>
                <w:rFonts w:cs="Arial"/>
                <w:sz w:val="16"/>
                <w:szCs w:val="16"/>
              </w:rPr>
              <w:t xml:space="preserve"> Slovensko, a.s.</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6 649</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6 684</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6 730</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35</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81</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MBANK S.A., pobočka zahraničnej banky v SR</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4 700</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4 941</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5 132</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241</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432</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Národná banka Slovenska</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276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281</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284</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proofErr w:type="spellStart"/>
            <w:r w:rsidRPr="00AA736D">
              <w:rPr>
                <w:rFonts w:cs="Arial"/>
                <w:sz w:val="16"/>
                <w:szCs w:val="16"/>
              </w:rPr>
              <w:t>Privatbanka</w:t>
            </w:r>
            <w:proofErr w:type="spellEnd"/>
            <w:r w:rsidRPr="00AA736D">
              <w:rPr>
                <w:rFonts w:cs="Arial"/>
                <w:sz w:val="16"/>
                <w:szCs w:val="16"/>
              </w:rPr>
              <w:t xml:space="preserve">, a.s.  </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41</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42</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44</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1</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proofErr w:type="spellStart"/>
            <w:r w:rsidRPr="00AA736D">
              <w:rPr>
                <w:rFonts w:cs="Arial"/>
                <w:sz w:val="16"/>
                <w:szCs w:val="16"/>
              </w:rPr>
              <w:t>Zuno</w:t>
            </w:r>
            <w:proofErr w:type="spellEnd"/>
            <w:r w:rsidRPr="00AA736D">
              <w:rPr>
                <w:rFonts w:cs="Arial"/>
                <w:sz w:val="16"/>
                <w:szCs w:val="16"/>
              </w:rPr>
              <w:t xml:space="preserve"> Bank AG, pobočka zahraničnej banky</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799</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836</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861</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37</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62</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OBERBANK AG, pobočka zahraničnej banky v SR</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27</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25</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25</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J&amp;T Banka a.s., pobočka zahraničnej banky</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3</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3</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0</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 xml:space="preserve">FIO Banka, </w:t>
            </w:r>
            <w:proofErr w:type="spellStart"/>
            <w:r w:rsidRPr="00AA736D">
              <w:rPr>
                <w:rFonts w:cs="Arial"/>
                <w:sz w:val="16"/>
                <w:szCs w:val="16"/>
              </w:rPr>
              <w:t>a.s.pobočka</w:t>
            </w:r>
            <w:proofErr w:type="spellEnd"/>
            <w:r w:rsidRPr="00AA736D">
              <w:rPr>
                <w:rFonts w:cs="Arial"/>
                <w:sz w:val="16"/>
                <w:szCs w:val="16"/>
              </w:rPr>
              <w:t xml:space="preserve"> zahraničnej banky</w:t>
            </w:r>
          </w:p>
        </w:tc>
        <w:tc>
          <w:tcPr>
            <w:tcW w:w="941"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24</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52</w:t>
            </w:r>
          </w:p>
        </w:tc>
        <w:tc>
          <w:tcPr>
            <w:tcW w:w="88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84</w:t>
            </w:r>
          </w:p>
        </w:tc>
        <w:tc>
          <w:tcPr>
            <w:tcW w:w="880"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28</w:t>
            </w:r>
          </w:p>
        </w:tc>
        <w:tc>
          <w:tcPr>
            <w:tcW w:w="880"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60</w:t>
            </w:r>
          </w:p>
        </w:tc>
      </w:tr>
      <w:tr w:rsidR="00AA736D" w:rsidRPr="00AA736D" w:rsidTr="00565313">
        <w:trPr>
          <w:trHeight w:val="225"/>
        </w:trPr>
        <w:tc>
          <w:tcPr>
            <w:tcW w:w="3840" w:type="dxa"/>
            <w:tcBorders>
              <w:top w:val="nil"/>
              <w:left w:val="single" w:sz="4" w:space="0" w:color="auto"/>
              <w:bottom w:val="nil"/>
              <w:right w:val="nil"/>
            </w:tcBorders>
            <w:shd w:val="clear" w:color="auto" w:fill="auto"/>
            <w:noWrap/>
            <w:vAlign w:val="bottom"/>
          </w:tcPr>
          <w:p w:rsidR="00AA736D" w:rsidRPr="00AA736D" w:rsidRDefault="00AA736D" w:rsidP="00AA736D">
            <w:pPr>
              <w:rPr>
                <w:rFonts w:cs="Arial"/>
                <w:sz w:val="16"/>
                <w:szCs w:val="16"/>
              </w:rPr>
            </w:pPr>
            <w:r w:rsidRPr="00AA736D">
              <w:rPr>
                <w:rFonts w:cs="Arial"/>
                <w:sz w:val="16"/>
                <w:szCs w:val="16"/>
              </w:rPr>
              <w:t>PSSP Prvá Stavebná sporiteľňa</w:t>
            </w:r>
          </w:p>
        </w:tc>
        <w:tc>
          <w:tcPr>
            <w:tcW w:w="941"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1</w:t>
            </w:r>
          </w:p>
        </w:tc>
        <w:tc>
          <w:tcPr>
            <w:tcW w:w="880" w:type="dxa"/>
            <w:tcBorders>
              <w:top w:val="nil"/>
              <w:left w:val="nil"/>
              <w:bottom w:val="nil"/>
              <w:right w:val="single" w:sz="4" w:space="0" w:color="auto"/>
            </w:tcBorders>
            <w:shd w:val="clear" w:color="auto" w:fill="auto"/>
            <w:noWrap/>
            <w:vAlign w:val="bottom"/>
          </w:tcPr>
          <w:p w:rsidR="00AA736D" w:rsidRPr="00AA736D" w:rsidRDefault="00AA736D" w:rsidP="00AA736D">
            <w:pPr>
              <w:jc w:val="right"/>
              <w:rPr>
                <w:rFonts w:cs="Arial"/>
                <w:sz w:val="16"/>
                <w:szCs w:val="16"/>
              </w:rPr>
            </w:pPr>
            <w:r w:rsidRPr="00AA736D">
              <w:rPr>
                <w:rFonts w:cs="Arial"/>
                <w:sz w:val="16"/>
                <w:szCs w:val="16"/>
              </w:rPr>
              <w:t>2</w:t>
            </w:r>
          </w:p>
        </w:tc>
        <w:tc>
          <w:tcPr>
            <w:tcW w:w="880" w:type="dxa"/>
            <w:tcBorders>
              <w:top w:val="nil"/>
              <w:left w:val="nil"/>
              <w:bottom w:val="nil"/>
              <w:right w:val="single" w:sz="4" w:space="0" w:color="auto"/>
            </w:tcBorders>
            <w:shd w:val="clear" w:color="auto" w:fill="auto"/>
            <w:noWrap/>
            <w:vAlign w:val="bottom"/>
          </w:tcPr>
          <w:p w:rsidR="00AA736D" w:rsidRPr="00AA736D" w:rsidRDefault="00AA736D" w:rsidP="00AA736D">
            <w:pPr>
              <w:jc w:val="right"/>
              <w:rPr>
                <w:rFonts w:cs="Arial"/>
                <w:sz w:val="16"/>
                <w:szCs w:val="16"/>
              </w:rPr>
            </w:pPr>
            <w:r w:rsidRPr="00AA736D">
              <w:rPr>
                <w:rFonts w:cs="Arial"/>
                <w:sz w:val="16"/>
                <w:szCs w:val="16"/>
              </w:rPr>
              <w:t>2</w:t>
            </w:r>
          </w:p>
        </w:tc>
        <w:tc>
          <w:tcPr>
            <w:tcW w:w="880" w:type="dxa"/>
            <w:tcBorders>
              <w:top w:val="nil"/>
              <w:left w:val="nil"/>
              <w:bottom w:val="nil"/>
              <w:right w:val="nil"/>
            </w:tcBorders>
            <w:shd w:val="clear" w:color="auto" w:fill="auto"/>
            <w:noWrap/>
            <w:vAlign w:val="bottom"/>
          </w:tcPr>
          <w:p w:rsidR="00AA736D" w:rsidRPr="00AA736D" w:rsidRDefault="00AA736D" w:rsidP="00AA736D">
            <w:pPr>
              <w:jc w:val="right"/>
              <w:rPr>
                <w:rFonts w:cs="Arial"/>
                <w:sz w:val="16"/>
                <w:szCs w:val="16"/>
              </w:rPr>
            </w:pPr>
            <w:r w:rsidRPr="00AA736D">
              <w:rPr>
                <w:rFonts w:cs="Arial"/>
                <w:sz w:val="16"/>
                <w:szCs w:val="16"/>
              </w:rPr>
              <w:t>1</w:t>
            </w:r>
          </w:p>
        </w:tc>
        <w:tc>
          <w:tcPr>
            <w:tcW w:w="88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right"/>
              <w:rPr>
                <w:rFonts w:cs="Arial"/>
                <w:sz w:val="16"/>
                <w:szCs w:val="16"/>
              </w:rPr>
            </w:pPr>
            <w:r w:rsidRPr="00AA736D">
              <w:rPr>
                <w:rFonts w:cs="Arial"/>
                <w:sz w:val="16"/>
                <w:szCs w:val="16"/>
              </w:rPr>
              <w:t>1</w:t>
            </w:r>
          </w:p>
        </w:tc>
      </w:tr>
      <w:tr w:rsidR="00AA736D" w:rsidRPr="00AA736D" w:rsidTr="00565313">
        <w:trPr>
          <w:trHeight w:val="225"/>
        </w:trPr>
        <w:tc>
          <w:tcPr>
            <w:tcW w:w="3840" w:type="dxa"/>
            <w:tcBorders>
              <w:top w:val="single" w:sz="4" w:space="0" w:color="auto"/>
              <w:left w:val="single" w:sz="4" w:space="0" w:color="auto"/>
              <w:bottom w:val="single" w:sz="4" w:space="0" w:color="auto"/>
              <w:right w:val="nil"/>
            </w:tcBorders>
            <w:shd w:val="clear" w:color="auto" w:fill="auto"/>
            <w:noWrap/>
            <w:vAlign w:val="bottom"/>
            <w:hideMark/>
          </w:tcPr>
          <w:p w:rsidR="00AA736D" w:rsidRPr="00AA736D" w:rsidRDefault="00AA736D" w:rsidP="00AA736D">
            <w:pPr>
              <w:rPr>
                <w:rFonts w:cs="Arial"/>
                <w:sz w:val="16"/>
                <w:szCs w:val="16"/>
              </w:rPr>
            </w:pPr>
            <w:r w:rsidRPr="00AA736D">
              <w:rPr>
                <w:rFonts w:cs="Arial"/>
                <w:sz w:val="16"/>
                <w:szCs w:val="16"/>
              </w:rPr>
              <w:t>S p o l u</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ascii="Arial CE" w:hAnsi="Arial CE" w:cs="Arial CE"/>
                <w:sz w:val="16"/>
                <w:szCs w:val="16"/>
              </w:rPr>
            </w:pPr>
            <w:r w:rsidRPr="00AA736D">
              <w:rPr>
                <w:rFonts w:ascii="Arial CE" w:hAnsi="Arial CE" w:cs="Arial CE"/>
                <w:sz w:val="16"/>
                <w:szCs w:val="16"/>
              </w:rPr>
              <w:t>908 552</w:t>
            </w:r>
          </w:p>
        </w:tc>
        <w:tc>
          <w:tcPr>
            <w:tcW w:w="880" w:type="dxa"/>
            <w:tcBorders>
              <w:top w:val="single" w:sz="4" w:space="0" w:color="auto"/>
              <w:left w:val="nil"/>
              <w:bottom w:val="single" w:sz="4" w:space="0" w:color="auto"/>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913 606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917 509</w:t>
            </w:r>
          </w:p>
        </w:tc>
        <w:tc>
          <w:tcPr>
            <w:tcW w:w="880" w:type="dxa"/>
            <w:tcBorders>
              <w:top w:val="single" w:sz="4" w:space="0" w:color="auto"/>
              <w:left w:val="nil"/>
              <w:bottom w:val="single" w:sz="4" w:space="0" w:color="auto"/>
              <w:right w:val="nil"/>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5 054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16"/>
                <w:szCs w:val="16"/>
              </w:rPr>
            </w:pPr>
            <w:r w:rsidRPr="00AA736D">
              <w:rPr>
                <w:rFonts w:cs="Arial"/>
                <w:sz w:val="16"/>
                <w:szCs w:val="16"/>
              </w:rPr>
              <w:t>8 957</w:t>
            </w:r>
          </w:p>
        </w:tc>
      </w:tr>
    </w:tbl>
    <w:p w:rsidR="00AA736D" w:rsidRPr="00AA736D" w:rsidRDefault="00AA736D" w:rsidP="00AA736D">
      <w:pPr>
        <w:spacing w:after="120"/>
        <w:ind w:firstLine="709"/>
        <w:jc w:val="both"/>
        <w:rPr>
          <w:szCs w:val="24"/>
        </w:rPr>
      </w:pPr>
    </w:p>
    <w:p w:rsidR="00AA736D" w:rsidRPr="00AA736D" w:rsidRDefault="00AA736D" w:rsidP="00AA736D">
      <w:pPr>
        <w:numPr>
          <w:ilvl w:val="1"/>
          <w:numId w:val="14"/>
        </w:numPr>
        <w:tabs>
          <w:tab w:val="left" w:pos="709"/>
          <w:tab w:val="decimal" w:pos="8222"/>
        </w:tabs>
        <w:spacing w:before="240" w:after="120"/>
        <w:ind w:left="0" w:firstLine="0"/>
        <w:contextualSpacing/>
      </w:pPr>
      <w:r w:rsidRPr="00AA736D">
        <w:rPr>
          <w:b/>
          <w:color w:val="000000"/>
        </w:rPr>
        <w:t xml:space="preserve">Výdavky základného fondu úrazového poistenia </w:t>
      </w:r>
      <w:r w:rsidRPr="00AA736D">
        <w:rPr>
          <w:b/>
          <w:color w:val="000000"/>
        </w:rPr>
        <w:tab/>
        <w:t>23 532 tis. Eur</w:t>
      </w:r>
      <w:r w:rsidRPr="00AA736D">
        <w:rPr>
          <w:color w:val="000000"/>
        </w:rPr>
        <w:t>,</w:t>
      </w:r>
      <w:r w:rsidRPr="00AA736D">
        <w:rPr>
          <w:color w:val="000000"/>
        </w:rPr>
        <w:br/>
        <w:t xml:space="preserve">čo je 50,17 % schváleného </w:t>
      </w:r>
      <w:r w:rsidRPr="00AA736D">
        <w:t xml:space="preserve">rozpočtu na rok 2015 </w:t>
      </w:r>
      <w:r w:rsidRPr="00AA736D">
        <w:rPr>
          <w:color w:val="000000"/>
        </w:rPr>
        <w:t>vo výške</w:t>
      </w:r>
      <w:r w:rsidRPr="00AA736D">
        <w:rPr>
          <w:color w:val="000000"/>
        </w:rPr>
        <w:tab/>
        <w:t>46 902 tis. Eur</w:t>
      </w:r>
      <w:r w:rsidRPr="00AA736D">
        <w:br/>
        <w:t>a 99,14 % časového rozpisu vo výške</w:t>
      </w:r>
      <w:r w:rsidRPr="00AA736D">
        <w:tab/>
        <w:t xml:space="preserve">23 737 tis. Eur. </w:t>
      </w:r>
    </w:p>
    <w:p w:rsidR="00AA736D" w:rsidRPr="00AA736D" w:rsidRDefault="00AA736D" w:rsidP="00AA736D">
      <w:pPr>
        <w:tabs>
          <w:tab w:val="decimal" w:pos="8222"/>
        </w:tabs>
        <w:ind w:firstLine="720"/>
      </w:pPr>
      <w:r w:rsidRPr="00AA736D">
        <w:t>V uvedenej sume výdavkov sú zahrnuté:</w:t>
      </w:r>
    </w:p>
    <w:p w:rsidR="00AA736D" w:rsidRPr="00AA736D" w:rsidRDefault="00AA736D" w:rsidP="00AA736D">
      <w:pPr>
        <w:numPr>
          <w:ilvl w:val="0"/>
          <w:numId w:val="3"/>
        </w:numPr>
        <w:tabs>
          <w:tab w:val="decimal" w:pos="8222"/>
        </w:tabs>
        <w:ind w:left="0" w:firstLine="0"/>
      </w:pPr>
      <w:r w:rsidRPr="00AA736D">
        <w:t>výdavky na úrazové dávky</w:t>
      </w:r>
      <w:r w:rsidRPr="00AA736D">
        <w:tab/>
        <w:t>22 129 tis. Eur,</w:t>
      </w:r>
    </w:p>
    <w:p w:rsidR="00AA736D" w:rsidRPr="00AA736D" w:rsidRDefault="00AA736D" w:rsidP="00AA736D">
      <w:pPr>
        <w:numPr>
          <w:ilvl w:val="0"/>
          <w:numId w:val="3"/>
        </w:numPr>
        <w:tabs>
          <w:tab w:val="decimal" w:pos="8222"/>
        </w:tabs>
        <w:ind w:left="0" w:firstLine="0"/>
        <w:rPr>
          <w:snapToGrid w:val="0"/>
        </w:rPr>
      </w:pPr>
      <w:r w:rsidRPr="00AA736D">
        <w:rPr>
          <w:snapToGrid w:val="0"/>
        </w:rPr>
        <w:t>zúčtovanie dôchodkových dávok</w:t>
      </w:r>
      <w:r w:rsidRPr="00AA736D">
        <w:rPr>
          <w:snapToGrid w:val="0"/>
        </w:rPr>
        <w:tab/>
        <w:t>-21 tis. Eur.</w:t>
      </w:r>
    </w:p>
    <w:p w:rsidR="00AA736D" w:rsidRPr="00AA736D" w:rsidRDefault="00AA736D" w:rsidP="00AA736D">
      <w:pPr>
        <w:numPr>
          <w:ilvl w:val="0"/>
          <w:numId w:val="3"/>
        </w:numPr>
        <w:tabs>
          <w:tab w:val="decimal" w:pos="8222"/>
        </w:tabs>
        <w:spacing w:after="120"/>
        <w:ind w:left="709" w:hanging="709"/>
        <w:rPr>
          <w:snapToGrid w:val="0"/>
        </w:rPr>
      </w:pPr>
      <w:r w:rsidRPr="00AA736D">
        <w:t>poistné do základného fondu starobného poistenia  a príspevky</w:t>
      </w:r>
      <w:r w:rsidRPr="00AA736D">
        <w:br/>
        <w:t>na SDS platené do základného fondu príspevkov na SDS</w:t>
      </w:r>
      <w:r w:rsidRPr="00AA736D">
        <w:tab/>
        <w:t>1 424 tis. Eur.</w:t>
      </w:r>
    </w:p>
    <w:p w:rsidR="00AA736D" w:rsidRPr="00AA736D" w:rsidRDefault="00AA736D" w:rsidP="00AA736D">
      <w:pPr>
        <w:spacing w:before="240" w:after="120"/>
        <w:ind w:firstLine="709"/>
        <w:jc w:val="both"/>
        <w:rPr>
          <w:snapToGrid w:val="0"/>
        </w:rPr>
      </w:pPr>
      <w:r w:rsidRPr="00AA736D">
        <w:t>V mesiacoch január až jún 2015 boli skutočné výdavky základného fondu úrazového poistenia nižšie v porovnaní s časovým rozpisom o 205 tis. Eur a vyššie o 1 206 tis. Eur v porovnaní s rovnakým obdobím roka 2014.</w:t>
      </w:r>
    </w:p>
    <w:p w:rsidR="00AA736D" w:rsidRPr="00AA736D" w:rsidRDefault="00AA736D" w:rsidP="00AA736D">
      <w:pPr>
        <w:spacing w:before="240" w:after="120"/>
        <w:ind w:firstLine="720"/>
        <w:jc w:val="both"/>
      </w:pPr>
      <w:r w:rsidRPr="00AA736D">
        <w:t>N</w:t>
      </w:r>
      <w:r w:rsidRPr="00AA736D">
        <w:rPr>
          <w:snapToGrid w:val="0"/>
        </w:rPr>
        <w:t>ajvyšší podiel na vyplatených úrazových dávkach má úrazová renta v sume 12 500 tis. Eur</w:t>
      </w:r>
      <w:r w:rsidRPr="00AA736D">
        <w:t xml:space="preserve">. </w:t>
      </w:r>
      <w:r w:rsidRPr="00AA736D">
        <w:rPr>
          <w:snapToGrid w:val="0"/>
        </w:rPr>
        <w:t xml:space="preserve">V mesiacoch január až jún 2015 bolo ústredím Sociálnej poisťovne (ďalej len „ústredie“) vyplatených priemerne mesačne 6 828 úrazových rent a 204 pozostalostných úrazových rent spolu v sume 12 666 tis. Eur. Pobočky vyplatili úrazové dávky v sume 9 463 tis. </w:t>
      </w:r>
      <w:r w:rsidRPr="00AA736D">
        <w:t xml:space="preserve">Eur. </w:t>
      </w:r>
    </w:p>
    <w:p w:rsidR="00AA736D" w:rsidRPr="00AA736D" w:rsidRDefault="00AA736D" w:rsidP="00AA736D">
      <w:pPr>
        <w:numPr>
          <w:ilvl w:val="1"/>
          <w:numId w:val="6"/>
        </w:numPr>
        <w:tabs>
          <w:tab w:val="left" w:pos="720"/>
          <w:tab w:val="decimal" w:pos="8222"/>
          <w:tab w:val="num" w:pos="9072"/>
        </w:tabs>
        <w:spacing w:before="240" w:after="120"/>
        <w:ind w:left="0" w:firstLine="0"/>
        <w:rPr>
          <w:color w:val="000000"/>
        </w:rPr>
      </w:pPr>
      <w:r w:rsidRPr="00AA736D">
        <w:rPr>
          <w:b/>
          <w:color w:val="000000"/>
          <w:szCs w:val="24"/>
        </w:rPr>
        <w:t xml:space="preserve">Výdavky základného fondu garančného poistenia </w:t>
      </w:r>
      <w:r w:rsidRPr="00AA736D">
        <w:rPr>
          <w:b/>
          <w:color w:val="000000"/>
          <w:szCs w:val="24"/>
        </w:rPr>
        <w:tab/>
        <w:t>7 550 tis. Eur,</w:t>
      </w:r>
      <w:r w:rsidRPr="00AA736D">
        <w:rPr>
          <w:b/>
          <w:color w:val="000000"/>
          <w:szCs w:val="24"/>
        </w:rPr>
        <w:br/>
      </w:r>
      <w:r w:rsidRPr="00AA736D">
        <w:rPr>
          <w:color w:val="000000"/>
        </w:rPr>
        <w:t xml:space="preserve">čo je 40,18 % schváleného </w:t>
      </w:r>
      <w:r w:rsidRPr="00AA736D">
        <w:t xml:space="preserve">rozpočtu na rok 2015 </w:t>
      </w:r>
      <w:r w:rsidRPr="00AA736D">
        <w:rPr>
          <w:color w:val="000000"/>
        </w:rPr>
        <w:t>vo výške</w:t>
      </w:r>
      <w:r w:rsidRPr="00AA736D">
        <w:rPr>
          <w:color w:val="000000"/>
        </w:rPr>
        <w:tab/>
        <w:t>18 789 tis. Eur</w:t>
      </w:r>
      <w:r w:rsidRPr="00AA736D">
        <w:br/>
        <w:t>a 80,65 % časového rozpisu vo výške</w:t>
      </w:r>
      <w:r w:rsidRPr="00AA736D">
        <w:tab/>
        <w:t>9 362 tis. Eur.</w:t>
      </w:r>
    </w:p>
    <w:p w:rsidR="00AA736D" w:rsidRPr="00AA736D" w:rsidRDefault="00AA736D" w:rsidP="00AA736D">
      <w:pPr>
        <w:tabs>
          <w:tab w:val="num" w:pos="1068"/>
          <w:tab w:val="left" w:pos="3960"/>
        </w:tabs>
        <w:spacing w:before="120"/>
        <w:ind w:firstLine="720"/>
        <w:jc w:val="both"/>
      </w:pPr>
      <w:r w:rsidRPr="00AA736D">
        <w:t>V uvedenej sume výdavkov sú zahrnuté:</w:t>
      </w:r>
    </w:p>
    <w:p w:rsidR="00AA736D" w:rsidRPr="00AA736D" w:rsidRDefault="00AA736D" w:rsidP="00AA736D">
      <w:pPr>
        <w:numPr>
          <w:ilvl w:val="0"/>
          <w:numId w:val="4"/>
        </w:numPr>
        <w:tabs>
          <w:tab w:val="decimal" w:pos="8280"/>
        </w:tabs>
        <w:ind w:left="0" w:firstLine="0"/>
        <w:jc w:val="both"/>
      </w:pPr>
      <w:r w:rsidRPr="00AA736D">
        <w:t xml:space="preserve">výdavky na dávku garančného poistenia </w:t>
      </w:r>
      <w:r w:rsidRPr="00AA736D">
        <w:tab/>
        <w:t>2 290 tis. Eur,</w:t>
      </w:r>
    </w:p>
    <w:p w:rsidR="00AA736D" w:rsidRPr="00AA736D" w:rsidRDefault="00AA736D" w:rsidP="00AA736D">
      <w:pPr>
        <w:numPr>
          <w:ilvl w:val="0"/>
          <w:numId w:val="4"/>
        </w:numPr>
        <w:tabs>
          <w:tab w:val="decimal" w:pos="8280"/>
        </w:tabs>
        <w:spacing w:after="120"/>
        <w:ind w:left="720" w:hanging="720"/>
      </w:pPr>
      <w:r w:rsidRPr="00AA736D">
        <w:t xml:space="preserve">výdavky na úhradu príspevkov na SDS, ktoré nezaplatil </w:t>
      </w:r>
      <w:r w:rsidRPr="00AA736D">
        <w:br/>
        <w:t xml:space="preserve">zamestnávateľ do základného fondu príspevkov na SDS </w:t>
      </w:r>
      <w:r w:rsidRPr="00AA736D">
        <w:br/>
        <w:t xml:space="preserve">do 60 dní odo dňa ich splatnosti  </w:t>
      </w:r>
      <w:r w:rsidRPr="00AA736D">
        <w:tab/>
        <w:t xml:space="preserve">5 260 tis. Eur. </w:t>
      </w:r>
    </w:p>
    <w:p w:rsidR="00AA736D" w:rsidRPr="00AA736D" w:rsidRDefault="00AA736D" w:rsidP="00AA736D">
      <w:pPr>
        <w:tabs>
          <w:tab w:val="left" w:pos="3960"/>
          <w:tab w:val="left" w:pos="5040"/>
          <w:tab w:val="left" w:pos="7380"/>
          <w:tab w:val="left" w:pos="9072"/>
        </w:tabs>
        <w:spacing w:before="240" w:after="120"/>
        <w:ind w:firstLine="720"/>
        <w:jc w:val="both"/>
      </w:pPr>
      <w:r w:rsidRPr="00AA736D">
        <w:lastRenderedPageBreak/>
        <w:t xml:space="preserve">Výdavky základného fondu garančného poistenia boli v mesiacoch január až jún 2015 nižšie o 1 812 tis. Eur v porovnaní s časovým rozpisom a vyššie o 519 tis. Eur v porovnaní s rovnakým obdobím roka 2014. </w:t>
      </w:r>
    </w:p>
    <w:p w:rsidR="00AA736D" w:rsidRPr="00AA736D" w:rsidRDefault="00AA736D" w:rsidP="00AA736D">
      <w:pPr>
        <w:spacing w:before="240" w:after="120"/>
        <w:ind w:firstLine="720"/>
        <w:jc w:val="both"/>
      </w:pPr>
      <w:r w:rsidRPr="00AA736D">
        <w:t>V sledovanom období roka 2015 bola priemerná mesačná výška dávky garančného poistenia 1 630,80 Eur a priemerný mesačný počet prípadov vyplatenej dávky bol 234 prípadov.</w:t>
      </w:r>
    </w:p>
    <w:p w:rsidR="00AA736D" w:rsidRPr="00AA736D" w:rsidRDefault="00AA736D" w:rsidP="00AA736D">
      <w:pPr>
        <w:tabs>
          <w:tab w:val="left" w:pos="720"/>
          <w:tab w:val="num" w:pos="1440"/>
          <w:tab w:val="decimal" w:pos="8222"/>
        </w:tabs>
        <w:spacing w:before="240" w:after="120"/>
      </w:pPr>
      <w:r w:rsidRPr="00AA736D">
        <w:rPr>
          <w:b/>
        </w:rPr>
        <w:t>3.5.</w:t>
      </w:r>
      <w:r w:rsidRPr="00AA736D">
        <w:rPr>
          <w:b/>
        </w:rPr>
        <w:tab/>
        <w:t>Výdavky základného fondu poistenia v nezamestnanosti</w:t>
      </w:r>
      <w:r w:rsidRPr="00AA736D">
        <w:rPr>
          <w:b/>
        </w:rPr>
        <w:tab/>
        <w:t>77 928 tis. Eur,</w:t>
      </w:r>
      <w:r w:rsidRPr="00AA736D">
        <w:rPr>
          <w:b/>
        </w:rPr>
        <w:br/>
      </w:r>
      <w:r w:rsidRPr="00AA736D">
        <w:rPr>
          <w:color w:val="000000"/>
        </w:rPr>
        <w:t xml:space="preserve">čo je 49,55 % schváleného </w:t>
      </w:r>
      <w:r w:rsidRPr="00AA736D">
        <w:t xml:space="preserve">rozpočtu na rok 2015 </w:t>
      </w:r>
      <w:r w:rsidRPr="00AA736D">
        <w:rPr>
          <w:color w:val="000000"/>
        </w:rPr>
        <w:t>vo výške</w:t>
      </w:r>
      <w:r w:rsidRPr="00AA736D">
        <w:rPr>
          <w:color w:val="000000"/>
        </w:rPr>
        <w:tab/>
        <w:t>157 286 tis. Eur</w:t>
      </w:r>
      <w:r w:rsidRPr="00AA736D">
        <w:br/>
        <w:t>a 97,33 % časového rozpisu vo výške</w:t>
      </w:r>
      <w:r w:rsidRPr="00AA736D">
        <w:tab/>
        <w:t>80 068 tis. Eur.</w:t>
      </w:r>
    </w:p>
    <w:p w:rsidR="00AA736D" w:rsidRPr="00AA736D" w:rsidRDefault="00AA736D" w:rsidP="00AA736D">
      <w:pPr>
        <w:tabs>
          <w:tab w:val="decimal" w:pos="8222"/>
        </w:tabs>
        <w:spacing w:before="120"/>
        <w:ind w:firstLine="720"/>
      </w:pPr>
      <w:r w:rsidRPr="00AA736D">
        <w:t>V uvedenej sume výdavkov sú zahrnuté:</w:t>
      </w:r>
    </w:p>
    <w:p w:rsidR="00AA736D" w:rsidRPr="00AA736D" w:rsidRDefault="00AA736D" w:rsidP="00AA736D">
      <w:pPr>
        <w:numPr>
          <w:ilvl w:val="0"/>
          <w:numId w:val="3"/>
        </w:numPr>
        <w:tabs>
          <w:tab w:val="decimal" w:pos="8222"/>
        </w:tabs>
        <w:ind w:hanging="720"/>
      </w:pPr>
      <w:r w:rsidRPr="00AA736D">
        <w:t>výdavky na dávku v nezamestnanosti</w:t>
      </w:r>
      <w:r w:rsidRPr="00AA736D">
        <w:tab/>
        <w:t>77 974 tis. Eur,</w:t>
      </w:r>
    </w:p>
    <w:p w:rsidR="00AA736D" w:rsidRPr="00AA736D" w:rsidRDefault="00AA736D" w:rsidP="00AA736D">
      <w:pPr>
        <w:numPr>
          <w:ilvl w:val="0"/>
          <w:numId w:val="3"/>
        </w:numPr>
        <w:tabs>
          <w:tab w:val="decimal" w:pos="8222"/>
        </w:tabs>
        <w:ind w:hanging="720"/>
        <w:rPr>
          <w:snapToGrid w:val="0"/>
        </w:rPr>
      </w:pPr>
      <w:r w:rsidRPr="00AA736D">
        <w:rPr>
          <w:snapToGrid w:val="0"/>
        </w:rPr>
        <w:t>zúčtovanie dôchodkových dávok</w:t>
      </w:r>
      <w:r w:rsidRPr="00AA736D">
        <w:rPr>
          <w:snapToGrid w:val="0"/>
        </w:rPr>
        <w:tab/>
        <w:t>-81 tis. Eur,</w:t>
      </w:r>
    </w:p>
    <w:p w:rsidR="00AA736D" w:rsidRPr="00AA736D" w:rsidRDefault="00AA736D" w:rsidP="00AA736D">
      <w:pPr>
        <w:numPr>
          <w:ilvl w:val="0"/>
          <w:numId w:val="3"/>
        </w:numPr>
        <w:tabs>
          <w:tab w:val="decimal" w:pos="8222"/>
        </w:tabs>
        <w:spacing w:after="120"/>
        <w:ind w:hanging="720"/>
        <w:rPr>
          <w:snapToGrid w:val="0"/>
        </w:rPr>
      </w:pPr>
      <w:r w:rsidRPr="00AA736D">
        <w:t>refundácia dávky v nezamestnanosti štátom  EÚ</w:t>
      </w:r>
      <w:r w:rsidRPr="00AA736D">
        <w:rPr>
          <w:snapToGrid w:val="0"/>
        </w:rPr>
        <w:tab/>
        <w:t>35 tis. Eur.</w:t>
      </w:r>
    </w:p>
    <w:p w:rsidR="00AA736D" w:rsidRPr="00AA736D" w:rsidRDefault="00AA736D" w:rsidP="00AA736D">
      <w:pPr>
        <w:spacing w:before="240" w:after="120"/>
        <w:ind w:firstLine="709"/>
        <w:jc w:val="both"/>
      </w:pPr>
      <w:r w:rsidRPr="00AA736D">
        <w:t>Výdavky základného fondu poistenia v nezamestnanosti boli nižšie o 2 140 tis. Eur v porovnaní s časovým rozpisom a o 622 tis. Eur v porovnaní s rovnakým obdobím roka 2014 (index 99,21 %).</w:t>
      </w:r>
    </w:p>
    <w:p w:rsidR="00AA736D" w:rsidRPr="00AA736D" w:rsidRDefault="00AA736D" w:rsidP="00AA736D">
      <w:pPr>
        <w:spacing w:before="240" w:after="120"/>
        <w:ind w:firstLine="709"/>
        <w:jc w:val="both"/>
      </w:pPr>
      <w:r w:rsidRPr="00AA736D">
        <w:t xml:space="preserve">V mesiacoch január až jún 2015 bola priemerná mesačná výška dávky v nezamestnanosti na jedného poberateľa 376,90 Eur a priemerný mesačný počet poberateľov vyplatenej dávky bol 34 486.  </w:t>
      </w:r>
    </w:p>
    <w:p w:rsidR="00AA736D" w:rsidRPr="00AA736D" w:rsidRDefault="00AA736D" w:rsidP="00AA736D">
      <w:pPr>
        <w:numPr>
          <w:ilvl w:val="1"/>
          <w:numId w:val="7"/>
        </w:numPr>
        <w:tabs>
          <w:tab w:val="decimal" w:pos="8222"/>
        </w:tabs>
        <w:spacing w:before="240" w:after="120"/>
        <w:rPr>
          <w:rFonts w:cs="Arial"/>
          <w:b/>
        </w:rPr>
      </w:pPr>
      <w:r w:rsidRPr="00AA736D">
        <w:rPr>
          <w:rFonts w:cs="Arial"/>
          <w:b/>
        </w:rPr>
        <w:t>Výdavky (náklady) správneho fondu</w:t>
      </w:r>
    </w:p>
    <w:p w:rsidR="00AA736D" w:rsidRPr="00AA736D" w:rsidRDefault="00AA736D" w:rsidP="00AA736D">
      <w:pPr>
        <w:spacing w:before="240"/>
        <w:ind w:firstLine="680"/>
        <w:jc w:val="both"/>
        <w:rPr>
          <w:rFonts w:cs="Arial"/>
          <w:b/>
        </w:rPr>
      </w:pPr>
      <w:r w:rsidRPr="00AA736D">
        <w:rPr>
          <w:rFonts w:cs="Arial"/>
        </w:rPr>
        <w:t xml:space="preserve">V rozpočte výdavkov (nákladov) správneho fondu v roku 2015 sa predpokladalo použitie prostriedkov správneho fondu v sume </w:t>
      </w:r>
      <w:r w:rsidRPr="00AA736D">
        <w:rPr>
          <w:rFonts w:cs="Arial"/>
          <w:b/>
        </w:rPr>
        <w:t>106 000 tis. Eur.</w:t>
      </w:r>
    </w:p>
    <w:p w:rsidR="00AA736D" w:rsidRPr="00AA736D" w:rsidRDefault="00AA736D" w:rsidP="00AA736D">
      <w:pPr>
        <w:spacing w:before="120"/>
        <w:ind w:firstLine="680"/>
        <w:jc w:val="both"/>
        <w:rPr>
          <w:rFonts w:cs="Arial"/>
        </w:rPr>
      </w:pPr>
      <w:r w:rsidRPr="00AA736D">
        <w:rPr>
          <w:rFonts w:cs="Arial"/>
          <w:szCs w:val="24"/>
        </w:rPr>
        <w:t>V nadväznosti na požiadavky súvisiace so zabezpečením výkonu sociálneho poistenia do konca roka 2015</w:t>
      </w:r>
      <w:r w:rsidRPr="00AA736D">
        <w:rPr>
          <w:rFonts w:cs="Arial"/>
        </w:rPr>
        <w:t xml:space="preserve"> a tvorbu správneho fondu v bežnom roku 2015, v zmysle § 168 ods.2 zákona o sociálnom poistení generálny riaditeľ Sociálnej poisťovne dňa 12. marca 2015 schválil úpravu rozpisu rozpočtu správneho fondu Sociálnej poisťovne na rok 2015 na sumu </w:t>
      </w:r>
      <w:r w:rsidRPr="00AA736D">
        <w:rPr>
          <w:rFonts w:cs="Arial"/>
          <w:b/>
        </w:rPr>
        <w:t>130 000 tis. Eur.</w:t>
      </w:r>
    </w:p>
    <w:p w:rsidR="00AA736D" w:rsidRPr="00AA736D" w:rsidRDefault="00AA736D" w:rsidP="00AA736D">
      <w:pPr>
        <w:tabs>
          <w:tab w:val="right" w:pos="8931"/>
        </w:tabs>
        <w:spacing w:before="240" w:after="240"/>
        <w:ind w:firstLine="720"/>
        <w:jc w:val="both"/>
        <w:rPr>
          <w:rFonts w:cs="Arial"/>
          <w:szCs w:val="24"/>
        </w:rPr>
      </w:pPr>
      <w:r w:rsidRPr="00AA736D">
        <w:rPr>
          <w:rFonts w:cs="Arial"/>
          <w:szCs w:val="24"/>
        </w:rPr>
        <w:t>Použitie finančných prostriedkov správneho fondu za I. polrok 2015:</w:t>
      </w:r>
    </w:p>
    <w:p w:rsidR="00AA736D" w:rsidRPr="00AA736D" w:rsidRDefault="00AA736D" w:rsidP="00AA736D">
      <w:pPr>
        <w:tabs>
          <w:tab w:val="right" w:pos="8931"/>
        </w:tabs>
        <w:ind w:firstLine="709"/>
        <w:jc w:val="center"/>
        <w:rPr>
          <w:rFonts w:cs="Arial"/>
          <w:sz w:val="20"/>
        </w:rPr>
      </w:pPr>
      <w:r w:rsidRPr="00AA736D">
        <w:rPr>
          <w:rFonts w:cs="Arial"/>
          <w:sz w:val="20"/>
        </w:rPr>
        <w:t xml:space="preserve">                                                                                                                             v tis. Eur</w:t>
      </w:r>
    </w:p>
    <w:tbl>
      <w:tblPr>
        <w:tblW w:w="9072" w:type="dxa"/>
        <w:tblInd w:w="70" w:type="dxa"/>
        <w:tblCellMar>
          <w:left w:w="70" w:type="dxa"/>
          <w:right w:w="70" w:type="dxa"/>
        </w:tblCellMar>
        <w:tblLook w:val="0000" w:firstRow="0" w:lastRow="0" w:firstColumn="0" w:lastColumn="0" w:noHBand="0" w:noVBand="0"/>
      </w:tblPr>
      <w:tblGrid>
        <w:gridCol w:w="4320"/>
        <w:gridCol w:w="1260"/>
        <w:gridCol w:w="1260"/>
        <w:gridCol w:w="1382"/>
        <w:gridCol w:w="850"/>
      </w:tblGrid>
      <w:tr w:rsidR="00AA736D" w:rsidRPr="00AA736D" w:rsidTr="00565313">
        <w:tc>
          <w:tcPr>
            <w:tcW w:w="432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 </w:t>
            </w:r>
          </w:p>
        </w:tc>
        <w:tc>
          <w:tcPr>
            <w:tcW w:w="126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Rozpis</w:t>
            </w:r>
          </w:p>
        </w:tc>
        <w:tc>
          <w:tcPr>
            <w:tcW w:w="1260" w:type="dxa"/>
            <w:tcBorders>
              <w:top w:val="single" w:sz="4" w:space="0" w:color="auto"/>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Rozpis</w:t>
            </w:r>
          </w:p>
        </w:tc>
        <w:tc>
          <w:tcPr>
            <w:tcW w:w="1382"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Skutočnosť</w:t>
            </w: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w:t>
            </w:r>
          </w:p>
        </w:tc>
      </w:tr>
      <w:tr w:rsidR="00AA736D" w:rsidRPr="00AA736D" w:rsidTr="00565313">
        <w:tc>
          <w:tcPr>
            <w:tcW w:w="432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Ukazovateľ</w:t>
            </w:r>
          </w:p>
        </w:tc>
        <w:tc>
          <w:tcPr>
            <w:tcW w:w="126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rozpočtu</w:t>
            </w:r>
          </w:p>
        </w:tc>
        <w:tc>
          <w:tcPr>
            <w:tcW w:w="1260" w:type="dxa"/>
            <w:tcBorders>
              <w:top w:val="nil"/>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rozpočtu</w:t>
            </w:r>
          </w:p>
        </w:tc>
        <w:tc>
          <w:tcPr>
            <w:tcW w:w="1382"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za I. polrok</w:t>
            </w:r>
          </w:p>
        </w:tc>
        <w:tc>
          <w:tcPr>
            <w:tcW w:w="85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plnenia</w:t>
            </w:r>
          </w:p>
        </w:tc>
      </w:tr>
      <w:tr w:rsidR="00AA736D" w:rsidRPr="00AA736D" w:rsidTr="00565313">
        <w:tc>
          <w:tcPr>
            <w:tcW w:w="432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rPr>
                <w:rFonts w:cs="Arial"/>
                <w:bCs/>
                <w:sz w:val="18"/>
                <w:szCs w:val="18"/>
              </w:rPr>
            </w:pPr>
            <w:r w:rsidRPr="00AA736D">
              <w:rPr>
                <w:rFonts w:cs="Arial"/>
                <w:bCs/>
                <w:sz w:val="18"/>
                <w:szCs w:val="18"/>
              </w:rPr>
              <w:t> </w:t>
            </w:r>
          </w:p>
        </w:tc>
        <w:tc>
          <w:tcPr>
            <w:tcW w:w="126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na rok 2015</w:t>
            </w:r>
          </w:p>
        </w:tc>
        <w:tc>
          <w:tcPr>
            <w:tcW w:w="1260" w:type="dxa"/>
            <w:tcBorders>
              <w:top w:val="nil"/>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po úpravách</w:t>
            </w:r>
          </w:p>
        </w:tc>
        <w:tc>
          <w:tcPr>
            <w:tcW w:w="1382"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2015</w:t>
            </w:r>
          </w:p>
        </w:tc>
        <w:tc>
          <w:tcPr>
            <w:tcW w:w="85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3/2</w:t>
            </w:r>
          </w:p>
        </w:tc>
      </w:tr>
      <w:tr w:rsidR="00AA736D" w:rsidRPr="00AA736D" w:rsidTr="00565313">
        <w:tc>
          <w:tcPr>
            <w:tcW w:w="432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Cs/>
                <w:sz w:val="6"/>
                <w:szCs w:val="6"/>
              </w:rPr>
            </w:pP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Cs/>
                <w:sz w:val="6"/>
                <w:szCs w:val="6"/>
              </w:rPr>
            </w:pPr>
          </w:p>
        </w:tc>
        <w:tc>
          <w:tcPr>
            <w:tcW w:w="1260" w:type="dxa"/>
            <w:tcBorders>
              <w:top w:val="nil"/>
              <w:left w:val="single" w:sz="4" w:space="0" w:color="auto"/>
              <w:bottom w:val="single" w:sz="4" w:space="0" w:color="auto"/>
              <w:right w:val="single" w:sz="4" w:space="0" w:color="auto"/>
            </w:tcBorders>
            <w:vAlign w:val="bottom"/>
          </w:tcPr>
          <w:p w:rsidR="00AA736D" w:rsidRPr="00AA736D" w:rsidRDefault="00AA736D" w:rsidP="00AA736D">
            <w:pPr>
              <w:jc w:val="center"/>
              <w:rPr>
                <w:rFonts w:cs="Arial"/>
                <w:sz w:val="18"/>
                <w:szCs w:val="18"/>
              </w:rPr>
            </w:pPr>
            <w:r w:rsidRPr="00AA736D">
              <w:rPr>
                <w:rFonts w:cs="Arial"/>
                <w:sz w:val="18"/>
                <w:szCs w:val="18"/>
              </w:rPr>
              <w:t>k 30.06.2015</w:t>
            </w:r>
          </w:p>
        </w:tc>
        <w:tc>
          <w:tcPr>
            <w:tcW w:w="1382"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6"/>
                <w:szCs w:val="6"/>
              </w:rPr>
            </w:pP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1</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center"/>
              <w:rPr>
                <w:rFonts w:cs="Arial"/>
                <w:sz w:val="18"/>
                <w:szCs w:val="18"/>
              </w:rPr>
            </w:pPr>
            <w:r w:rsidRPr="00AA736D">
              <w:rPr>
                <w:rFonts w:cs="Arial"/>
                <w:sz w:val="18"/>
                <w:szCs w:val="18"/>
              </w:rPr>
              <w:t>2</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4</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
                <w:bCs/>
                <w:sz w:val="18"/>
                <w:szCs w:val="18"/>
              </w:rPr>
            </w:pPr>
            <w:r w:rsidRPr="00AA736D">
              <w:rPr>
                <w:rFonts w:cs="Arial"/>
                <w:b/>
                <w:bCs/>
                <w:sz w:val="18"/>
                <w:szCs w:val="18"/>
              </w:rPr>
              <w:t xml:space="preserve"> Bežné výdavky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104 943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
                <w:bCs/>
                <w:sz w:val="18"/>
                <w:szCs w:val="18"/>
              </w:rPr>
            </w:pPr>
            <w:r w:rsidRPr="00AA736D">
              <w:rPr>
                <w:rFonts w:cs="Arial"/>
                <w:b/>
                <w:bCs/>
                <w:sz w:val="18"/>
                <w:szCs w:val="18"/>
              </w:rPr>
              <w:t xml:space="preserve">125 293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56 039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44,73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v tom : </w:t>
            </w:r>
          </w:p>
          <w:p w:rsidR="00AA736D" w:rsidRPr="00AA736D" w:rsidRDefault="00AA736D" w:rsidP="00AA736D">
            <w:pPr>
              <w:rPr>
                <w:rFonts w:cs="Arial"/>
                <w:sz w:val="18"/>
                <w:szCs w:val="18"/>
              </w:rPr>
            </w:pPr>
            <w:r w:rsidRPr="00AA736D">
              <w:rPr>
                <w:rFonts w:cs="Arial"/>
                <w:sz w:val="18"/>
                <w:szCs w:val="18"/>
              </w:rPr>
              <w:t xml:space="preserve"> - mzdy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56 000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 xml:space="preserve">59 084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26 871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45,48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 poistné a príspevok do poisťovní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21 383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23 262</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10 306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44,30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 tovary a služby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27 046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 xml:space="preserve">42 113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18 442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43,79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 bežné transfery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514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 xml:space="preserve">834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420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50,36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
                <w:bCs/>
                <w:sz w:val="18"/>
                <w:szCs w:val="18"/>
              </w:rPr>
            </w:pPr>
            <w:r w:rsidRPr="00AA736D">
              <w:rPr>
                <w:rFonts w:cs="Arial"/>
                <w:b/>
                <w:bCs/>
                <w:sz w:val="18"/>
                <w:szCs w:val="18"/>
              </w:rPr>
              <w:t xml:space="preserve"> Kapitálové výdavky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1 057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
                <w:bCs/>
                <w:sz w:val="18"/>
                <w:szCs w:val="18"/>
              </w:rPr>
            </w:pPr>
            <w:r w:rsidRPr="00AA736D">
              <w:rPr>
                <w:rFonts w:cs="Arial"/>
                <w:b/>
                <w:bCs/>
                <w:sz w:val="18"/>
                <w:szCs w:val="18"/>
              </w:rPr>
              <w:t xml:space="preserve">4 707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793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16,85</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v tom : </w:t>
            </w:r>
          </w:p>
          <w:p w:rsidR="00AA736D" w:rsidRPr="00AA736D" w:rsidRDefault="00AA736D" w:rsidP="00AA736D">
            <w:pPr>
              <w:rPr>
                <w:rFonts w:cs="Arial"/>
                <w:sz w:val="18"/>
                <w:szCs w:val="18"/>
              </w:rPr>
            </w:pPr>
            <w:r w:rsidRPr="00AA736D">
              <w:rPr>
                <w:rFonts w:cs="Arial"/>
                <w:sz w:val="18"/>
                <w:szCs w:val="18"/>
              </w:rPr>
              <w:t>- všeobecné investície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 xml:space="preserve">457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 xml:space="preserve">             2 803</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389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13,88 </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výdavky na informačno-komunikačné technológie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 xml:space="preserve">600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Cs/>
                <w:sz w:val="18"/>
                <w:szCs w:val="18"/>
              </w:rPr>
            </w:pPr>
            <w:r w:rsidRPr="00AA736D">
              <w:rPr>
                <w:rFonts w:cs="Arial"/>
                <w:bCs/>
                <w:sz w:val="18"/>
                <w:szCs w:val="18"/>
              </w:rPr>
              <w:t xml:space="preserve">1 904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404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21,22</w:t>
            </w:r>
          </w:p>
        </w:tc>
      </w:tr>
      <w:tr w:rsidR="00AA736D" w:rsidRPr="00AA736D" w:rsidTr="00565313">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
                <w:bCs/>
                <w:sz w:val="18"/>
                <w:szCs w:val="18"/>
              </w:rPr>
            </w:pPr>
            <w:r w:rsidRPr="00AA736D">
              <w:rPr>
                <w:rFonts w:cs="Arial"/>
                <w:b/>
                <w:bCs/>
                <w:sz w:val="18"/>
                <w:szCs w:val="18"/>
              </w:rPr>
              <w:t xml:space="preserve"> Spolu použitie správneho fondu</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106 000 </w:t>
            </w:r>
          </w:p>
        </w:tc>
        <w:tc>
          <w:tcPr>
            <w:tcW w:w="1260"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
                <w:bCs/>
                <w:sz w:val="18"/>
                <w:szCs w:val="18"/>
              </w:rPr>
            </w:pPr>
            <w:r w:rsidRPr="00AA736D">
              <w:rPr>
                <w:rFonts w:cs="Arial"/>
                <w:b/>
                <w:bCs/>
                <w:sz w:val="18"/>
                <w:szCs w:val="18"/>
              </w:rPr>
              <w:t xml:space="preserve">130 000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56 832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43,72 </w:t>
            </w:r>
          </w:p>
        </w:tc>
      </w:tr>
    </w:tbl>
    <w:p w:rsidR="00AA736D" w:rsidRPr="00AA736D" w:rsidRDefault="00AA736D" w:rsidP="00AA736D">
      <w:pPr>
        <w:tabs>
          <w:tab w:val="right" w:pos="8931"/>
        </w:tabs>
        <w:spacing w:before="240" w:after="120"/>
        <w:outlineLvl w:val="0"/>
        <w:rPr>
          <w:rFonts w:cs="Arial"/>
          <w:b/>
        </w:rPr>
      </w:pPr>
    </w:p>
    <w:p w:rsidR="00AA736D" w:rsidRPr="00AA736D" w:rsidRDefault="00AA736D" w:rsidP="00AA736D">
      <w:pPr>
        <w:tabs>
          <w:tab w:val="right" w:pos="8931"/>
        </w:tabs>
        <w:spacing w:before="240" w:after="120"/>
        <w:outlineLvl w:val="0"/>
        <w:rPr>
          <w:rFonts w:cs="Arial"/>
        </w:rPr>
      </w:pPr>
      <w:r w:rsidRPr="00AA736D">
        <w:rPr>
          <w:rFonts w:cs="Arial"/>
          <w:b/>
        </w:rPr>
        <w:lastRenderedPageBreak/>
        <w:t>3.6.1     Bežné  výdavky (náklady)</w:t>
      </w:r>
    </w:p>
    <w:p w:rsidR="00AA736D" w:rsidRPr="00AA736D" w:rsidRDefault="00AA736D" w:rsidP="00AA736D">
      <w:pPr>
        <w:tabs>
          <w:tab w:val="decimal" w:pos="8100"/>
        </w:tabs>
        <w:ind w:firstLine="709"/>
        <w:rPr>
          <w:rFonts w:cs="Arial"/>
        </w:rPr>
      </w:pPr>
      <w:r w:rsidRPr="00AA736D">
        <w:rPr>
          <w:rFonts w:cs="Arial"/>
        </w:rPr>
        <w:t xml:space="preserve">Vynaložené finančné prostriedky správneho fondu súvisiace s krytím </w:t>
      </w:r>
      <w:r w:rsidRPr="00AA736D">
        <w:rPr>
          <w:rFonts w:cs="Arial"/>
          <w:b/>
        </w:rPr>
        <w:t xml:space="preserve">bežných výdavkov (nákladov) </w:t>
      </w:r>
      <w:r w:rsidRPr="00AA736D">
        <w:rPr>
          <w:rFonts w:cs="Arial"/>
        </w:rPr>
        <w:t xml:space="preserve"> boli v sume :</w:t>
      </w:r>
      <w:r w:rsidRPr="00AA736D">
        <w:rPr>
          <w:rFonts w:cs="Arial"/>
        </w:rPr>
        <w:tab/>
      </w:r>
      <w:r w:rsidRPr="00AA736D">
        <w:rPr>
          <w:rFonts w:cs="Arial"/>
          <w:b/>
        </w:rPr>
        <w:t xml:space="preserve"> 56 039 tis. Eur</w:t>
      </w:r>
      <w:r w:rsidRPr="00AA736D">
        <w:rPr>
          <w:rFonts w:cs="Arial"/>
        </w:rPr>
        <w:t>,</w:t>
      </w:r>
      <w:r w:rsidRPr="00AA736D">
        <w:rPr>
          <w:rFonts w:cs="Arial"/>
          <w:b/>
        </w:rPr>
        <w:br/>
      </w:r>
      <w:r w:rsidRPr="00AA736D">
        <w:rPr>
          <w:rFonts w:cs="Arial"/>
        </w:rPr>
        <w:t>v tom:</w:t>
      </w:r>
    </w:p>
    <w:p w:rsidR="00AA736D" w:rsidRPr="00AA736D" w:rsidRDefault="00AA736D" w:rsidP="00AA736D">
      <w:pPr>
        <w:numPr>
          <w:ilvl w:val="0"/>
          <w:numId w:val="9"/>
        </w:numPr>
        <w:tabs>
          <w:tab w:val="decimal" w:pos="8100"/>
        </w:tabs>
        <w:ind w:left="646" w:hanging="646"/>
        <w:jc w:val="both"/>
        <w:rPr>
          <w:rFonts w:cs="Arial"/>
        </w:rPr>
      </w:pPr>
      <w:r w:rsidRPr="00AA736D">
        <w:rPr>
          <w:rFonts w:cs="Arial"/>
        </w:rPr>
        <w:t xml:space="preserve">ústredie  </w:t>
      </w:r>
      <w:r w:rsidRPr="00AA736D">
        <w:rPr>
          <w:rFonts w:cs="Arial"/>
        </w:rPr>
        <w:tab/>
        <w:t xml:space="preserve">  24 940 tis. Eur,</w:t>
      </w:r>
    </w:p>
    <w:p w:rsidR="00AA736D" w:rsidRPr="00AA736D" w:rsidRDefault="00AA736D" w:rsidP="00AA736D">
      <w:pPr>
        <w:numPr>
          <w:ilvl w:val="0"/>
          <w:numId w:val="9"/>
        </w:numPr>
        <w:tabs>
          <w:tab w:val="decimal" w:pos="8100"/>
        </w:tabs>
        <w:ind w:hanging="644"/>
        <w:jc w:val="both"/>
        <w:rPr>
          <w:rFonts w:cs="Arial"/>
        </w:rPr>
      </w:pPr>
      <w:r w:rsidRPr="00AA736D">
        <w:rPr>
          <w:rFonts w:cs="Arial"/>
        </w:rPr>
        <w:t xml:space="preserve">pobočky   </w:t>
      </w:r>
      <w:r w:rsidRPr="00AA736D">
        <w:rPr>
          <w:rFonts w:cs="Arial"/>
        </w:rPr>
        <w:tab/>
        <w:t xml:space="preserve">  31 099 tis. Eur.</w:t>
      </w:r>
    </w:p>
    <w:p w:rsidR="00AA736D" w:rsidRPr="00AA736D" w:rsidRDefault="00AA736D" w:rsidP="00AA736D">
      <w:pPr>
        <w:tabs>
          <w:tab w:val="right" w:pos="8640"/>
        </w:tabs>
        <w:spacing w:before="240" w:after="120"/>
        <w:ind w:firstLine="697"/>
        <w:jc w:val="both"/>
        <w:rPr>
          <w:rFonts w:cs="Arial"/>
        </w:rPr>
      </w:pPr>
      <w:r w:rsidRPr="00AA736D">
        <w:rPr>
          <w:rFonts w:cs="Arial"/>
          <w:color w:val="FF0000"/>
        </w:rPr>
        <w:tab/>
      </w:r>
      <w:r w:rsidRPr="00AA736D">
        <w:rPr>
          <w:rFonts w:cs="Arial"/>
        </w:rPr>
        <w:t xml:space="preserve">Podiel bežných výdavkov (nákladov) v sume 56 039 tis. Eur na celkových použitých prostriedkov správneho fondu 56 832 tis. Eur za I. polrok 2015 je </w:t>
      </w:r>
      <w:r w:rsidRPr="00AA736D">
        <w:rPr>
          <w:rFonts w:cs="Arial"/>
          <w:b/>
        </w:rPr>
        <w:t>98,60 %</w:t>
      </w:r>
      <w:r w:rsidRPr="00AA736D">
        <w:rPr>
          <w:rFonts w:cs="Arial"/>
        </w:rPr>
        <w:t>.</w:t>
      </w:r>
    </w:p>
    <w:p w:rsidR="00AA736D" w:rsidRPr="00AA736D" w:rsidRDefault="00AA736D" w:rsidP="00AA736D">
      <w:pPr>
        <w:tabs>
          <w:tab w:val="left" w:pos="426"/>
        </w:tabs>
        <w:jc w:val="center"/>
        <w:rPr>
          <w:rFonts w:cs="Arial"/>
          <w:sz w:val="20"/>
        </w:rPr>
      </w:pPr>
      <w:r w:rsidRPr="00AA736D">
        <w:rPr>
          <w:rFonts w:cs="Arial"/>
          <w:sz w:val="20"/>
        </w:rPr>
        <w:t xml:space="preserve">                                                                                                                                      v tis. Eur</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771"/>
        <w:gridCol w:w="1843"/>
        <w:gridCol w:w="1843"/>
        <w:gridCol w:w="1203"/>
      </w:tblGrid>
      <w:tr w:rsidR="00AA736D" w:rsidRPr="00AA736D" w:rsidTr="00565313">
        <w:tc>
          <w:tcPr>
            <w:tcW w:w="2410" w:type="dxa"/>
            <w:vAlign w:val="center"/>
          </w:tcPr>
          <w:p w:rsidR="00AA736D" w:rsidRPr="00AA736D" w:rsidRDefault="00AA736D" w:rsidP="00AA736D">
            <w:pPr>
              <w:tabs>
                <w:tab w:val="left" w:pos="426"/>
                <w:tab w:val="right" w:pos="9072"/>
              </w:tabs>
              <w:spacing w:after="120"/>
              <w:rPr>
                <w:rFonts w:cs="Arial"/>
                <w:sz w:val="16"/>
                <w:szCs w:val="16"/>
              </w:rPr>
            </w:pPr>
            <w:r w:rsidRPr="00AA736D">
              <w:rPr>
                <w:rFonts w:cs="Arial"/>
                <w:sz w:val="16"/>
                <w:szCs w:val="16"/>
              </w:rPr>
              <w:t xml:space="preserve">                 Ukazovateľ</w:t>
            </w:r>
          </w:p>
        </w:tc>
        <w:tc>
          <w:tcPr>
            <w:tcW w:w="1771" w:type="dxa"/>
            <w:vAlign w:val="center"/>
          </w:tcPr>
          <w:p w:rsidR="00AA736D" w:rsidRPr="00AA736D" w:rsidRDefault="00AA736D" w:rsidP="00AA736D">
            <w:pPr>
              <w:tabs>
                <w:tab w:val="right" w:pos="8931"/>
              </w:tabs>
              <w:rPr>
                <w:rFonts w:cs="Arial"/>
                <w:sz w:val="16"/>
                <w:szCs w:val="16"/>
              </w:rPr>
            </w:pPr>
          </w:p>
          <w:p w:rsidR="00AA736D" w:rsidRPr="00AA736D" w:rsidRDefault="00AA736D" w:rsidP="00AA736D">
            <w:pPr>
              <w:tabs>
                <w:tab w:val="right" w:pos="8931"/>
              </w:tabs>
              <w:rPr>
                <w:rFonts w:cs="Arial"/>
                <w:sz w:val="16"/>
                <w:szCs w:val="16"/>
              </w:rPr>
            </w:pPr>
            <w:r w:rsidRPr="00AA736D">
              <w:rPr>
                <w:rFonts w:cs="Arial"/>
                <w:sz w:val="16"/>
                <w:szCs w:val="16"/>
              </w:rPr>
              <w:t xml:space="preserve">Ústredie, skutočnosť </w:t>
            </w:r>
          </w:p>
          <w:p w:rsidR="00AA736D" w:rsidRPr="00AA736D" w:rsidRDefault="00AA736D" w:rsidP="00AA736D">
            <w:pPr>
              <w:tabs>
                <w:tab w:val="right" w:pos="8931"/>
              </w:tabs>
              <w:jc w:val="center"/>
              <w:rPr>
                <w:rFonts w:cs="Arial"/>
                <w:sz w:val="16"/>
                <w:szCs w:val="16"/>
              </w:rPr>
            </w:pPr>
            <w:r w:rsidRPr="00AA736D">
              <w:rPr>
                <w:rFonts w:cs="Arial"/>
                <w:sz w:val="16"/>
                <w:szCs w:val="16"/>
              </w:rPr>
              <w:t>za I. polrok 2015</w:t>
            </w:r>
          </w:p>
        </w:tc>
        <w:tc>
          <w:tcPr>
            <w:tcW w:w="1843" w:type="dxa"/>
            <w:vAlign w:val="center"/>
          </w:tcPr>
          <w:p w:rsidR="00AA736D" w:rsidRPr="00AA736D" w:rsidRDefault="00AA736D" w:rsidP="00AA736D">
            <w:pPr>
              <w:tabs>
                <w:tab w:val="right" w:pos="8931"/>
              </w:tabs>
              <w:rPr>
                <w:rFonts w:cs="Arial"/>
                <w:sz w:val="16"/>
                <w:szCs w:val="16"/>
              </w:rPr>
            </w:pPr>
            <w:r w:rsidRPr="00AA736D">
              <w:rPr>
                <w:rFonts w:cs="Arial"/>
                <w:sz w:val="16"/>
                <w:szCs w:val="16"/>
              </w:rPr>
              <w:t xml:space="preserve"> </w:t>
            </w:r>
          </w:p>
          <w:p w:rsidR="00AA736D" w:rsidRPr="00AA736D" w:rsidRDefault="00AA736D" w:rsidP="00AA736D">
            <w:pPr>
              <w:tabs>
                <w:tab w:val="right" w:pos="8931"/>
              </w:tabs>
              <w:rPr>
                <w:rFonts w:cs="Arial"/>
                <w:sz w:val="16"/>
                <w:szCs w:val="16"/>
              </w:rPr>
            </w:pPr>
            <w:r w:rsidRPr="00AA736D">
              <w:rPr>
                <w:rFonts w:cs="Arial"/>
                <w:sz w:val="16"/>
                <w:szCs w:val="16"/>
              </w:rPr>
              <w:t>Pobočky, skutočnosť</w:t>
            </w:r>
          </w:p>
          <w:p w:rsidR="00AA736D" w:rsidRPr="00AA736D" w:rsidRDefault="00AA736D" w:rsidP="00AA736D">
            <w:pPr>
              <w:tabs>
                <w:tab w:val="right" w:pos="8931"/>
              </w:tabs>
              <w:jc w:val="center"/>
              <w:rPr>
                <w:rFonts w:cs="Arial"/>
                <w:sz w:val="16"/>
                <w:szCs w:val="16"/>
              </w:rPr>
            </w:pPr>
            <w:r w:rsidRPr="00AA736D">
              <w:rPr>
                <w:rFonts w:cs="Arial"/>
                <w:sz w:val="16"/>
                <w:szCs w:val="16"/>
              </w:rPr>
              <w:t>za I. polrok 2015</w:t>
            </w:r>
          </w:p>
        </w:tc>
        <w:tc>
          <w:tcPr>
            <w:tcW w:w="1843" w:type="dxa"/>
            <w:vAlign w:val="center"/>
          </w:tcPr>
          <w:p w:rsidR="00AA736D" w:rsidRPr="00AA736D" w:rsidRDefault="00AA736D" w:rsidP="00AA736D">
            <w:pPr>
              <w:tabs>
                <w:tab w:val="right" w:pos="8931"/>
              </w:tabs>
              <w:jc w:val="center"/>
              <w:rPr>
                <w:rFonts w:cs="Arial"/>
                <w:sz w:val="16"/>
                <w:szCs w:val="16"/>
              </w:rPr>
            </w:pPr>
          </w:p>
          <w:p w:rsidR="00AA736D" w:rsidRPr="00AA736D" w:rsidRDefault="00AA736D" w:rsidP="00AA736D">
            <w:pPr>
              <w:tabs>
                <w:tab w:val="right" w:pos="8931"/>
              </w:tabs>
              <w:jc w:val="center"/>
              <w:rPr>
                <w:rFonts w:cs="Arial"/>
                <w:sz w:val="16"/>
                <w:szCs w:val="16"/>
              </w:rPr>
            </w:pPr>
            <w:r w:rsidRPr="00AA736D">
              <w:rPr>
                <w:rFonts w:cs="Arial"/>
                <w:sz w:val="16"/>
                <w:szCs w:val="16"/>
              </w:rPr>
              <w:t xml:space="preserve">Spolu skutočnosť </w:t>
            </w:r>
          </w:p>
          <w:p w:rsidR="00AA736D" w:rsidRPr="00AA736D" w:rsidRDefault="00AA736D" w:rsidP="00AA736D">
            <w:pPr>
              <w:tabs>
                <w:tab w:val="right" w:pos="8931"/>
              </w:tabs>
              <w:jc w:val="center"/>
              <w:rPr>
                <w:rFonts w:cs="Arial"/>
                <w:sz w:val="16"/>
                <w:szCs w:val="16"/>
              </w:rPr>
            </w:pPr>
            <w:r w:rsidRPr="00AA736D">
              <w:rPr>
                <w:rFonts w:cs="Arial"/>
                <w:sz w:val="16"/>
                <w:szCs w:val="16"/>
              </w:rPr>
              <w:t>za I. polrok 2015</w:t>
            </w:r>
          </w:p>
        </w:tc>
        <w:tc>
          <w:tcPr>
            <w:tcW w:w="1203" w:type="dxa"/>
            <w:vAlign w:val="center"/>
          </w:tcPr>
          <w:p w:rsidR="00AA736D" w:rsidRPr="00AA736D" w:rsidRDefault="00AA736D" w:rsidP="00AA736D">
            <w:pPr>
              <w:tabs>
                <w:tab w:val="left" w:pos="426"/>
                <w:tab w:val="right" w:pos="9072"/>
              </w:tabs>
              <w:spacing w:after="120"/>
              <w:ind w:left="283"/>
              <w:jc w:val="center"/>
              <w:rPr>
                <w:rFonts w:cs="Arial"/>
                <w:sz w:val="18"/>
                <w:szCs w:val="18"/>
              </w:rPr>
            </w:pPr>
            <w:r w:rsidRPr="00AA736D">
              <w:rPr>
                <w:rFonts w:cs="Arial"/>
                <w:sz w:val="16"/>
                <w:szCs w:val="16"/>
              </w:rPr>
              <w:t>Podiel v %</w:t>
            </w:r>
          </w:p>
        </w:tc>
      </w:tr>
      <w:tr w:rsidR="00AA736D" w:rsidRPr="00AA736D" w:rsidTr="00565313">
        <w:tc>
          <w:tcPr>
            <w:tcW w:w="2410" w:type="dxa"/>
            <w:tcBorders>
              <w:bottom w:val="single" w:sz="4" w:space="0" w:color="auto"/>
            </w:tcBorders>
            <w:vAlign w:val="center"/>
          </w:tcPr>
          <w:p w:rsidR="00AA736D" w:rsidRPr="00AA736D" w:rsidRDefault="00AA736D" w:rsidP="00AA736D">
            <w:pPr>
              <w:tabs>
                <w:tab w:val="left" w:pos="426"/>
                <w:tab w:val="right" w:pos="9072"/>
              </w:tabs>
              <w:ind w:left="284"/>
              <w:jc w:val="center"/>
              <w:rPr>
                <w:rFonts w:cs="Arial"/>
                <w:sz w:val="18"/>
                <w:szCs w:val="18"/>
              </w:rPr>
            </w:pPr>
            <w:r w:rsidRPr="00AA736D">
              <w:rPr>
                <w:rFonts w:cs="Arial"/>
                <w:sz w:val="18"/>
                <w:szCs w:val="18"/>
              </w:rPr>
              <w:t>a</w:t>
            </w:r>
          </w:p>
        </w:tc>
        <w:tc>
          <w:tcPr>
            <w:tcW w:w="1771" w:type="dxa"/>
            <w:tcBorders>
              <w:bottom w:val="single" w:sz="4" w:space="0" w:color="auto"/>
            </w:tcBorders>
            <w:vAlign w:val="center"/>
          </w:tcPr>
          <w:p w:rsidR="00AA736D" w:rsidRPr="00AA736D" w:rsidRDefault="00AA736D" w:rsidP="00AA736D">
            <w:pPr>
              <w:tabs>
                <w:tab w:val="left" w:pos="426"/>
                <w:tab w:val="right" w:pos="9072"/>
              </w:tabs>
              <w:ind w:left="284"/>
              <w:jc w:val="center"/>
              <w:rPr>
                <w:rFonts w:cs="Arial"/>
                <w:sz w:val="18"/>
                <w:szCs w:val="18"/>
              </w:rPr>
            </w:pPr>
            <w:r w:rsidRPr="00AA736D">
              <w:rPr>
                <w:rFonts w:cs="Arial"/>
                <w:sz w:val="18"/>
                <w:szCs w:val="18"/>
              </w:rPr>
              <w:t>1</w:t>
            </w:r>
          </w:p>
        </w:tc>
        <w:tc>
          <w:tcPr>
            <w:tcW w:w="1843" w:type="dxa"/>
            <w:tcBorders>
              <w:bottom w:val="single" w:sz="4" w:space="0" w:color="auto"/>
            </w:tcBorders>
            <w:vAlign w:val="center"/>
          </w:tcPr>
          <w:p w:rsidR="00AA736D" w:rsidRPr="00AA736D" w:rsidRDefault="00AA736D" w:rsidP="00AA736D">
            <w:pPr>
              <w:tabs>
                <w:tab w:val="left" w:pos="426"/>
                <w:tab w:val="right" w:pos="9072"/>
              </w:tabs>
              <w:ind w:left="284"/>
              <w:jc w:val="center"/>
              <w:rPr>
                <w:rFonts w:cs="Arial"/>
                <w:sz w:val="18"/>
                <w:szCs w:val="18"/>
              </w:rPr>
            </w:pPr>
            <w:r w:rsidRPr="00AA736D">
              <w:rPr>
                <w:rFonts w:cs="Arial"/>
                <w:sz w:val="18"/>
                <w:szCs w:val="18"/>
              </w:rPr>
              <w:t>2</w:t>
            </w:r>
          </w:p>
        </w:tc>
        <w:tc>
          <w:tcPr>
            <w:tcW w:w="1843" w:type="dxa"/>
            <w:tcBorders>
              <w:bottom w:val="single" w:sz="4" w:space="0" w:color="auto"/>
            </w:tcBorders>
            <w:vAlign w:val="center"/>
          </w:tcPr>
          <w:p w:rsidR="00AA736D" w:rsidRPr="00AA736D" w:rsidRDefault="00AA736D" w:rsidP="00AA736D">
            <w:pPr>
              <w:tabs>
                <w:tab w:val="left" w:pos="426"/>
                <w:tab w:val="right" w:pos="9072"/>
              </w:tabs>
              <w:ind w:left="284"/>
              <w:jc w:val="center"/>
              <w:rPr>
                <w:rFonts w:cs="Arial"/>
                <w:sz w:val="18"/>
                <w:szCs w:val="18"/>
              </w:rPr>
            </w:pPr>
            <w:r w:rsidRPr="00AA736D">
              <w:rPr>
                <w:rFonts w:cs="Arial"/>
                <w:sz w:val="18"/>
                <w:szCs w:val="18"/>
              </w:rPr>
              <w:t>3</w:t>
            </w:r>
          </w:p>
        </w:tc>
        <w:tc>
          <w:tcPr>
            <w:tcW w:w="1203" w:type="dxa"/>
            <w:tcBorders>
              <w:bottom w:val="single" w:sz="4" w:space="0" w:color="auto"/>
            </w:tcBorders>
            <w:vAlign w:val="center"/>
          </w:tcPr>
          <w:p w:rsidR="00AA736D" w:rsidRPr="00AA736D" w:rsidRDefault="00AA736D" w:rsidP="00AA736D">
            <w:pPr>
              <w:tabs>
                <w:tab w:val="left" w:pos="426"/>
                <w:tab w:val="right" w:pos="9072"/>
              </w:tabs>
              <w:ind w:left="284"/>
              <w:jc w:val="center"/>
              <w:rPr>
                <w:rFonts w:cs="Arial"/>
                <w:sz w:val="18"/>
                <w:szCs w:val="18"/>
              </w:rPr>
            </w:pPr>
            <w:r w:rsidRPr="00AA736D">
              <w:rPr>
                <w:rFonts w:cs="Arial"/>
                <w:sz w:val="18"/>
                <w:szCs w:val="18"/>
              </w:rPr>
              <w:t>4</w:t>
            </w:r>
          </w:p>
        </w:tc>
      </w:tr>
      <w:tr w:rsidR="00AA736D" w:rsidRPr="00AA736D" w:rsidTr="00565313">
        <w:trPr>
          <w:trHeight w:val="206"/>
        </w:trPr>
        <w:tc>
          <w:tcPr>
            <w:tcW w:w="2410" w:type="dxa"/>
            <w:tcBorders>
              <w:top w:val="nil"/>
              <w:bottom w:val="nil"/>
            </w:tcBorders>
            <w:vAlign w:val="bottom"/>
          </w:tcPr>
          <w:p w:rsidR="00AA736D" w:rsidRPr="00AA736D" w:rsidRDefault="00AA736D" w:rsidP="00AA736D">
            <w:pPr>
              <w:tabs>
                <w:tab w:val="left" w:pos="426"/>
                <w:tab w:val="right" w:pos="9072"/>
              </w:tabs>
              <w:spacing w:after="120"/>
              <w:rPr>
                <w:rFonts w:cs="Arial"/>
                <w:sz w:val="20"/>
              </w:rPr>
            </w:pPr>
            <w:r w:rsidRPr="00AA736D">
              <w:rPr>
                <w:rFonts w:cs="Arial"/>
                <w:sz w:val="20"/>
              </w:rPr>
              <w:t>Bežné výdavky (náklady)</w:t>
            </w:r>
          </w:p>
        </w:tc>
        <w:tc>
          <w:tcPr>
            <w:tcW w:w="1771"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24 940</w:t>
            </w:r>
          </w:p>
        </w:tc>
        <w:tc>
          <w:tcPr>
            <w:tcW w:w="184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31 099</w:t>
            </w:r>
          </w:p>
        </w:tc>
        <w:tc>
          <w:tcPr>
            <w:tcW w:w="184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56 039</w:t>
            </w:r>
          </w:p>
        </w:tc>
        <w:tc>
          <w:tcPr>
            <w:tcW w:w="120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98,60</w:t>
            </w:r>
          </w:p>
        </w:tc>
      </w:tr>
      <w:tr w:rsidR="00AA736D" w:rsidRPr="00AA736D" w:rsidTr="00565313">
        <w:trPr>
          <w:trHeight w:val="80"/>
        </w:trPr>
        <w:tc>
          <w:tcPr>
            <w:tcW w:w="2410" w:type="dxa"/>
            <w:tcBorders>
              <w:top w:val="nil"/>
              <w:bottom w:val="nil"/>
            </w:tcBorders>
            <w:vAlign w:val="bottom"/>
          </w:tcPr>
          <w:p w:rsidR="00AA736D" w:rsidRPr="00AA736D" w:rsidRDefault="00AA736D" w:rsidP="00AA736D">
            <w:pPr>
              <w:tabs>
                <w:tab w:val="left" w:pos="426"/>
                <w:tab w:val="right" w:pos="9072"/>
              </w:tabs>
              <w:spacing w:after="120"/>
              <w:rPr>
                <w:rFonts w:cs="Arial"/>
                <w:sz w:val="20"/>
              </w:rPr>
            </w:pPr>
            <w:r w:rsidRPr="00AA736D">
              <w:rPr>
                <w:rFonts w:cs="Arial"/>
                <w:sz w:val="20"/>
              </w:rPr>
              <w:t>Kapitálové výdavky</w:t>
            </w:r>
          </w:p>
        </w:tc>
        <w:tc>
          <w:tcPr>
            <w:tcW w:w="1771"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 xml:space="preserve">793 </w:t>
            </w:r>
          </w:p>
        </w:tc>
        <w:tc>
          <w:tcPr>
            <w:tcW w:w="184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 xml:space="preserve">       - </w:t>
            </w:r>
          </w:p>
        </w:tc>
        <w:tc>
          <w:tcPr>
            <w:tcW w:w="184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 xml:space="preserve">   793</w:t>
            </w:r>
          </w:p>
        </w:tc>
        <w:tc>
          <w:tcPr>
            <w:tcW w:w="1203" w:type="dxa"/>
            <w:tcBorders>
              <w:top w:val="nil"/>
              <w:bottom w:val="nil"/>
            </w:tcBorders>
            <w:vAlign w:val="bottom"/>
          </w:tcPr>
          <w:p w:rsidR="00AA736D" w:rsidRPr="00AA736D" w:rsidRDefault="00AA736D" w:rsidP="00AA736D">
            <w:pPr>
              <w:tabs>
                <w:tab w:val="right" w:pos="9072"/>
              </w:tabs>
              <w:spacing w:before="60" w:after="60"/>
              <w:jc w:val="right"/>
              <w:rPr>
                <w:rFonts w:cs="Arial"/>
                <w:sz w:val="20"/>
              </w:rPr>
            </w:pPr>
            <w:r w:rsidRPr="00AA736D">
              <w:rPr>
                <w:rFonts w:cs="Arial"/>
                <w:sz w:val="20"/>
              </w:rPr>
              <w:t xml:space="preserve">    1,40</w:t>
            </w:r>
          </w:p>
        </w:tc>
      </w:tr>
      <w:tr w:rsidR="00AA736D" w:rsidRPr="00AA736D" w:rsidTr="00565313">
        <w:tc>
          <w:tcPr>
            <w:tcW w:w="2410" w:type="dxa"/>
            <w:tcBorders>
              <w:top w:val="nil"/>
            </w:tcBorders>
            <w:vAlign w:val="bottom"/>
          </w:tcPr>
          <w:p w:rsidR="00AA736D" w:rsidRPr="00AA736D" w:rsidRDefault="00AA736D" w:rsidP="00AA736D">
            <w:pPr>
              <w:tabs>
                <w:tab w:val="left" w:pos="426"/>
                <w:tab w:val="right" w:pos="9072"/>
              </w:tabs>
              <w:spacing w:after="120"/>
              <w:rPr>
                <w:rFonts w:cs="Arial"/>
                <w:b/>
                <w:sz w:val="20"/>
              </w:rPr>
            </w:pPr>
            <w:r w:rsidRPr="00AA736D">
              <w:rPr>
                <w:rFonts w:cs="Arial"/>
                <w:b/>
                <w:sz w:val="20"/>
              </w:rPr>
              <w:t>Správny fond spolu</w:t>
            </w:r>
          </w:p>
        </w:tc>
        <w:tc>
          <w:tcPr>
            <w:tcW w:w="1771" w:type="dxa"/>
            <w:tcBorders>
              <w:top w:val="nil"/>
            </w:tcBorders>
            <w:vAlign w:val="bottom"/>
          </w:tcPr>
          <w:p w:rsidR="00AA736D" w:rsidRPr="00AA736D" w:rsidRDefault="00AA736D" w:rsidP="00AA736D">
            <w:pPr>
              <w:tabs>
                <w:tab w:val="right" w:pos="9072"/>
              </w:tabs>
              <w:spacing w:before="60" w:after="60"/>
              <w:jc w:val="right"/>
              <w:rPr>
                <w:rFonts w:cs="Arial"/>
                <w:b/>
                <w:sz w:val="20"/>
              </w:rPr>
            </w:pPr>
            <w:r w:rsidRPr="00AA736D">
              <w:rPr>
                <w:rFonts w:cs="Arial"/>
                <w:b/>
                <w:sz w:val="20"/>
              </w:rPr>
              <w:t>25 733</w:t>
            </w:r>
          </w:p>
        </w:tc>
        <w:tc>
          <w:tcPr>
            <w:tcW w:w="1843" w:type="dxa"/>
            <w:tcBorders>
              <w:top w:val="nil"/>
            </w:tcBorders>
            <w:vAlign w:val="bottom"/>
          </w:tcPr>
          <w:p w:rsidR="00AA736D" w:rsidRPr="00AA736D" w:rsidRDefault="00AA736D" w:rsidP="00AA736D">
            <w:pPr>
              <w:tabs>
                <w:tab w:val="right" w:pos="9072"/>
              </w:tabs>
              <w:spacing w:before="60" w:after="60"/>
              <w:jc w:val="right"/>
              <w:rPr>
                <w:rFonts w:cs="Arial"/>
                <w:b/>
                <w:sz w:val="20"/>
              </w:rPr>
            </w:pPr>
            <w:r w:rsidRPr="00AA736D">
              <w:rPr>
                <w:rFonts w:cs="Arial"/>
                <w:b/>
                <w:sz w:val="20"/>
              </w:rPr>
              <w:t>31 099</w:t>
            </w:r>
          </w:p>
        </w:tc>
        <w:tc>
          <w:tcPr>
            <w:tcW w:w="1843" w:type="dxa"/>
            <w:tcBorders>
              <w:top w:val="nil"/>
            </w:tcBorders>
            <w:vAlign w:val="bottom"/>
          </w:tcPr>
          <w:p w:rsidR="00AA736D" w:rsidRPr="00AA736D" w:rsidRDefault="00AA736D" w:rsidP="00AA736D">
            <w:pPr>
              <w:tabs>
                <w:tab w:val="right" w:pos="9072"/>
              </w:tabs>
              <w:spacing w:before="60" w:after="60"/>
              <w:jc w:val="right"/>
              <w:rPr>
                <w:rFonts w:cs="Arial"/>
                <w:b/>
                <w:sz w:val="20"/>
              </w:rPr>
            </w:pPr>
            <w:r w:rsidRPr="00AA736D">
              <w:rPr>
                <w:rFonts w:cs="Arial"/>
                <w:b/>
                <w:sz w:val="20"/>
              </w:rPr>
              <w:t>56 832</w:t>
            </w:r>
          </w:p>
        </w:tc>
        <w:tc>
          <w:tcPr>
            <w:tcW w:w="1203" w:type="dxa"/>
            <w:tcBorders>
              <w:top w:val="nil"/>
            </w:tcBorders>
            <w:vAlign w:val="bottom"/>
          </w:tcPr>
          <w:p w:rsidR="00AA736D" w:rsidRPr="00AA736D" w:rsidRDefault="00AA736D" w:rsidP="00AA736D">
            <w:pPr>
              <w:tabs>
                <w:tab w:val="right" w:pos="9072"/>
              </w:tabs>
              <w:spacing w:before="60" w:after="60"/>
              <w:jc w:val="right"/>
              <w:rPr>
                <w:rFonts w:cs="Arial"/>
                <w:b/>
                <w:sz w:val="20"/>
              </w:rPr>
            </w:pPr>
            <w:r w:rsidRPr="00AA736D">
              <w:rPr>
                <w:rFonts w:cs="Arial"/>
                <w:b/>
                <w:sz w:val="20"/>
              </w:rPr>
              <w:t>100,00</w:t>
            </w:r>
          </w:p>
        </w:tc>
      </w:tr>
    </w:tbl>
    <w:p w:rsidR="00AA736D" w:rsidRPr="00AA736D" w:rsidRDefault="00AA736D" w:rsidP="00AA736D">
      <w:pPr>
        <w:tabs>
          <w:tab w:val="left" w:pos="709"/>
          <w:tab w:val="right" w:pos="5670"/>
          <w:tab w:val="right" w:pos="9072"/>
        </w:tabs>
        <w:spacing w:before="240" w:after="120"/>
        <w:ind w:firstLine="720"/>
        <w:jc w:val="both"/>
        <w:rPr>
          <w:rFonts w:cs="Arial"/>
        </w:rPr>
      </w:pPr>
      <w:r w:rsidRPr="00AA736D">
        <w:rPr>
          <w:rFonts w:cs="Arial"/>
        </w:rPr>
        <w:t xml:space="preserve">Na celkovom plnení upraveného rozpočtu správneho fondu za I. polrok 2015 sa podieľali </w:t>
      </w:r>
      <w:r w:rsidRPr="00AA736D">
        <w:rPr>
          <w:rFonts w:cs="Arial"/>
          <w:b/>
        </w:rPr>
        <w:t>osobné  náklady vo</w:t>
      </w:r>
      <w:r w:rsidRPr="00AA736D">
        <w:rPr>
          <w:rFonts w:cs="Arial"/>
        </w:rPr>
        <w:t xml:space="preserve"> </w:t>
      </w:r>
      <w:r w:rsidRPr="00AA736D">
        <w:rPr>
          <w:rFonts w:cs="Arial"/>
          <w:b/>
        </w:rPr>
        <w:t xml:space="preserve">výške 38 737 tis. Eur, </w:t>
      </w:r>
      <w:r w:rsidRPr="00AA736D">
        <w:rPr>
          <w:rFonts w:cs="Arial"/>
        </w:rPr>
        <w:t>z toho mzdové prostriedky, poistné a príspevok do poisťovní podľa organizačných zložiek Sociálnej poisťovne boli :</w:t>
      </w:r>
    </w:p>
    <w:p w:rsidR="00AA736D" w:rsidRPr="00AA736D" w:rsidRDefault="00AA736D" w:rsidP="00AA736D">
      <w:pPr>
        <w:tabs>
          <w:tab w:val="left" w:pos="426"/>
          <w:tab w:val="left" w:pos="709"/>
          <w:tab w:val="right" w:pos="5670"/>
          <w:tab w:val="right" w:pos="9072"/>
        </w:tabs>
        <w:ind w:left="284"/>
        <w:jc w:val="center"/>
        <w:rPr>
          <w:rFonts w:cs="Arial"/>
          <w:sz w:val="20"/>
        </w:rPr>
      </w:pPr>
      <w:r w:rsidRPr="00AA736D">
        <w:rPr>
          <w:rFonts w:cs="Arial"/>
          <w:sz w:val="20"/>
        </w:rPr>
        <w:t xml:space="preserve">                                                                                                                                    v tis. Eur</w:t>
      </w:r>
    </w:p>
    <w:tbl>
      <w:tblPr>
        <w:tblW w:w="8962" w:type="dxa"/>
        <w:tblInd w:w="250" w:type="dxa"/>
        <w:tblCellMar>
          <w:left w:w="70" w:type="dxa"/>
          <w:right w:w="70" w:type="dxa"/>
        </w:tblCellMar>
        <w:tblLook w:val="0000" w:firstRow="0" w:lastRow="0" w:firstColumn="0" w:lastColumn="0" w:noHBand="0" w:noVBand="0"/>
      </w:tblPr>
      <w:tblGrid>
        <w:gridCol w:w="3364"/>
        <w:gridCol w:w="1418"/>
        <w:gridCol w:w="1486"/>
        <w:gridCol w:w="1418"/>
        <w:gridCol w:w="1276"/>
      </w:tblGrid>
      <w:tr w:rsidR="00AA736D" w:rsidRPr="00AA736D" w:rsidTr="00565313">
        <w:trPr>
          <w:trHeight w:val="300"/>
        </w:trPr>
        <w:tc>
          <w:tcPr>
            <w:tcW w:w="3364"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 </w:t>
            </w:r>
          </w:p>
        </w:tc>
        <w:tc>
          <w:tcPr>
            <w:tcW w:w="1418"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Rozpis</w:t>
            </w:r>
          </w:p>
        </w:tc>
        <w:tc>
          <w:tcPr>
            <w:tcW w:w="1486" w:type="dxa"/>
            <w:tcBorders>
              <w:top w:val="single" w:sz="4" w:space="0" w:color="auto"/>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Rozpis</w:t>
            </w:r>
          </w:p>
        </w:tc>
        <w:tc>
          <w:tcPr>
            <w:tcW w:w="1418"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Skutočnosť</w:t>
            </w:r>
          </w:p>
        </w:tc>
        <w:tc>
          <w:tcPr>
            <w:tcW w:w="1276"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w:t>
            </w:r>
          </w:p>
        </w:tc>
      </w:tr>
      <w:tr w:rsidR="00AA736D" w:rsidRPr="00AA736D" w:rsidTr="00565313">
        <w:trPr>
          <w:trHeight w:val="300"/>
        </w:trPr>
        <w:tc>
          <w:tcPr>
            <w:tcW w:w="3364"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Ukazovateľ</w:t>
            </w:r>
          </w:p>
        </w:tc>
        <w:tc>
          <w:tcPr>
            <w:tcW w:w="141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rozpočtu</w:t>
            </w:r>
          </w:p>
        </w:tc>
        <w:tc>
          <w:tcPr>
            <w:tcW w:w="1486" w:type="dxa"/>
            <w:tcBorders>
              <w:top w:val="nil"/>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rozpočtu</w:t>
            </w:r>
          </w:p>
        </w:tc>
        <w:tc>
          <w:tcPr>
            <w:tcW w:w="141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za I. polrok</w:t>
            </w:r>
          </w:p>
        </w:tc>
        <w:tc>
          <w:tcPr>
            <w:tcW w:w="1276"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plnenia</w:t>
            </w:r>
          </w:p>
        </w:tc>
      </w:tr>
      <w:tr w:rsidR="00AA736D" w:rsidRPr="00AA736D" w:rsidTr="00565313">
        <w:trPr>
          <w:trHeight w:val="285"/>
        </w:trPr>
        <w:tc>
          <w:tcPr>
            <w:tcW w:w="3364"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rPr>
                <w:rFonts w:cs="Arial"/>
                <w:bCs/>
                <w:sz w:val="18"/>
                <w:szCs w:val="18"/>
              </w:rPr>
            </w:pPr>
            <w:r w:rsidRPr="00AA736D">
              <w:rPr>
                <w:rFonts w:cs="Arial"/>
                <w:bCs/>
                <w:sz w:val="18"/>
                <w:szCs w:val="18"/>
              </w:rPr>
              <w:t> </w:t>
            </w:r>
          </w:p>
        </w:tc>
        <w:tc>
          <w:tcPr>
            <w:tcW w:w="141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na rok 2015</w:t>
            </w:r>
          </w:p>
        </w:tc>
        <w:tc>
          <w:tcPr>
            <w:tcW w:w="1486" w:type="dxa"/>
            <w:tcBorders>
              <w:top w:val="nil"/>
              <w:left w:val="single" w:sz="4" w:space="0" w:color="auto"/>
              <w:bottom w:val="nil"/>
              <w:right w:val="single" w:sz="4" w:space="0" w:color="auto"/>
            </w:tcBorders>
            <w:vAlign w:val="bottom"/>
          </w:tcPr>
          <w:p w:rsidR="00AA736D" w:rsidRPr="00AA736D" w:rsidRDefault="00AA736D" w:rsidP="00AA736D">
            <w:pPr>
              <w:jc w:val="center"/>
              <w:rPr>
                <w:rFonts w:cs="Arial"/>
                <w:bCs/>
                <w:sz w:val="18"/>
                <w:szCs w:val="18"/>
              </w:rPr>
            </w:pPr>
            <w:r w:rsidRPr="00AA736D">
              <w:rPr>
                <w:rFonts w:cs="Arial"/>
                <w:bCs/>
                <w:sz w:val="18"/>
                <w:szCs w:val="18"/>
              </w:rPr>
              <w:t>po úpravách</w:t>
            </w:r>
          </w:p>
        </w:tc>
        <w:tc>
          <w:tcPr>
            <w:tcW w:w="141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 xml:space="preserve"> 2015</w:t>
            </w:r>
          </w:p>
        </w:tc>
        <w:tc>
          <w:tcPr>
            <w:tcW w:w="1276"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3/2</w:t>
            </w:r>
          </w:p>
        </w:tc>
      </w:tr>
      <w:tr w:rsidR="00AA736D" w:rsidRPr="00AA736D" w:rsidTr="00565313">
        <w:trPr>
          <w:trHeight w:val="284"/>
        </w:trPr>
        <w:tc>
          <w:tcPr>
            <w:tcW w:w="3364"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Cs/>
                <w:sz w:val="18"/>
                <w:szCs w:val="18"/>
              </w:rPr>
            </w:pPr>
            <w:r w:rsidRPr="00AA736D">
              <w:rPr>
                <w:rFonts w:cs="Arial"/>
                <w:bCs/>
                <w:sz w:val="18"/>
                <w:szCs w:val="18"/>
              </w:rPr>
              <w:t> </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 </w:t>
            </w:r>
          </w:p>
        </w:tc>
        <w:tc>
          <w:tcPr>
            <w:tcW w:w="1486" w:type="dxa"/>
            <w:tcBorders>
              <w:top w:val="nil"/>
              <w:left w:val="single" w:sz="4" w:space="0" w:color="auto"/>
              <w:bottom w:val="single" w:sz="4" w:space="0" w:color="auto"/>
              <w:right w:val="single" w:sz="4" w:space="0" w:color="auto"/>
            </w:tcBorders>
            <w:vAlign w:val="bottom"/>
          </w:tcPr>
          <w:p w:rsidR="00AA736D" w:rsidRPr="00AA736D" w:rsidRDefault="00AA736D" w:rsidP="00AA736D">
            <w:pPr>
              <w:jc w:val="center"/>
              <w:rPr>
                <w:rFonts w:cs="Arial"/>
                <w:sz w:val="18"/>
                <w:szCs w:val="18"/>
              </w:rPr>
            </w:pPr>
            <w:r w:rsidRPr="00AA736D">
              <w:rPr>
                <w:rFonts w:cs="Arial"/>
                <w:sz w:val="18"/>
                <w:szCs w:val="18"/>
              </w:rPr>
              <w:t>k 3006 2015</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bCs/>
                <w:sz w:val="18"/>
                <w:szCs w:val="18"/>
              </w:rPr>
            </w:pPr>
            <w:r w:rsidRPr="00AA736D">
              <w:rPr>
                <w:rFonts w:cs="Arial"/>
                <w:bCs/>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 </w:t>
            </w:r>
          </w:p>
        </w:tc>
      </w:tr>
      <w:tr w:rsidR="00AA736D" w:rsidRPr="00AA736D" w:rsidTr="00565313">
        <w:trPr>
          <w:trHeight w:val="30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1</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center"/>
              <w:rPr>
                <w:rFonts w:cs="Arial"/>
                <w:sz w:val="18"/>
                <w:szCs w:val="18"/>
              </w:rPr>
            </w:pPr>
            <w:r w:rsidRPr="00AA736D">
              <w:rPr>
                <w:rFonts w:cs="Arial"/>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center"/>
              <w:rPr>
                <w:rFonts w:cs="Arial"/>
                <w:sz w:val="18"/>
                <w:szCs w:val="18"/>
              </w:rPr>
            </w:pPr>
            <w:r w:rsidRPr="00AA736D">
              <w:rPr>
                <w:rFonts w:cs="Arial"/>
                <w:sz w:val="18"/>
                <w:szCs w:val="18"/>
              </w:rPr>
              <w:t>4</w:t>
            </w:r>
          </w:p>
        </w:tc>
      </w:tr>
      <w:tr w:rsidR="00AA736D" w:rsidRPr="00AA736D" w:rsidTr="00565313">
        <w:trPr>
          <w:trHeight w:val="30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
                <w:bCs/>
                <w:sz w:val="18"/>
                <w:szCs w:val="18"/>
              </w:rPr>
            </w:pPr>
            <w:r w:rsidRPr="00AA736D">
              <w:rPr>
                <w:rFonts w:cs="Arial"/>
                <w:b/>
                <w:bCs/>
                <w:sz w:val="18"/>
                <w:szCs w:val="18"/>
              </w:rPr>
              <w:t xml:space="preserve"> Mzdové prostriedky spolu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56 000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
                <w:bCs/>
                <w:sz w:val="18"/>
                <w:szCs w:val="18"/>
              </w:rPr>
            </w:pPr>
            <w:r w:rsidRPr="00AA736D">
              <w:rPr>
                <w:rFonts w:cs="Arial"/>
                <w:b/>
                <w:bCs/>
                <w:sz w:val="18"/>
                <w:szCs w:val="18"/>
              </w:rPr>
              <w:t>59 084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26 871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45,48</w:t>
            </w:r>
          </w:p>
        </w:tc>
      </w:tr>
      <w:tr w:rsidR="00AA736D" w:rsidRPr="00AA736D" w:rsidTr="00565313">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v tom : - ústredie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19 688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21 854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8 334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38,14</w:t>
            </w:r>
          </w:p>
        </w:tc>
      </w:tr>
      <w:tr w:rsidR="00AA736D" w:rsidRPr="00AA736D" w:rsidTr="00565313">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 pobočky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 xml:space="preserve">36 312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sz w:val="18"/>
                <w:szCs w:val="18"/>
              </w:rPr>
            </w:pPr>
            <w:r w:rsidRPr="00AA736D">
              <w:rPr>
                <w:rFonts w:cs="Arial"/>
                <w:sz w:val="18"/>
                <w:szCs w:val="18"/>
              </w:rPr>
              <w:t>37 230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18 537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49,79</w:t>
            </w:r>
          </w:p>
        </w:tc>
      </w:tr>
      <w:tr w:rsidR="00AA736D" w:rsidRPr="00AA736D" w:rsidTr="00565313">
        <w:trPr>
          <w:trHeight w:val="30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b/>
                <w:bCs/>
                <w:sz w:val="18"/>
                <w:szCs w:val="18"/>
              </w:rPr>
            </w:pPr>
            <w:r w:rsidRPr="00AA736D">
              <w:rPr>
                <w:rFonts w:cs="Arial"/>
                <w:b/>
                <w:bCs/>
                <w:sz w:val="18"/>
                <w:szCs w:val="18"/>
              </w:rPr>
              <w:t xml:space="preserve"> Poistné a príspevok do poisťovní</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 xml:space="preserve">21 383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
                <w:bCs/>
                <w:sz w:val="18"/>
                <w:szCs w:val="18"/>
              </w:rPr>
            </w:pPr>
            <w:r w:rsidRPr="00AA736D">
              <w:rPr>
                <w:rFonts w:cs="Arial"/>
                <w:b/>
                <w:bCs/>
                <w:sz w:val="18"/>
                <w:szCs w:val="18"/>
              </w:rPr>
              <w:t>23 262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10 306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
                <w:bCs/>
                <w:sz w:val="18"/>
                <w:szCs w:val="18"/>
              </w:rPr>
            </w:pPr>
            <w:r w:rsidRPr="00AA736D">
              <w:rPr>
                <w:rFonts w:cs="Arial"/>
                <w:b/>
                <w:bCs/>
                <w:sz w:val="18"/>
                <w:szCs w:val="18"/>
              </w:rPr>
              <w:t>44,30</w:t>
            </w:r>
          </w:p>
        </w:tc>
      </w:tr>
      <w:tr w:rsidR="00AA736D" w:rsidRPr="00AA736D" w:rsidTr="00565313">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v tom : - ústredie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 xml:space="preserve">7 501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Cs/>
                <w:sz w:val="18"/>
                <w:szCs w:val="18"/>
              </w:rPr>
            </w:pPr>
            <w:r w:rsidRPr="00AA736D">
              <w:rPr>
                <w:rFonts w:cs="Arial"/>
                <w:bCs/>
                <w:sz w:val="18"/>
                <w:szCs w:val="18"/>
              </w:rPr>
              <w:t>9 032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3 239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35,86</w:t>
            </w:r>
          </w:p>
        </w:tc>
      </w:tr>
      <w:tr w:rsidR="00AA736D" w:rsidRPr="00AA736D" w:rsidTr="00565313">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rPr>
                <w:rFonts w:cs="Arial"/>
                <w:sz w:val="18"/>
                <w:szCs w:val="18"/>
              </w:rPr>
            </w:pPr>
            <w:r w:rsidRPr="00AA736D">
              <w:rPr>
                <w:rFonts w:cs="Arial"/>
                <w:sz w:val="18"/>
                <w:szCs w:val="18"/>
              </w:rPr>
              <w:t xml:space="preserve">             - pobočky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 xml:space="preserve">13 882 </w:t>
            </w:r>
          </w:p>
        </w:tc>
        <w:tc>
          <w:tcPr>
            <w:tcW w:w="1486"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jc w:val="right"/>
              <w:rPr>
                <w:rFonts w:cs="Arial"/>
                <w:bCs/>
                <w:sz w:val="18"/>
                <w:szCs w:val="18"/>
              </w:rPr>
            </w:pPr>
            <w:r w:rsidRPr="00AA736D">
              <w:rPr>
                <w:rFonts w:cs="Arial"/>
                <w:bCs/>
                <w:sz w:val="18"/>
                <w:szCs w:val="18"/>
              </w:rPr>
              <w:t>14 230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bCs/>
                <w:sz w:val="18"/>
                <w:szCs w:val="18"/>
              </w:rPr>
            </w:pPr>
            <w:r w:rsidRPr="00AA736D">
              <w:rPr>
                <w:rFonts w:cs="Arial"/>
                <w:bCs/>
                <w:sz w:val="18"/>
                <w:szCs w:val="18"/>
              </w:rPr>
              <w:t>7 067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18"/>
                <w:szCs w:val="18"/>
              </w:rPr>
            </w:pPr>
            <w:r w:rsidRPr="00AA736D">
              <w:rPr>
                <w:rFonts w:cs="Arial"/>
                <w:sz w:val="18"/>
                <w:szCs w:val="18"/>
              </w:rPr>
              <w:t>49,66</w:t>
            </w:r>
          </w:p>
        </w:tc>
      </w:tr>
    </w:tbl>
    <w:p w:rsidR="00AA736D" w:rsidRPr="00AA736D" w:rsidRDefault="00AA736D" w:rsidP="00AA736D">
      <w:pPr>
        <w:tabs>
          <w:tab w:val="right" w:pos="8931"/>
        </w:tabs>
        <w:spacing w:before="360"/>
        <w:ind w:firstLine="720"/>
        <w:jc w:val="both"/>
        <w:rPr>
          <w:rFonts w:cs="Arial"/>
        </w:rPr>
      </w:pPr>
      <w:r w:rsidRPr="00AA736D">
        <w:rPr>
          <w:rFonts w:cs="Arial"/>
        </w:rPr>
        <w:t xml:space="preserve">Finančné prostriedky rozpočtované na krytie výdavkov (nákladov) správneho   fondu ústredia a pobočiek spolu v upravenom rozpise rozpočtu na tovary a služby v celkovej sume </w:t>
      </w:r>
      <w:r w:rsidRPr="00AA736D">
        <w:rPr>
          <w:rFonts w:cs="Arial"/>
        </w:rPr>
        <w:tab/>
        <w:t>42 113 tis. Eur,</w:t>
      </w:r>
      <w:r w:rsidRPr="00AA736D">
        <w:rPr>
          <w:rFonts w:cs="Arial"/>
        </w:rPr>
        <w:br/>
        <w:t xml:space="preserve">boli za I. polrok 2015 čerpané vo výške </w:t>
      </w:r>
      <w:r w:rsidRPr="00AA736D">
        <w:rPr>
          <w:rFonts w:cs="Arial"/>
        </w:rPr>
        <w:tab/>
        <w:t xml:space="preserve">18 442 tis. Eur, </w:t>
      </w:r>
      <w:r w:rsidRPr="00AA736D">
        <w:rPr>
          <w:rFonts w:cs="Arial"/>
        </w:rPr>
        <w:br/>
        <w:t>čo je plnenie ročného rozpočtu na</w:t>
      </w:r>
      <w:r w:rsidRPr="00AA736D">
        <w:rPr>
          <w:rFonts w:cs="Arial"/>
        </w:rPr>
        <w:tab/>
        <w:t xml:space="preserve">  43,79 %.</w:t>
      </w:r>
    </w:p>
    <w:p w:rsidR="00AA736D" w:rsidRPr="00AA736D" w:rsidRDefault="00AA736D" w:rsidP="00AA736D">
      <w:pPr>
        <w:tabs>
          <w:tab w:val="right" w:pos="8931"/>
        </w:tabs>
        <w:spacing w:before="240" w:after="120"/>
        <w:ind w:firstLine="720"/>
        <w:jc w:val="both"/>
        <w:rPr>
          <w:rFonts w:cs="Arial"/>
        </w:rPr>
      </w:pPr>
      <w:r w:rsidRPr="00AA736D">
        <w:rPr>
          <w:rFonts w:cs="Arial"/>
        </w:rPr>
        <w:t xml:space="preserve">Finančné prostriedky rozpočtované na krytie výdavkov (nákladov) správneho   fondu ústredia a pobočiek spolu v upravenom rozpise rozpočtu na bežné transfery v celkovej sume </w:t>
      </w:r>
      <w:r w:rsidRPr="00AA736D">
        <w:rPr>
          <w:rFonts w:cs="Arial"/>
        </w:rPr>
        <w:tab/>
        <w:t>834 tis. Eur,</w:t>
      </w:r>
      <w:r w:rsidRPr="00AA736D">
        <w:rPr>
          <w:rFonts w:cs="Arial"/>
        </w:rPr>
        <w:br/>
        <w:t xml:space="preserve">boli za I. polrok 2015 čerpané vo výške </w:t>
      </w:r>
      <w:r w:rsidRPr="00AA736D">
        <w:rPr>
          <w:rFonts w:cs="Arial"/>
        </w:rPr>
        <w:tab/>
        <w:t xml:space="preserve">420 tis. Eur, </w:t>
      </w:r>
      <w:r w:rsidRPr="00AA736D">
        <w:rPr>
          <w:rFonts w:cs="Arial"/>
        </w:rPr>
        <w:br/>
        <w:t>čo je plnenie ročného rozpočtu na</w:t>
      </w:r>
      <w:r w:rsidRPr="00AA736D">
        <w:rPr>
          <w:rFonts w:cs="Arial"/>
        </w:rPr>
        <w:tab/>
        <w:t>50,36 %.</w:t>
      </w:r>
    </w:p>
    <w:p w:rsidR="00AA736D" w:rsidRPr="00AA736D" w:rsidRDefault="00AA736D" w:rsidP="00AA736D">
      <w:pPr>
        <w:tabs>
          <w:tab w:val="right" w:pos="4536"/>
          <w:tab w:val="right" w:pos="6663"/>
          <w:tab w:val="right" w:pos="9072"/>
        </w:tabs>
        <w:spacing w:before="240"/>
        <w:ind w:firstLine="720"/>
        <w:rPr>
          <w:rFonts w:cs="Arial"/>
        </w:rPr>
      </w:pPr>
      <w:r w:rsidRPr="00AA736D">
        <w:rPr>
          <w:rFonts w:cs="Arial"/>
        </w:rPr>
        <w:t xml:space="preserve">Podľa vybraných </w:t>
      </w:r>
      <w:r w:rsidRPr="00AA736D">
        <w:rPr>
          <w:rFonts w:cs="Arial"/>
          <w:b/>
        </w:rPr>
        <w:t>nákladových položiek</w:t>
      </w:r>
      <w:r w:rsidRPr="00AA736D">
        <w:rPr>
          <w:rFonts w:cs="Arial"/>
        </w:rPr>
        <w:t xml:space="preserve"> analytického členenia bolo použitie správneho fondu:</w:t>
      </w:r>
    </w:p>
    <w:p w:rsidR="00AA736D" w:rsidRPr="00AA736D" w:rsidRDefault="00AA736D" w:rsidP="00AA736D">
      <w:pPr>
        <w:tabs>
          <w:tab w:val="right" w:pos="4536"/>
          <w:tab w:val="right" w:pos="6663"/>
          <w:tab w:val="right" w:pos="9072"/>
        </w:tabs>
        <w:spacing w:before="240"/>
        <w:ind w:firstLine="720"/>
        <w:rPr>
          <w:rFonts w:cs="Arial"/>
        </w:rPr>
      </w:pPr>
    </w:p>
    <w:p w:rsidR="00AA736D" w:rsidRPr="00AA736D" w:rsidRDefault="00AA736D" w:rsidP="00AA736D">
      <w:pPr>
        <w:widowControl w:val="0"/>
        <w:tabs>
          <w:tab w:val="right" w:pos="4536"/>
          <w:tab w:val="right" w:pos="6663"/>
          <w:tab w:val="right" w:pos="9072"/>
        </w:tabs>
        <w:spacing w:before="240"/>
        <w:ind w:firstLine="720"/>
        <w:rPr>
          <w:rFonts w:cs="Arial"/>
        </w:rPr>
      </w:pPr>
      <w:r w:rsidRPr="00AA736D">
        <w:rPr>
          <w:rFonts w:cs="Arial"/>
          <w:sz w:val="20"/>
        </w:rPr>
        <w:lastRenderedPageBreak/>
        <w:tab/>
      </w:r>
      <w:r w:rsidRPr="00AA736D">
        <w:rPr>
          <w:rFonts w:cs="Arial"/>
          <w:sz w:val="20"/>
        </w:rPr>
        <w:tab/>
        <w:t xml:space="preserve">                                                             v tis. Eur</w:t>
      </w:r>
    </w:p>
    <w:tbl>
      <w:tblPr>
        <w:tblW w:w="8820" w:type="dxa"/>
        <w:tblCellMar>
          <w:left w:w="70" w:type="dxa"/>
          <w:right w:w="70" w:type="dxa"/>
        </w:tblCellMar>
        <w:tblLook w:val="0000" w:firstRow="0" w:lastRow="0" w:firstColumn="0" w:lastColumn="0" w:noHBand="0" w:noVBand="0"/>
      </w:tblPr>
      <w:tblGrid>
        <w:gridCol w:w="3240"/>
        <w:gridCol w:w="1440"/>
        <w:gridCol w:w="1582"/>
        <w:gridCol w:w="1658"/>
        <w:gridCol w:w="900"/>
      </w:tblGrid>
      <w:tr w:rsidR="00AA736D" w:rsidRPr="00AA736D" w:rsidTr="00565313">
        <w:trPr>
          <w:trHeight w:val="375"/>
        </w:trPr>
        <w:tc>
          <w:tcPr>
            <w:tcW w:w="324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 </w:t>
            </w:r>
          </w:p>
        </w:tc>
        <w:tc>
          <w:tcPr>
            <w:tcW w:w="144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Rozpis</w:t>
            </w:r>
          </w:p>
        </w:tc>
        <w:tc>
          <w:tcPr>
            <w:tcW w:w="1582" w:type="dxa"/>
            <w:tcBorders>
              <w:top w:val="single" w:sz="4" w:space="0" w:color="auto"/>
              <w:left w:val="single" w:sz="4" w:space="0" w:color="auto"/>
              <w:bottom w:val="nil"/>
              <w:right w:val="single" w:sz="4" w:space="0" w:color="auto"/>
            </w:tcBorders>
            <w:vAlign w:val="bottom"/>
          </w:tcPr>
          <w:p w:rsidR="00AA736D" w:rsidRPr="00AA736D" w:rsidRDefault="00AA736D" w:rsidP="00AA736D">
            <w:pPr>
              <w:widowControl w:val="0"/>
              <w:jc w:val="center"/>
              <w:rPr>
                <w:rFonts w:cs="Arial"/>
                <w:bCs/>
                <w:sz w:val="18"/>
                <w:szCs w:val="18"/>
              </w:rPr>
            </w:pPr>
            <w:r w:rsidRPr="00AA736D">
              <w:rPr>
                <w:rFonts w:cs="Arial"/>
                <w:bCs/>
                <w:sz w:val="18"/>
                <w:szCs w:val="18"/>
              </w:rPr>
              <w:t>Rozpis rozpočtu</w:t>
            </w:r>
          </w:p>
        </w:tc>
        <w:tc>
          <w:tcPr>
            <w:tcW w:w="1658"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Skutočnosť</w:t>
            </w:r>
          </w:p>
        </w:tc>
        <w:tc>
          <w:tcPr>
            <w:tcW w:w="900" w:type="dxa"/>
            <w:tcBorders>
              <w:top w:val="single" w:sz="4" w:space="0" w:color="auto"/>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w:t>
            </w:r>
          </w:p>
        </w:tc>
      </w:tr>
      <w:tr w:rsidR="00AA736D" w:rsidRPr="00AA736D" w:rsidTr="00565313">
        <w:trPr>
          <w:trHeight w:val="255"/>
        </w:trPr>
        <w:tc>
          <w:tcPr>
            <w:tcW w:w="324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Ukazovateľ</w:t>
            </w:r>
          </w:p>
        </w:tc>
        <w:tc>
          <w:tcPr>
            <w:tcW w:w="144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rozpočtu</w:t>
            </w:r>
          </w:p>
        </w:tc>
        <w:tc>
          <w:tcPr>
            <w:tcW w:w="1582" w:type="dxa"/>
            <w:tcBorders>
              <w:top w:val="nil"/>
              <w:left w:val="single" w:sz="4" w:space="0" w:color="auto"/>
              <w:bottom w:val="nil"/>
              <w:right w:val="single" w:sz="4" w:space="0" w:color="auto"/>
            </w:tcBorders>
            <w:vAlign w:val="bottom"/>
          </w:tcPr>
          <w:p w:rsidR="00AA736D" w:rsidRPr="00AA736D" w:rsidRDefault="00AA736D" w:rsidP="00AA736D">
            <w:pPr>
              <w:widowControl w:val="0"/>
              <w:jc w:val="center"/>
              <w:rPr>
                <w:rFonts w:cs="Arial"/>
                <w:bCs/>
                <w:sz w:val="18"/>
                <w:szCs w:val="18"/>
              </w:rPr>
            </w:pPr>
            <w:r w:rsidRPr="00AA736D">
              <w:rPr>
                <w:rFonts w:cs="Arial"/>
                <w:bCs/>
                <w:sz w:val="18"/>
                <w:szCs w:val="18"/>
              </w:rPr>
              <w:t>po úpravách</w:t>
            </w:r>
          </w:p>
        </w:tc>
        <w:tc>
          <w:tcPr>
            <w:tcW w:w="165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za I. polrok</w:t>
            </w:r>
          </w:p>
        </w:tc>
        <w:tc>
          <w:tcPr>
            <w:tcW w:w="90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plnenia</w:t>
            </w:r>
          </w:p>
        </w:tc>
      </w:tr>
      <w:tr w:rsidR="00AA736D" w:rsidRPr="00AA736D" w:rsidTr="00565313">
        <w:trPr>
          <w:trHeight w:val="246"/>
        </w:trPr>
        <w:tc>
          <w:tcPr>
            <w:tcW w:w="324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rPr>
                <w:rFonts w:cs="Arial"/>
                <w:bCs/>
                <w:sz w:val="18"/>
                <w:szCs w:val="18"/>
              </w:rPr>
            </w:pPr>
            <w:r w:rsidRPr="00AA736D">
              <w:rPr>
                <w:rFonts w:cs="Arial"/>
                <w:bCs/>
                <w:sz w:val="18"/>
                <w:szCs w:val="18"/>
              </w:rPr>
              <w:t> </w:t>
            </w:r>
          </w:p>
        </w:tc>
        <w:tc>
          <w:tcPr>
            <w:tcW w:w="144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 xml:space="preserve">na rok 2015 </w:t>
            </w:r>
          </w:p>
        </w:tc>
        <w:tc>
          <w:tcPr>
            <w:tcW w:w="1582" w:type="dxa"/>
            <w:tcBorders>
              <w:top w:val="nil"/>
              <w:left w:val="single" w:sz="4" w:space="0" w:color="auto"/>
              <w:bottom w:val="nil"/>
              <w:right w:val="single" w:sz="4" w:space="0" w:color="auto"/>
            </w:tcBorders>
            <w:vAlign w:val="bottom"/>
          </w:tcPr>
          <w:p w:rsidR="00AA736D" w:rsidRPr="00AA736D" w:rsidRDefault="00AA736D" w:rsidP="00AA736D">
            <w:pPr>
              <w:widowControl w:val="0"/>
              <w:jc w:val="center"/>
              <w:rPr>
                <w:rFonts w:cs="Arial"/>
                <w:bCs/>
                <w:sz w:val="18"/>
                <w:szCs w:val="18"/>
              </w:rPr>
            </w:pPr>
            <w:r w:rsidRPr="00AA736D">
              <w:rPr>
                <w:rFonts w:cs="Arial"/>
                <w:bCs/>
                <w:sz w:val="18"/>
                <w:szCs w:val="18"/>
              </w:rPr>
              <w:t>k 30.06. 2015</w:t>
            </w:r>
          </w:p>
        </w:tc>
        <w:tc>
          <w:tcPr>
            <w:tcW w:w="1658"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2015</w:t>
            </w:r>
          </w:p>
        </w:tc>
        <w:tc>
          <w:tcPr>
            <w:tcW w:w="900" w:type="dxa"/>
            <w:tcBorders>
              <w:top w:val="nil"/>
              <w:left w:val="single" w:sz="4" w:space="0" w:color="auto"/>
              <w:bottom w:val="nil"/>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3/2</w:t>
            </w:r>
          </w:p>
        </w:tc>
      </w:tr>
      <w:tr w:rsidR="00AA736D" w:rsidRPr="00AA736D" w:rsidTr="00565313">
        <w:trPr>
          <w:trHeight w:val="170"/>
        </w:trPr>
        <w:tc>
          <w:tcPr>
            <w:tcW w:w="324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bCs/>
                <w:sz w:val="18"/>
                <w:szCs w:val="18"/>
              </w:rPr>
            </w:pPr>
            <w:r w:rsidRPr="00AA736D">
              <w:rPr>
                <w:rFonts w:cs="Arial"/>
                <w:bCs/>
                <w:sz w:val="18"/>
                <w:szCs w:val="18"/>
              </w:rPr>
              <w:t> </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r w:rsidRPr="00AA736D">
              <w:rPr>
                <w:rFonts w:cs="Arial"/>
                <w:bCs/>
                <w:sz w:val="18"/>
                <w:szCs w:val="18"/>
              </w:rPr>
              <w:t> </w:t>
            </w:r>
          </w:p>
        </w:tc>
        <w:tc>
          <w:tcPr>
            <w:tcW w:w="1582" w:type="dxa"/>
            <w:tcBorders>
              <w:top w:val="nil"/>
              <w:left w:val="single" w:sz="4" w:space="0" w:color="auto"/>
              <w:bottom w:val="single" w:sz="4" w:space="0" w:color="auto"/>
              <w:right w:val="single" w:sz="4" w:space="0" w:color="auto"/>
            </w:tcBorders>
            <w:vAlign w:val="bottom"/>
          </w:tcPr>
          <w:p w:rsidR="00AA736D" w:rsidRPr="00AA736D" w:rsidRDefault="00AA736D" w:rsidP="00AA736D">
            <w:pPr>
              <w:widowControl w:val="0"/>
              <w:jc w:val="center"/>
              <w:rPr>
                <w:rFonts w:cs="Arial"/>
                <w:bCs/>
                <w:sz w:val="18"/>
                <w:szCs w:val="18"/>
              </w:rPr>
            </w:pPr>
          </w:p>
        </w:tc>
        <w:tc>
          <w:tcPr>
            <w:tcW w:w="165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bCs/>
                <w:sz w:val="18"/>
                <w:szCs w:val="18"/>
              </w:rPr>
            </w:pP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 </w:t>
            </w:r>
          </w:p>
        </w:tc>
      </w:tr>
      <w:tr w:rsidR="00AA736D" w:rsidRPr="00AA736D" w:rsidTr="00565313">
        <w:trPr>
          <w:trHeight w:val="27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1</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center"/>
              <w:rPr>
                <w:rFonts w:cs="Arial"/>
                <w:sz w:val="18"/>
                <w:szCs w:val="18"/>
              </w:rPr>
            </w:pPr>
            <w:r w:rsidRPr="00AA736D">
              <w:rPr>
                <w:rFonts w:cs="Arial"/>
                <w:sz w:val="18"/>
                <w:szCs w:val="18"/>
              </w:rPr>
              <w:t>2</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center"/>
              <w:rPr>
                <w:rFonts w:cs="Arial"/>
                <w:sz w:val="18"/>
                <w:szCs w:val="18"/>
              </w:rPr>
            </w:pPr>
            <w:r w:rsidRPr="00AA736D">
              <w:rPr>
                <w:rFonts w:cs="Arial"/>
                <w:sz w:val="18"/>
                <w:szCs w:val="18"/>
              </w:rPr>
              <w:t>4</w:t>
            </w:r>
          </w:p>
        </w:tc>
      </w:tr>
      <w:tr w:rsidR="00AA736D" w:rsidRPr="00AA736D" w:rsidTr="00565313">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sz w:val="18"/>
                <w:szCs w:val="18"/>
              </w:rPr>
            </w:pPr>
            <w:r w:rsidRPr="00AA736D">
              <w:rPr>
                <w:rFonts w:cs="Arial"/>
                <w:sz w:val="18"/>
                <w:szCs w:val="18"/>
              </w:rPr>
              <w:t xml:space="preserve"> - spotrebované nákupy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3 311 </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4 005 </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1 434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35,81</w:t>
            </w:r>
          </w:p>
        </w:tc>
      </w:tr>
      <w:tr w:rsidR="00AA736D" w:rsidRPr="00AA736D" w:rsidTr="00565313">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sz w:val="18"/>
                <w:szCs w:val="18"/>
              </w:rPr>
            </w:pPr>
            <w:r w:rsidRPr="00AA736D">
              <w:rPr>
                <w:rFonts w:cs="Arial"/>
                <w:sz w:val="18"/>
                <w:szCs w:val="18"/>
              </w:rPr>
              <w:t xml:space="preserve"> - služby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19 438 </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32 652 </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14 423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44,17</w:t>
            </w:r>
          </w:p>
        </w:tc>
      </w:tr>
      <w:tr w:rsidR="00AA736D" w:rsidRPr="00AA736D" w:rsidTr="00565313">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sz w:val="18"/>
                <w:szCs w:val="18"/>
              </w:rPr>
            </w:pPr>
            <w:r w:rsidRPr="00AA736D">
              <w:rPr>
                <w:rFonts w:cs="Arial"/>
                <w:sz w:val="18"/>
                <w:szCs w:val="18"/>
              </w:rPr>
              <w:t xml:space="preserve"> - osobné náklady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80 318 </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85 654 </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38 737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45,23</w:t>
            </w:r>
          </w:p>
        </w:tc>
      </w:tr>
      <w:tr w:rsidR="00AA736D" w:rsidRPr="00AA736D" w:rsidTr="00565313">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sz w:val="18"/>
                <w:szCs w:val="18"/>
              </w:rPr>
            </w:pPr>
            <w:r w:rsidRPr="00AA736D">
              <w:rPr>
                <w:rFonts w:cs="Arial"/>
                <w:sz w:val="18"/>
                <w:szCs w:val="18"/>
              </w:rPr>
              <w:t xml:space="preserve"> - dane a poplatky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383 </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385 </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183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47,53</w:t>
            </w:r>
          </w:p>
        </w:tc>
      </w:tr>
      <w:tr w:rsidR="00AA736D" w:rsidRPr="00AA736D" w:rsidTr="00565313">
        <w:trPr>
          <w:trHeight w:val="255"/>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rPr>
                <w:rFonts w:cs="Arial"/>
                <w:sz w:val="18"/>
                <w:szCs w:val="18"/>
              </w:rPr>
            </w:pPr>
            <w:r w:rsidRPr="00AA736D">
              <w:rPr>
                <w:rFonts w:cs="Arial"/>
                <w:sz w:val="18"/>
                <w:szCs w:val="18"/>
              </w:rPr>
              <w:t xml:space="preserve"> - ostatné náklady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1 493 </w:t>
            </w:r>
          </w:p>
        </w:tc>
        <w:tc>
          <w:tcPr>
            <w:tcW w:w="1582" w:type="dxa"/>
            <w:tcBorders>
              <w:top w:val="single" w:sz="4" w:space="0" w:color="auto"/>
              <w:left w:val="single" w:sz="4" w:space="0" w:color="auto"/>
              <w:bottom w:val="single" w:sz="4" w:space="0" w:color="auto"/>
              <w:right w:val="single" w:sz="4" w:space="0" w:color="auto"/>
            </w:tcBorders>
            <w:vAlign w:val="bottom"/>
          </w:tcPr>
          <w:p w:rsidR="00AA736D" w:rsidRPr="00AA736D" w:rsidRDefault="00AA736D" w:rsidP="00AA736D">
            <w:pPr>
              <w:widowControl w:val="0"/>
              <w:jc w:val="right"/>
              <w:rPr>
                <w:rFonts w:cs="Arial"/>
                <w:sz w:val="18"/>
                <w:szCs w:val="18"/>
              </w:rPr>
            </w:pPr>
            <w:r w:rsidRPr="00AA736D">
              <w:rPr>
                <w:rFonts w:cs="Arial"/>
                <w:sz w:val="18"/>
                <w:szCs w:val="18"/>
              </w:rPr>
              <w:t xml:space="preserve">2 597 </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1 262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widowControl w:val="0"/>
              <w:jc w:val="right"/>
              <w:rPr>
                <w:rFonts w:cs="Arial"/>
                <w:sz w:val="18"/>
                <w:szCs w:val="18"/>
              </w:rPr>
            </w:pPr>
            <w:r w:rsidRPr="00AA736D">
              <w:rPr>
                <w:rFonts w:cs="Arial"/>
                <w:sz w:val="18"/>
                <w:szCs w:val="18"/>
              </w:rPr>
              <w:t>48,59</w:t>
            </w:r>
          </w:p>
        </w:tc>
      </w:tr>
    </w:tbl>
    <w:p w:rsidR="00AA736D" w:rsidRPr="00AA736D" w:rsidRDefault="00AA736D" w:rsidP="00AA736D">
      <w:pPr>
        <w:widowControl w:val="0"/>
        <w:numPr>
          <w:ilvl w:val="2"/>
          <w:numId w:val="10"/>
        </w:numPr>
        <w:tabs>
          <w:tab w:val="right" w:pos="9180"/>
        </w:tabs>
        <w:spacing w:before="480" w:after="120"/>
        <w:jc w:val="both"/>
        <w:rPr>
          <w:rFonts w:cs="Arial"/>
          <w:b/>
        </w:rPr>
      </w:pPr>
      <w:r w:rsidRPr="00AA736D">
        <w:rPr>
          <w:rFonts w:cs="Arial"/>
          <w:b/>
        </w:rPr>
        <w:t xml:space="preserve">Kapitálové výdavky </w:t>
      </w:r>
    </w:p>
    <w:p w:rsidR="00AA736D" w:rsidRPr="00AA736D" w:rsidRDefault="00AA736D" w:rsidP="00AA736D">
      <w:pPr>
        <w:tabs>
          <w:tab w:val="decimal" w:pos="8100"/>
        </w:tabs>
        <w:spacing w:before="240"/>
        <w:ind w:firstLine="720"/>
        <w:jc w:val="both"/>
        <w:rPr>
          <w:rFonts w:cs="Arial"/>
        </w:rPr>
      </w:pPr>
      <w:r w:rsidRPr="00AA736D">
        <w:rPr>
          <w:rFonts w:cs="Arial"/>
        </w:rPr>
        <w:t>Vynaložené finančné prostriedky správneho fondu súvisiace s krytím kapitálových výdavkov za I. polrok 2015 boli v sume</w:t>
      </w:r>
      <w:r w:rsidRPr="00AA736D">
        <w:rPr>
          <w:rFonts w:cs="Arial"/>
        </w:rPr>
        <w:tab/>
        <w:t xml:space="preserve"> 793 tis. Eur,</w:t>
      </w:r>
    </w:p>
    <w:p w:rsidR="00AA736D" w:rsidRPr="00AA736D" w:rsidRDefault="00AA736D" w:rsidP="00AA736D">
      <w:pPr>
        <w:tabs>
          <w:tab w:val="decimal" w:pos="8100"/>
          <w:tab w:val="right" w:pos="9180"/>
        </w:tabs>
        <w:jc w:val="both"/>
        <w:rPr>
          <w:rFonts w:cs="Arial"/>
        </w:rPr>
      </w:pPr>
      <w:r w:rsidRPr="00AA736D">
        <w:rPr>
          <w:rFonts w:cs="Arial"/>
        </w:rPr>
        <w:t xml:space="preserve">čo z upraveného rozpisu rozpočtu na rok  2015 </w:t>
      </w:r>
      <w:r w:rsidRPr="00AA736D">
        <w:rPr>
          <w:rFonts w:cs="Arial"/>
        </w:rPr>
        <w:tab/>
        <w:t xml:space="preserve">4 707 tis. Eur, </w:t>
      </w:r>
    </w:p>
    <w:p w:rsidR="00AA736D" w:rsidRPr="00AA736D" w:rsidRDefault="00AA736D" w:rsidP="00AA736D">
      <w:pPr>
        <w:tabs>
          <w:tab w:val="decimal" w:pos="8100"/>
          <w:tab w:val="right" w:pos="9180"/>
        </w:tabs>
        <w:jc w:val="both"/>
        <w:rPr>
          <w:rFonts w:cs="Arial"/>
        </w:rPr>
      </w:pPr>
      <w:r w:rsidRPr="00AA736D">
        <w:rPr>
          <w:rFonts w:cs="Arial"/>
        </w:rPr>
        <w:t>je plnenie na 16,85%.</w:t>
      </w:r>
    </w:p>
    <w:p w:rsidR="00AA736D" w:rsidRPr="00AA736D" w:rsidRDefault="00AA736D" w:rsidP="00AA736D">
      <w:pPr>
        <w:tabs>
          <w:tab w:val="decimal" w:pos="8100"/>
          <w:tab w:val="right" w:pos="9180"/>
        </w:tabs>
        <w:jc w:val="both"/>
        <w:rPr>
          <w:rFonts w:cs="Arial"/>
        </w:rPr>
      </w:pPr>
    </w:p>
    <w:p w:rsidR="00AA736D" w:rsidRPr="00AA736D" w:rsidRDefault="00AA736D" w:rsidP="00AA736D">
      <w:pPr>
        <w:tabs>
          <w:tab w:val="decimal" w:pos="8100"/>
          <w:tab w:val="right" w:pos="9180"/>
        </w:tabs>
        <w:ind w:firstLine="709"/>
        <w:jc w:val="both"/>
        <w:rPr>
          <w:rFonts w:cs="Arial"/>
        </w:rPr>
      </w:pPr>
      <w:r w:rsidRPr="00AA736D">
        <w:rPr>
          <w:rFonts w:cs="Arial"/>
        </w:rPr>
        <w:t>V kategórii kapitálových výdavkov boli čerpané finančné prostriedky:</w:t>
      </w:r>
    </w:p>
    <w:p w:rsidR="00AA736D" w:rsidRPr="00AA736D" w:rsidRDefault="00AA736D" w:rsidP="00AA736D">
      <w:pPr>
        <w:tabs>
          <w:tab w:val="decimal" w:pos="8100"/>
          <w:tab w:val="right" w:pos="9180"/>
        </w:tabs>
        <w:jc w:val="both"/>
        <w:rPr>
          <w:rFonts w:cs="Arial"/>
        </w:rPr>
      </w:pPr>
      <w:r w:rsidRPr="00AA736D">
        <w:rPr>
          <w:rFonts w:cs="Arial"/>
        </w:rPr>
        <w:t>- na podpoložke nákup výpočtovej techniky vo výške</w:t>
      </w:r>
      <w:r w:rsidRPr="00AA736D">
        <w:rPr>
          <w:rFonts w:cs="Arial"/>
        </w:rPr>
        <w:tab/>
        <w:t>404 tis. Eur,</w:t>
      </w:r>
    </w:p>
    <w:p w:rsidR="00AA736D" w:rsidRPr="00AA736D" w:rsidRDefault="00AA736D" w:rsidP="00AA736D">
      <w:pPr>
        <w:tabs>
          <w:tab w:val="decimal" w:pos="8100"/>
          <w:tab w:val="right" w:pos="9180"/>
        </w:tabs>
        <w:jc w:val="both"/>
        <w:rPr>
          <w:rFonts w:cs="Arial"/>
        </w:rPr>
      </w:pPr>
      <w:r w:rsidRPr="00AA736D">
        <w:rPr>
          <w:rFonts w:cs="Arial"/>
        </w:rPr>
        <w:t>- na podpoložke nákup prevádzkových strojov vo výške</w:t>
      </w:r>
      <w:r w:rsidRPr="00AA736D">
        <w:rPr>
          <w:rFonts w:cs="Arial"/>
        </w:rPr>
        <w:tab/>
        <w:t>4 tis. Eur,</w:t>
      </w:r>
    </w:p>
    <w:p w:rsidR="00AA736D" w:rsidRPr="00AA736D" w:rsidRDefault="00AA736D" w:rsidP="00AA736D">
      <w:pPr>
        <w:tabs>
          <w:tab w:val="decimal" w:pos="8100"/>
          <w:tab w:val="right" w:pos="9180"/>
        </w:tabs>
        <w:jc w:val="both"/>
        <w:rPr>
          <w:rFonts w:cs="Arial"/>
        </w:rPr>
      </w:pPr>
      <w:r w:rsidRPr="00AA736D">
        <w:rPr>
          <w:rFonts w:cs="Arial"/>
        </w:rPr>
        <w:t>- na podpoložke nákup dopravných prostriedkov vo výške</w:t>
      </w:r>
      <w:r w:rsidRPr="00AA736D">
        <w:rPr>
          <w:rFonts w:cs="Arial"/>
        </w:rPr>
        <w:tab/>
        <w:t>326 tis. Eur,</w:t>
      </w:r>
    </w:p>
    <w:p w:rsidR="00AA736D" w:rsidRPr="00AA736D" w:rsidRDefault="00AA736D" w:rsidP="00AA736D">
      <w:pPr>
        <w:tabs>
          <w:tab w:val="decimal" w:pos="8100"/>
          <w:tab w:val="right" w:pos="9180"/>
        </w:tabs>
        <w:jc w:val="both"/>
        <w:rPr>
          <w:rFonts w:cs="Arial"/>
        </w:rPr>
      </w:pPr>
      <w:r w:rsidRPr="00AA736D">
        <w:rPr>
          <w:rFonts w:cs="Arial"/>
        </w:rPr>
        <w:t>- na položke prípravná a projektová dokumentácia vo výške</w:t>
      </w:r>
      <w:r w:rsidRPr="00AA736D">
        <w:rPr>
          <w:rFonts w:cs="Arial"/>
        </w:rPr>
        <w:tab/>
        <w:t>28 tis. Eur,</w:t>
      </w:r>
    </w:p>
    <w:p w:rsidR="00AA736D" w:rsidRPr="00AA736D" w:rsidRDefault="00AA736D" w:rsidP="00AA736D">
      <w:pPr>
        <w:tabs>
          <w:tab w:val="decimal" w:pos="8100"/>
          <w:tab w:val="right" w:pos="9180"/>
        </w:tabs>
        <w:jc w:val="both"/>
        <w:rPr>
          <w:rFonts w:cs="Arial"/>
        </w:rPr>
      </w:pPr>
      <w:r w:rsidRPr="00AA736D">
        <w:rPr>
          <w:rFonts w:cs="Arial"/>
        </w:rPr>
        <w:t>- na položke realizácia stavieb a ich technické zhodnotenie vo výške</w:t>
      </w:r>
      <w:r w:rsidRPr="00AA736D">
        <w:rPr>
          <w:rFonts w:cs="Arial"/>
        </w:rPr>
        <w:tab/>
        <w:t>31 tis. Eur.</w:t>
      </w:r>
    </w:p>
    <w:p w:rsidR="00AA736D" w:rsidRPr="00AA736D" w:rsidRDefault="00AA736D" w:rsidP="00AA736D">
      <w:pPr>
        <w:widowControl w:val="0"/>
        <w:tabs>
          <w:tab w:val="left" w:pos="709"/>
          <w:tab w:val="decimal" w:pos="8100"/>
          <w:tab w:val="right" w:pos="9180"/>
        </w:tabs>
        <w:spacing w:before="360" w:after="120"/>
        <w:jc w:val="both"/>
        <w:rPr>
          <w:b/>
          <w:sz w:val="28"/>
          <w:szCs w:val="28"/>
        </w:rPr>
      </w:pPr>
      <w:r w:rsidRPr="00AA736D">
        <w:rPr>
          <w:b/>
          <w:sz w:val="28"/>
          <w:szCs w:val="28"/>
        </w:rPr>
        <w:t>4.</w:t>
      </w:r>
      <w:r w:rsidRPr="00AA736D">
        <w:rPr>
          <w:b/>
          <w:sz w:val="28"/>
          <w:szCs w:val="28"/>
        </w:rPr>
        <w:tab/>
        <w:t>Výdavky na dávky, ktoré hradí štát</w:t>
      </w:r>
    </w:p>
    <w:p w:rsidR="00AA736D" w:rsidRPr="00AA736D" w:rsidRDefault="00AA736D" w:rsidP="00AA736D">
      <w:pPr>
        <w:tabs>
          <w:tab w:val="decimal" w:pos="8280"/>
        </w:tabs>
        <w:spacing w:before="240" w:after="120"/>
        <w:ind w:firstLine="709"/>
        <w:jc w:val="both"/>
      </w:pPr>
      <w:r w:rsidRPr="00AA736D">
        <w:t xml:space="preserve">Na výplatu dávok, ktoré uhrádza štát podľa § 168a a § 285 písm. a) až m) zákona o sociálnom poistení, poukázalo MPSVR SR Sociálnej poisťovni v hodnotenom období finančné prostriedky v sume </w:t>
      </w:r>
      <w:r w:rsidRPr="00AA736D">
        <w:tab/>
        <w:t xml:space="preserve"> 26 975 tis. Eur.</w:t>
      </w:r>
      <w:r w:rsidRPr="00AA736D">
        <w:br/>
        <w:t>Tieto dávky boli vyplatené v sume</w:t>
      </w:r>
      <w:r w:rsidRPr="00AA736D">
        <w:tab/>
        <w:t>28 185 tis. Eur,</w:t>
      </w:r>
      <w:r w:rsidRPr="00AA736D">
        <w:br/>
        <w:t xml:space="preserve">čo zo schváleného rozpočtu na rok 2015 v sume </w:t>
      </w:r>
      <w:r w:rsidRPr="00AA736D">
        <w:tab/>
        <w:t>54 291 tis. Eur</w:t>
      </w:r>
      <w:r w:rsidRPr="00AA736D">
        <w:br/>
        <w:t>predstavuje plnenie na 51,91 %.</w:t>
      </w:r>
    </w:p>
    <w:p w:rsidR="00AA736D" w:rsidRPr="00AA736D" w:rsidRDefault="00AA736D" w:rsidP="00AA736D">
      <w:pPr>
        <w:tabs>
          <w:tab w:val="decimal" w:pos="8280"/>
        </w:tabs>
        <w:spacing w:before="240" w:after="120"/>
        <w:ind w:firstLine="709"/>
        <w:jc w:val="both"/>
      </w:pPr>
      <w:r w:rsidRPr="00AA736D">
        <w:t>Súčasťou dávok, ktoré hradí štát sú tiež výdavky na vianočný príspevok a náklady spojené s jeho výplatou, ktoré boli v hodnotenom období vyplatené v sume 1 280  tis. Eur a výdavky na príplatok k dôchodku politickým väzňom a náklady spojené s jeho výplatou, ktoré predstavovali sumu 1 195 tis. Eur.</w:t>
      </w:r>
    </w:p>
    <w:p w:rsidR="00AA736D" w:rsidRPr="00AA736D" w:rsidRDefault="00AA736D" w:rsidP="00AA736D">
      <w:pPr>
        <w:tabs>
          <w:tab w:val="center" w:pos="-3119"/>
        </w:tabs>
        <w:spacing w:before="240" w:after="120"/>
        <w:ind w:firstLine="709"/>
        <w:jc w:val="both"/>
      </w:pPr>
      <w:r w:rsidRPr="00AA736D">
        <w:t xml:space="preserve">Z rozdielu príjmov a výdavkov v hodnotenom období vyplýva pohľadávka Sociálnej poisťovne voči MPSVR SR v sume 1 210  tis. Eur. V zmysle Zmluvy o poukazovaní rozpočtových prostriedkov, ktoré poskytuje štát na úhradu nákladov na plnenia podľa § 168a a § 285 ods.1, písm. a) až m) zákona o sociálnom poistení a o ich zúčtovaní bude pohľadávka </w:t>
      </w:r>
      <w:proofErr w:type="spellStart"/>
      <w:r w:rsidRPr="00AA736D">
        <w:t>vysporiadaná</w:t>
      </w:r>
      <w:proofErr w:type="spellEnd"/>
      <w:r w:rsidRPr="00AA736D">
        <w:t xml:space="preserve"> pri poukazovaní zálohy na nasledujúci mesiac.</w:t>
      </w:r>
    </w:p>
    <w:p w:rsidR="00AA736D" w:rsidRPr="00AA736D" w:rsidRDefault="00AA736D" w:rsidP="00AA736D">
      <w:pPr>
        <w:spacing w:before="240" w:after="120"/>
        <w:ind w:firstLine="708"/>
        <w:jc w:val="both"/>
      </w:pPr>
      <w:r w:rsidRPr="00AA736D">
        <w:t>Od 1. septembra 2009 vypláca Sociálna poisťovňa ďalšiu dávku, ktorú uhrádza štát. Ide o p</w:t>
      </w:r>
      <w:r w:rsidRPr="00AA736D">
        <w:rPr>
          <w:rFonts w:cs="Arial"/>
          <w:bCs/>
          <w:szCs w:val="24"/>
        </w:rPr>
        <w:t xml:space="preserve">ríspevok účastníkom národného boja za oslobodenie a vdovám a vdovcom po týchto osobách (ďalej len „príspevok“) podľa § 285 ods.1, písm. n) zákona o sociálnom poistení v znení </w:t>
      </w:r>
      <w:hyperlink r:id="rId19" w:tgtFrame="_blank" w:history="1">
        <w:r w:rsidRPr="00AA736D">
          <w:rPr>
            <w:rFonts w:cs="Arial"/>
            <w:bCs/>
            <w:szCs w:val="24"/>
          </w:rPr>
          <w:t xml:space="preserve">zákona č. 285/2009 Z. z o poskytovaní príspevku </w:t>
        </w:r>
        <w:r w:rsidRPr="00AA736D">
          <w:rPr>
            <w:rFonts w:cs="Arial"/>
            <w:bCs/>
            <w:szCs w:val="24"/>
          </w:rPr>
          <w:lastRenderedPageBreak/>
          <w:t>účastníkom národného boja za oslobodenie a vdovám a vdovcom po týchto osobách a o zmene a doplnení niektorých zákonov.</w:t>
        </w:r>
      </w:hyperlink>
      <w:r w:rsidRPr="00AA736D">
        <w:rPr>
          <w:rFonts w:cs="Arial"/>
          <w:bCs/>
          <w:szCs w:val="24"/>
        </w:rPr>
        <w:t xml:space="preserve"> </w:t>
      </w:r>
      <w:r w:rsidRPr="00AA736D">
        <w:t>F</w:t>
      </w:r>
      <w:r w:rsidRPr="00AA736D">
        <w:rPr>
          <w:rFonts w:cs="Arial"/>
          <w:bCs/>
          <w:szCs w:val="24"/>
        </w:rPr>
        <w:t xml:space="preserve">inančné prostriedky poukazuje Sociálnej poisťovni Ministerstvo obrany Slovenskej republiky (MO SR) v mesačnej periodicite na základe vyčíslenia sumy, ktorá bola vyplatená na príspevok a na úhradu výdavkov spojených s jeho výplatou. </w:t>
      </w:r>
    </w:p>
    <w:p w:rsidR="00AA736D" w:rsidRPr="00AA736D" w:rsidRDefault="00AA736D" w:rsidP="00AA736D">
      <w:pPr>
        <w:tabs>
          <w:tab w:val="left" w:pos="7560"/>
        </w:tabs>
        <w:spacing w:before="240" w:after="120"/>
        <w:ind w:firstLine="720"/>
        <w:jc w:val="both"/>
      </w:pPr>
      <w:r w:rsidRPr="00AA736D">
        <w:t xml:space="preserve">Výdavky na príspevok a na úhradu výdavkov spojených s jeho výplatou boli v hodnotenom období vyčíslené v sume 591 tis. Eur. MO SR Sociálnej poisťovni poukázalo finančné prostriedky na výdavky, ktoré sa viažu k hodnotenému obdobiu roka 2015 v sume 400 tis. Eur. Záväzok MO SR voči Sociálnej poisťovni v sume 191 tis. Eur bude vyrovnaný v nasledujúcom období. </w:t>
      </w:r>
    </w:p>
    <w:p w:rsidR="00AA736D" w:rsidRPr="00AA736D" w:rsidRDefault="00AA736D" w:rsidP="00AA736D">
      <w:pPr>
        <w:widowControl w:val="0"/>
        <w:tabs>
          <w:tab w:val="left" w:pos="709"/>
        </w:tabs>
        <w:spacing w:before="240" w:after="120"/>
        <w:jc w:val="both"/>
        <w:rPr>
          <w:b/>
          <w:sz w:val="28"/>
          <w:szCs w:val="28"/>
        </w:rPr>
      </w:pPr>
      <w:r w:rsidRPr="00AA736D">
        <w:rPr>
          <w:b/>
          <w:sz w:val="28"/>
          <w:szCs w:val="28"/>
        </w:rPr>
        <w:t>5.</w:t>
      </w:r>
      <w:r w:rsidRPr="00AA736D">
        <w:rPr>
          <w:b/>
          <w:sz w:val="28"/>
          <w:szCs w:val="28"/>
        </w:rPr>
        <w:tab/>
        <w:t>Záver</w:t>
      </w:r>
    </w:p>
    <w:p w:rsidR="00AA736D" w:rsidRPr="00AA736D" w:rsidRDefault="00AA736D" w:rsidP="00AA736D">
      <w:pPr>
        <w:widowControl w:val="0"/>
        <w:tabs>
          <w:tab w:val="left" w:pos="709"/>
        </w:tabs>
        <w:spacing w:before="240" w:after="120"/>
        <w:ind w:firstLine="720"/>
        <w:jc w:val="both"/>
        <w:rPr>
          <w:rFonts w:cs="Arial"/>
          <w:szCs w:val="24"/>
        </w:rPr>
      </w:pPr>
      <w:r w:rsidRPr="00AA736D">
        <w:rPr>
          <w:rFonts w:cs="Arial"/>
          <w:szCs w:val="24"/>
        </w:rPr>
        <w:t>Z porovnania skutočných príjmov a výdavkov Sociálnej poisťovne k 30. júnu 2015 vyplývajú bilančné rozdiely v hospodárení Sociálnej poisťovne podľa jednotlivých fondov:</w:t>
      </w:r>
    </w:p>
    <w:tbl>
      <w:tblPr>
        <w:tblW w:w="9372" w:type="dxa"/>
        <w:tblInd w:w="55" w:type="dxa"/>
        <w:tblLayout w:type="fixed"/>
        <w:tblCellMar>
          <w:left w:w="70" w:type="dxa"/>
          <w:right w:w="70" w:type="dxa"/>
        </w:tblCellMar>
        <w:tblLook w:val="04A0" w:firstRow="1" w:lastRow="0" w:firstColumn="1" w:lastColumn="0" w:noHBand="0" w:noVBand="1"/>
      </w:tblPr>
      <w:tblGrid>
        <w:gridCol w:w="4126"/>
        <w:gridCol w:w="1205"/>
        <w:gridCol w:w="1205"/>
        <w:gridCol w:w="1418"/>
        <w:gridCol w:w="1418"/>
      </w:tblGrid>
      <w:tr w:rsidR="00AA736D" w:rsidRPr="00AA736D" w:rsidTr="00565313">
        <w:trPr>
          <w:trHeight w:val="255"/>
        </w:trPr>
        <w:tc>
          <w:tcPr>
            <w:tcW w:w="4126"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205"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205" w:type="dxa"/>
            <w:tcBorders>
              <w:top w:val="nil"/>
              <w:left w:val="nil"/>
              <w:bottom w:val="nil"/>
              <w:right w:val="nil"/>
            </w:tcBorders>
            <w:shd w:val="clear" w:color="auto" w:fill="auto"/>
            <w:noWrap/>
            <w:vAlign w:val="bottom"/>
            <w:hideMark/>
          </w:tcPr>
          <w:p w:rsidR="00AA736D" w:rsidRPr="00AA736D" w:rsidRDefault="00AA736D" w:rsidP="00AA736D">
            <w:pPr>
              <w:rPr>
                <w:rFonts w:cs="Arial"/>
                <w:sz w:val="20"/>
              </w:rPr>
            </w:pPr>
          </w:p>
        </w:tc>
        <w:tc>
          <w:tcPr>
            <w:tcW w:w="1418" w:type="dxa"/>
            <w:tcBorders>
              <w:top w:val="nil"/>
              <w:left w:val="nil"/>
              <w:bottom w:val="single" w:sz="4" w:space="0" w:color="auto"/>
              <w:right w:val="nil"/>
            </w:tcBorders>
          </w:tcPr>
          <w:p w:rsidR="00AA736D" w:rsidRPr="00AA736D" w:rsidRDefault="00AA736D" w:rsidP="00AA736D">
            <w:pPr>
              <w:jc w:val="right"/>
              <w:rPr>
                <w:rFonts w:cs="Arial"/>
                <w:sz w:val="20"/>
              </w:rPr>
            </w:pPr>
          </w:p>
        </w:tc>
        <w:tc>
          <w:tcPr>
            <w:tcW w:w="1418" w:type="dxa"/>
            <w:tcBorders>
              <w:top w:val="nil"/>
              <w:left w:val="nil"/>
              <w:bottom w:val="nil"/>
              <w:right w:val="nil"/>
            </w:tcBorders>
            <w:shd w:val="clear" w:color="auto" w:fill="auto"/>
            <w:noWrap/>
            <w:vAlign w:val="bottom"/>
            <w:hideMark/>
          </w:tcPr>
          <w:p w:rsidR="00AA736D" w:rsidRPr="00AA736D" w:rsidRDefault="00AA736D" w:rsidP="00AA736D">
            <w:pPr>
              <w:jc w:val="right"/>
              <w:rPr>
                <w:rFonts w:cs="Arial"/>
                <w:sz w:val="20"/>
              </w:rPr>
            </w:pPr>
            <w:r w:rsidRPr="00AA736D">
              <w:rPr>
                <w:rFonts w:cs="Arial"/>
                <w:sz w:val="20"/>
              </w:rPr>
              <w:t>v tis. Eur</w:t>
            </w:r>
          </w:p>
        </w:tc>
      </w:tr>
      <w:tr w:rsidR="00AA736D" w:rsidRPr="00AA736D" w:rsidTr="00565313">
        <w:trPr>
          <w:trHeight w:val="814"/>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cs="Arial"/>
                <w:sz w:val="20"/>
              </w:rPr>
            </w:pPr>
            <w:r w:rsidRPr="00AA736D">
              <w:rPr>
                <w:rFonts w:cs="Arial"/>
                <w:sz w:val="20"/>
              </w:rPr>
              <w:t xml:space="preserve">Fond  </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Bilančný rozdiel v bežnom roku</w:t>
            </w:r>
          </w:p>
        </w:tc>
        <w:tc>
          <w:tcPr>
            <w:tcW w:w="1205"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Prevod zostatku z roku 2014</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center"/>
              <w:rPr>
                <w:rFonts w:cs="Arial"/>
                <w:sz w:val="20"/>
              </w:rPr>
            </w:pPr>
            <w:r w:rsidRPr="00AA736D">
              <w:rPr>
                <w:rFonts w:cs="Arial"/>
                <w:sz w:val="20"/>
              </w:rPr>
              <w:t xml:space="preserve">Krytie deficitu  v dôchodkovom poistení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center"/>
              <w:rPr>
                <w:rFonts w:cs="Arial"/>
                <w:sz w:val="20"/>
              </w:rPr>
            </w:pPr>
            <w:r w:rsidRPr="00AA736D">
              <w:rPr>
                <w:rFonts w:cs="Arial"/>
                <w:sz w:val="20"/>
              </w:rPr>
              <w:t xml:space="preserve">Bilančný rozdiel </w:t>
            </w:r>
            <w:r w:rsidRPr="00AA736D">
              <w:rPr>
                <w:rFonts w:cs="Arial"/>
                <w:sz w:val="20"/>
              </w:rPr>
              <w:br/>
              <w:t>k 30. 6. 2015</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nemocenského poistenia</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44 971</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49 846</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94 817</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starobného poistenia</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-267 824</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217 886</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490 000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440 062</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invalidného poistenia</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92 195</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105 423</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-110 000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87 618</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úrazového poistenia</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47 686</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18 198</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65 884</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garančného poistenia</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11 575</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5 522</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17 097</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Základný fond poistenia v nezamestnanosti</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86 533</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35 971</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-50 000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72 504</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Rezervný fond solidarity</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434 540</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7 081</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-330 000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111 621</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Správny fond</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19 734</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21 460</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41 194</w:t>
            </w:r>
          </w:p>
        </w:tc>
      </w:tr>
      <w:tr w:rsidR="00AA736D" w:rsidRPr="00AA736D" w:rsidTr="00565313">
        <w:trPr>
          <w:trHeight w:val="255"/>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0"/>
              </w:rPr>
            </w:pPr>
            <w:r w:rsidRPr="00AA736D">
              <w:rPr>
                <w:rFonts w:cs="Arial"/>
                <w:sz w:val="20"/>
              </w:rPr>
              <w:t>Spolu</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469 410</w:t>
            </w:r>
          </w:p>
        </w:tc>
        <w:tc>
          <w:tcPr>
            <w:tcW w:w="1205" w:type="dxa"/>
            <w:tcBorders>
              <w:top w:val="nil"/>
              <w:left w:val="nil"/>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461 387</w:t>
            </w:r>
          </w:p>
        </w:tc>
        <w:tc>
          <w:tcPr>
            <w:tcW w:w="1418" w:type="dxa"/>
            <w:tcBorders>
              <w:top w:val="single" w:sz="4" w:space="0" w:color="auto"/>
              <w:left w:val="nil"/>
              <w:bottom w:val="single" w:sz="4" w:space="0" w:color="auto"/>
              <w:right w:val="single" w:sz="4" w:space="0" w:color="auto"/>
            </w:tcBorders>
            <w:vAlign w:val="bottom"/>
          </w:tcPr>
          <w:p w:rsidR="00AA736D" w:rsidRPr="00AA736D" w:rsidRDefault="00AA736D" w:rsidP="00AA736D">
            <w:pPr>
              <w:jc w:val="right"/>
              <w:rPr>
                <w:rFonts w:cs="Arial"/>
                <w:sz w:val="20"/>
              </w:rPr>
            </w:pPr>
            <w:r w:rsidRPr="00AA736D">
              <w:rPr>
                <w:rFonts w:cs="Arial"/>
                <w:sz w:val="20"/>
              </w:rPr>
              <w:t>0</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AA736D" w:rsidRPr="00AA736D" w:rsidRDefault="00AA736D" w:rsidP="00AA736D">
            <w:pPr>
              <w:jc w:val="right"/>
              <w:rPr>
                <w:rFonts w:cs="Arial"/>
                <w:sz w:val="20"/>
              </w:rPr>
            </w:pPr>
            <w:r w:rsidRPr="00AA736D">
              <w:rPr>
                <w:rFonts w:cs="Arial"/>
                <w:sz w:val="20"/>
              </w:rPr>
              <w:t>930 797</w:t>
            </w:r>
          </w:p>
        </w:tc>
      </w:tr>
    </w:tbl>
    <w:p w:rsidR="00AA736D" w:rsidRPr="00AA736D" w:rsidRDefault="00AA736D" w:rsidP="00AA736D">
      <w:pPr>
        <w:widowControl w:val="0"/>
        <w:tabs>
          <w:tab w:val="left" w:pos="709"/>
        </w:tabs>
        <w:jc w:val="both"/>
        <w:rPr>
          <w:rFonts w:cs="Arial"/>
          <w:szCs w:val="24"/>
        </w:rPr>
      </w:pPr>
    </w:p>
    <w:p w:rsidR="00AA736D" w:rsidRPr="00AA736D" w:rsidRDefault="00AA736D" w:rsidP="00AA736D">
      <w:pPr>
        <w:tabs>
          <w:tab w:val="decimal" w:pos="8100"/>
        </w:tabs>
        <w:spacing w:before="240" w:after="120"/>
        <w:ind w:right="-159" w:firstLine="720"/>
        <w:jc w:val="both"/>
        <w:rPr>
          <w:rFonts w:cs="Arial"/>
        </w:rPr>
      </w:pPr>
      <w:r w:rsidRPr="00AA736D">
        <w:rPr>
          <w:rFonts w:cs="Arial"/>
        </w:rPr>
        <w:t xml:space="preserve">Hospodárenie Sociálnej poisťovne v sledovanom období skončilo s bilančným rozdielom 930 797 tis. Eur, čo je o 463 694 tis. Eur viac, ako sa predpokladalo v časovom rozpise. </w:t>
      </w:r>
    </w:p>
    <w:p w:rsidR="00AA736D" w:rsidRPr="00AA736D" w:rsidRDefault="00AA736D" w:rsidP="00AA736D">
      <w:pPr>
        <w:spacing w:before="240" w:after="120"/>
        <w:jc w:val="center"/>
        <w:rPr>
          <w:rFonts w:cs="Arial"/>
        </w:rPr>
      </w:pPr>
      <w:r w:rsidRPr="00AA736D">
        <w:rPr>
          <w:rFonts w:cs="Arial"/>
        </w:rPr>
        <w:t xml:space="preserve">x   </w:t>
      </w:r>
      <w:proofErr w:type="spellStart"/>
      <w:r w:rsidRPr="00AA736D">
        <w:rPr>
          <w:rFonts w:cs="Arial"/>
        </w:rPr>
        <w:t>x</w:t>
      </w:r>
      <w:proofErr w:type="spellEnd"/>
      <w:r w:rsidRPr="00AA736D">
        <w:rPr>
          <w:rFonts w:cs="Arial"/>
        </w:rPr>
        <w:t xml:space="preserve">   </w:t>
      </w:r>
      <w:proofErr w:type="spellStart"/>
      <w:r w:rsidRPr="00AA736D">
        <w:rPr>
          <w:rFonts w:cs="Arial"/>
        </w:rPr>
        <w:t>x</w:t>
      </w:r>
      <w:proofErr w:type="spellEnd"/>
    </w:p>
    <w:p w:rsidR="00AA736D" w:rsidRPr="00AA736D" w:rsidRDefault="00AA736D" w:rsidP="00AA736D">
      <w:pPr>
        <w:jc w:val="center"/>
        <w:rPr>
          <w:rFonts w:cs="Arial"/>
          <w:b/>
        </w:rPr>
      </w:pPr>
      <w:r w:rsidRPr="00AA736D">
        <w:rPr>
          <w:rFonts w:cs="Arial"/>
          <w:b/>
        </w:rPr>
        <w:t>Informácia o príspevkoch na SDS v mesiacoch január až jún 2015</w:t>
      </w:r>
    </w:p>
    <w:p w:rsidR="00AA736D" w:rsidRPr="00AA736D" w:rsidRDefault="00AA736D" w:rsidP="00AA736D">
      <w:pPr>
        <w:tabs>
          <w:tab w:val="decimal" w:pos="8280"/>
        </w:tabs>
        <w:spacing w:before="240" w:after="120"/>
        <w:ind w:firstLine="709"/>
        <w:jc w:val="both"/>
        <w:rPr>
          <w:rFonts w:cs="Arial"/>
        </w:rPr>
      </w:pPr>
      <w:r w:rsidRPr="00AA736D">
        <w:rPr>
          <w:rFonts w:cs="Arial"/>
        </w:rPr>
        <w:t>Sociálna poisťovňa vybrala príspevky na SDS vo výške</w:t>
      </w:r>
      <w:r w:rsidRPr="00AA736D">
        <w:rPr>
          <w:rFonts w:cs="Arial"/>
        </w:rPr>
        <w:tab/>
        <w:t>225 527 tis. Eur,</w:t>
      </w:r>
      <w:r w:rsidRPr="00AA736D">
        <w:rPr>
          <w:rFonts w:cs="Arial"/>
        </w:rPr>
        <w:br/>
        <w:t>čo je 48,18 % v roku 2015 predpokladanej sumy</w:t>
      </w:r>
      <w:r w:rsidRPr="00AA736D">
        <w:rPr>
          <w:rFonts w:cs="Arial"/>
        </w:rPr>
        <w:tab/>
        <w:t>468 049 tis. Eur.</w:t>
      </w:r>
    </w:p>
    <w:p w:rsidR="00AA736D" w:rsidRPr="00AA736D" w:rsidRDefault="00AA736D" w:rsidP="00AA736D">
      <w:pPr>
        <w:tabs>
          <w:tab w:val="decimal" w:pos="8280"/>
          <w:tab w:val="decimal" w:pos="9000"/>
        </w:tabs>
        <w:ind w:firstLine="709"/>
        <w:jc w:val="both"/>
        <w:rPr>
          <w:rFonts w:cs="Arial"/>
        </w:rPr>
      </w:pPr>
      <w:r w:rsidRPr="00AA736D">
        <w:rPr>
          <w:rFonts w:cs="Arial"/>
        </w:rPr>
        <w:t>DSS boli za EAO postúpené príspevky na SDS v sume</w:t>
      </w:r>
      <w:r w:rsidRPr="00AA736D">
        <w:rPr>
          <w:rFonts w:cs="Arial"/>
        </w:rPr>
        <w:tab/>
      </w:r>
      <w:r w:rsidRPr="00AA736D">
        <w:rPr>
          <w:rFonts w:cs="Arial"/>
          <w:b/>
        </w:rPr>
        <w:t>213 447 tis. Eur</w:t>
      </w:r>
      <w:r w:rsidRPr="00AA736D">
        <w:rPr>
          <w:rFonts w:cs="Arial"/>
        </w:rPr>
        <w:t>,</w:t>
      </w:r>
      <w:r w:rsidRPr="00AA736D">
        <w:rPr>
          <w:rFonts w:cs="Arial"/>
        </w:rPr>
        <w:br/>
        <w:t>čo je 48,78 % v roku 2015 predpokladanej sumy</w:t>
      </w:r>
      <w:r w:rsidRPr="00AA736D">
        <w:rPr>
          <w:rFonts w:cs="Arial"/>
        </w:rPr>
        <w:tab/>
        <w:t>437 565 tis. Eur.</w:t>
      </w:r>
      <w:r w:rsidRPr="00AA736D">
        <w:rPr>
          <w:rFonts w:cs="Arial"/>
        </w:rPr>
        <w:br/>
        <w:t>V tom príspevky na SDS za:</w:t>
      </w:r>
    </w:p>
    <w:p w:rsidR="00AA736D" w:rsidRPr="00AA736D" w:rsidRDefault="00AA736D" w:rsidP="00AA736D">
      <w:pPr>
        <w:tabs>
          <w:tab w:val="decimal" w:pos="8280"/>
        </w:tabs>
        <w:ind w:firstLine="709"/>
        <w:jc w:val="both"/>
        <w:rPr>
          <w:rFonts w:cs="Arial"/>
        </w:rPr>
      </w:pPr>
      <w:r w:rsidRPr="00AA736D">
        <w:rPr>
          <w:rFonts w:cs="Arial"/>
        </w:rPr>
        <w:t>- zamestnancov</w:t>
      </w:r>
      <w:r w:rsidRPr="00AA736D">
        <w:rPr>
          <w:rFonts w:cs="Arial"/>
        </w:rPr>
        <w:tab/>
        <w:t>201 080 tis. Eur,</w:t>
      </w:r>
    </w:p>
    <w:p w:rsidR="00AA736D" w:rsidRPr="00AA736D" w:rsidRDefault="00AA736D" w:rsidP="00AA736D">
      <w:pPr>
        <w:tabs>
          <w:tab w:val="decimal" w:pos="8280"/>
        </w:tabs>
        <w:ind w:firstLine="709"/>
        <w:jc w:val="both"/>
        <w:rPr>
          <w:rFonts w:cs="Arial"/>
        </w:rPr>
      </w:pPr>
      <w:r w:rsidRPr="00AA736D">
        <w:rPr>
          <w:rFonts w:cs="Arial"/>
        </w:rPr>
        <w:t>- SZČO</w:t>
      </w:r>
      <w:r w:rsidRPr="00AA736D">
        <w:rPr>
          <w:rFonts w:cs="Arial"/>
        </w:rPr>
        <w:tab/>
        <w:t>12 019 tis. Eur,</w:t>
      </w:r>
    </w:p>
    <w:p w:rsidR="00AA736D" w:rsidRPr="00AA736D" w:rsidRDefault="00AA736D" w:rsidP="00AA736D">
      <w:pPr>
        <w:tabs>
          <w:tab w:val="decimal" w:pos="8280"/>
        </w:tabs>
        <w:ind w:firstLine="709"/>
        <w:jc w:val="both"/>
        <w:rPr>
          <w:rFonts w:cs="Arial"/>
        </w:rPr>
      </w:pPr>
      <w:r w:rsidRPr="00AA736D">
        <w:rPr>
          <w:rFonts w:cs="Arial"/>
        </w:rPr>
        <w:t>- DPO</w:t>
      </w:r>
      <w:r w:rsidRPr="00AA736D">
        <w:rPr>
          <w:rFonts w:cs="Arial"/>
        </w:rPr>
        <w:tab/>
        <w:t>348 tis. Eur.</w:t>
      </w:r>
    </w:p>
    <w:p w:rsidR="00AA736D" w:rsidRPr="00AA736D" w:rsidRDefault="00AA736D" w:rsidP="00AA736D">
      <w:pPr>
        <w:tabs>
          <w:tab w:val="decimal" w:pos="8280"/>
        </w:tabs>
        <w:spacing w:before="120" w:after="120"/>
        <w:ind w:firstLine="709"/>
        <w:jc w:val="both"/>
        <w:rPr>
          <w:rFonts w:cs="Arial"/>
        </w:rPr>
      </w:pPr>
      <w:r w:rsidRPr="00AA736D">
        <w:rPr>
          <w:rFonts w:cs="Arial"/>
        </w:rPr>
        <w:tab/>
        <w:t>Príspevky na SDS uhradené zo základného fondu garančného poistenia boli postúpené v sume</w:t>
      </w:r>
      <w:r w:rsidRPr="00AA736D">
        <w:rPr>
          <w:rFonts w:cs="Arial"/>
        </w:rPr>
        <w:tab/>
      </w:r>
      <w:r w:rsidRPr="00AA736D">
        <w:rPr>
          <w:rFonts w:cs="Arial"/>
          <w:b/>
        </w:rPr>
        <w:t>5 260 tis. Eur</w:t>
      </w:r>
      <w:r w:rsidRPr="00AA736D">
        <w:rPr>
          <w:rFonts w:cs="Arial"/>
        </w:rPr>
        <w:t>.</w:t>
      </w:r>
    </w:p>
    <w:p w:rsidR="00AA736D" w:rsidRPr="00AA736D" w:rsidRDefault="00AA736D" w:rsidP="00AA736D">
      <w:pPr>
        <w:tabs>
          <w:tab w:val="decimal" w:pos="8364"/>
        </w:tabs>
        <w:spacing w:before="120" w:after="120"/>
        <w:ind w:firstLine="709"/>
        <w:jc w:val="both"/>
        <w:rPr>
          <w:rFonts w:cs="Arial"/>
        </w:rPr>
      </w:pPr>
      <w:r w:rsidRPr="00AA736D">
        <w:rPr>
          <w:rFonts w:cs="Arial"/>
        </w:rPr>
        <w:lastRenderedPageBreak/>
        <w:t xml:space="preserve">Príspevky na SDS za sporiteľov štátu boli postúpené v sume </w:t>
      </w:r>
      <w:r w:rsidRPr="00AA736D">
        <w:rPr>
          <w:rFonts w:cs="Arial"/>
          <w:b/>
        </w:rPr>
        <w:t xml:space="preserve"> </w:t>
      </w:r>
      <w:r w:rsidRPr="00AA736D">
        <w:rPr>
          <w:rFonts w:cs="Arial"/>
          <w:b/>
        </w:rPr>
        <w:tab/>
        <w:t>11 401 tis. Eur,</w:t>
      </w:r>
      <w:r w:rsidRPr="00AA736D">
        <w:rPr>
          <w:rFonts w:cs="Arial"/>
          <w:b/>
        </w:rPr>
        <w:br/>
      </w:r>
      <w:r w:rsidRPr="00AA736D">
        <w:rPr>
          <w:rFonts w:cs="Arial"/>
        </w:rPr>
        <w:t>čo je 39,16 % v roku 2015 predpokladanej sumy</w:t>
      </w:r>
      <w:r w:rsidRPr="00AA736D">
        <w:rPr>
          <w:rFonts w:cs="Arial"/>
        </w:rPr>
        <w:tab/>
        <w:t xml:space="preserve">  29 114 tis. Eur.</w:t>
      </w:r>
    </w:p>
    <w:p w:rsidR="00AA736D" w:rsidRPr="00AA736D" w:rsidRDefault="00AA736D" w:rsidP="00AA736D">
      <w:pPr>
        <w:tabs>
          <w:tab w:val="decimal" w:pos="8280"/>
        </w:tabs>
        <w:spacing w:before="120" w:after="120"/>
        <w:ind w:firstLine="709"/>
        <w:jc w:val="both"/>
        <w:rPr>
          <w:rFonts w:cs="Arial"/>
        </w:rPr>
      </w:pPr>
      <w:r w:rsidRPr="00AA736D">
        <w:rPr>
          <w:rFonts w:cs="Arial"/>
        </w:rPr>
        <w:t>Sociálna poisťovňa postúpila príspevky na SDS za sporiteľov, ktorí sa stali poberateľmi úrazovej renty v sume</w:t>
      </w:r>
      <w:r w:rsidRPr="00AA736D">
        <w:rPr>
          <w:rFonts w:cs="Arial"/>
        </w:rPr>
        <w:tab/>
      </w:r>
      <w:r w:rsidRPr="00AA736D">
        <w:rPr>
          <w:rFonts w:cs="Arial"/>
          <w:b/>
        </w:rPr>
        <w:t>103 tis. Eur.</w:t>
      </w:r>
    </w:p>
    <w:p w:rsidR="00AA736D" w:rsidRPr="00AA736D" w:rsidRDefault="00AA736D" w:rsidP="00AA736D">
      <w:pPr>
        <w:tabs>
          <w:tab w:val="decimal" w:pos="8280"/>
        </w:tabs>
        <w:spacing w:before="120" w:after="120"/>
        <w:ind w:firstLine="709"/>
        <w:jc w:val="both"/>
        <w:rPr>
          <w:rFonts w:cs="Arial"/>
        </w:rPr>
      </w:pPr>
      <w:r w:rsidRPr="00AA736D">
        <w:rPr>
          <w:rFonts w:cs="Arial"/>
        </w:rPr>
        <w:t>Zo správneho fondu bolo za hodnotené obdobie zaplatené penále v sume 8 tis. Eur.</w:t>
      </w:r>
    </w:p>
    <w:p w:rsidR="00AA736D" w:rsidRPr="00AA736D" w:rsidRDefault="00AA736D" w:rsidP="00AA736D">
      <w:pPr>
        <w:spacing w:before="120" w:after="120"/>
        <w:ind w:firstLine="709"/>
        <w:jc w:val="both"/>
        <w:rPr>
          <w:rFonts w:cs="Arial"/>
        </w:rPr>
      </w:pPr>
      <w:r w:rsidRPr="00AA736D">
        <w:rPr>
          <w:rFonts w:cs="Arial"/>
        </w:rPr>
        <w:t xml:space="preserve">V hodnotenom období boli postúpené príspevky na SDS vrátane penále v celkovej sume  </w:t>
      </w:r>
      <w:r w:rsidRPr="00AA736D">
        <w:rPr>
          <w:rFonts w:cs="Arial"/>
          <w:b/>
        </w:rPr>
        <w:t>230 219 tis Eur</w:t>
      </w:r>
      <w:r w:rsidRPr="00AA736D">
        <w:rPr>
          <w:rFonts w:cs="Arial"/>
        </w:rPr>
        <w:t>, čo je v porovnaní s rovnakým obdobím minulého roka (209 137 tis. Eur) viac o 21 082 tis. Eur.</w:t>
      </w:r>
    </w:p>
    <w:p w:rsidR="00AA736D" w:rsidRPr="00AA736D" w:rsidRDefault="00AA736D" w:rsidP="00AA736D">
      <w:pPr>
        <w:tabs>
          <w:tab w:val="decimal" w:pos="8280"/>
        </w:tabs>
        <w:spacing w:before="120" w:after="120"/>
        <w:ind w:firstLine="709"/>
        <w:jc w:val="both"/>
        <w:rPr>
          <w:rFonts w:cs="Arial"/>
        </w:rPr>
      </w:pPr>
      <w:r w:rsidRPr="00AA736D">
        <w:rPr>
          <w:rFonts w:cs="Arial"/>
        </w:rPr>
        <w:t>Ku koncu júna 2015 evidovala Sociálna poisťovňa</w:t>
      </w:r>
      <w:r w:rsidRPr="00AA736D">
        <w:rPr>
          <w:rFonts w:cs="Arial"/>
        </w:rPr>
        <w:tab/>
        <w:t xml:space="preserve"> 1 316 720 sporiteľov, čo predstavuje od začiatku tohto roka úbytok 148 113 sporiteľov. Prehľad o štruktúre sporiteľov:</w:t>
      </w:r>
    </w:p>
    <w:tbl>
      <w:tblPr>
        <w:tblW w:w="8765" w:type="dxa"/>
        <w:tblInd w:w="212" w:type="dxa"/>
        <w:tblCellMar>
          <w:left w:w="70" w:type="dxa"/>
          <w:right w:w="70" w:type="dxa"/>
        </w:tblCellMar>
        <w:tblLook w:val="04A0" w:firstRow="1" w:lastRow="0" w:firstColumn="1" w:lastColumn="0" w:noHBand="0" w:noVBand="1"/>
      </w:tblPr>
      <w:tblGrid>
        <w:gridCol w:w="330"/>
        <w:gridCol w:w="6656"/>
        <w:gridCol w:w="1779"/>
      </w:tblGrid>
      <w:tr w:rsidR="00AA736D" w:rsidRPr="00AA736D" w:rsidTr="00565313">
        <w:trPr>
          <w:trHeight w:val="339"/>
        </w:trPr>
        <w:tc>
          <w:tcPr>
            <w:tcW w:w="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1.</w:t>
            </w:r>
          </w:p>
        </w:tc>
        <w:tc>
          <w:tcPr>
            <w:tcW w:w="6656"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zamestnanci</w:t>
            </w:r>
          </w:p>
        </w:tc>
        <w:tc>
          <w:tcPr>
            <w:tcW w:w="1779"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890 952</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2.</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SZČO</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99 160</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3.</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 xml:space="preserve">dobrovoľne dôchodkovo poistené osoby </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2 724</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4.</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sporitelia, za ktorých platí príspevky na SDS štát</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102 717</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sz w:val="22"/>
                <w:szCs w:val="22"/>
              </w:rPr>
            </w:pPr>
            <w:r w:rsidRPr="00AA736D">
              <w:rPr>
                <w:rFonts w:cs="Arial"/>
                <w:sz w:val="22"/>
                <w:szCs w:val="22"/>
              </w:rPr>
              <w:t>v tom:</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 </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numPr>
                <w:ilvl w:val="0"/>
                <w:numId w:val="13"/>
              </w:numPr>
              <w:ind w:left="472" w:hanging="283"/>
              <w:contextualSpacing/>
              <w:rPr>
                <w:rFonts w:cs="Arial"/>
                <w:sz w:val="22"/>
                <w:szCs w:val="22"/>
              </w:rPr>
            </w:pPr>
            <w:r w:rsidRPr="00AA736D">
              <w:rPr>
                <w:rFonts w:cs="Arial"/>
                <w:sz w:val="22"/>
                <w:szCs w:val="22"/>
              </w:rPr>
              <w:t>osoba  starajúca sa o dieťa do 6 rokov veku</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86 494</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numPr>
                <w:ilvl w:val="0"/>
                <w:numId w:val="13"/>
              </w:numPr>
              <w:ind w:left="472" w:hanging="283"/>
              <w:contextualSpacing/>
              <w:rPr>
                <w:rFonts w:cs="Arial"/>
                <w:sz w:val="22"/>
                <w:szCs w:val="22"/>
              </w:rPr>
            </w:pPr>
            <w:r w:rsidRPr="00AA736D">
              <w:rPr>
                <w:rFonts w:cs="Arial"/>
                <w:sz w:val="22"/>
                <w:szCs w:val="22"/>
              </w:rPr>
              <w:t>osoba, ktorá sa stará o dieťa s nepriaznivým zdravotným stavom  do 18 rokov veku</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1 027</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numPr>
                <w:ilvl w:val="0"/>
                <w:numId w:val="13"/>
              </w:numPr>
              <w:ind w:left="472" w:hanging="283"/>
              <w:contextualSpacing/>
              <w:rPr>
                <w:rFonts w:cs="Arial"/>
                <w:sz w:val="22"/>
                <w:szCs w:val="22"/>
              </w:rPr>
            </w:pPr>
            <w:r w:rsidRPr="00AA736D">
              <w:rPr>
                <w:rFonts w:cs="Arial"/>
                <w:sz w:val="22"/>
                <w:szCs w:val="22"/>
              </w:rPr>
              <w:t>osoba  poberajúca peňažný príspevok  za opatrovanie</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4 859</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numPr>
                <w:ilvl w:val="0"/>
                <w:numId w:val="13"/>
              </w:numPr>
              <w:ind w:left="472" w:hanging="283"/>
              <w:contextualSpacing/>
              <w:rPr>
                <w:rFonts w:cs="Arial"/>
                <w:sz w:val="22"/>
                <w:szCs w:val="22"/>
              </w:rPr>
            </w:pPr>
            <w:r w:rsidRPr="00AA736D">
              <w:rPr>
                <w:rFonts w:cs="Arial"/>
                <w:sz w:val="22"/>
                <w:szCs w:val="22"/>
              </w:rPr>
              <w:t>osoba, ktorá vykonávajúca osobnú asistenciu fyzickej osoby s ťažkým zdravotným postihnutím</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219</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 </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numPr>
                <w:ilvl w:val="0"/>
                <w:numId w:val="13"/>
              </w:numPr>
              <w:ind w:left="472" w:hanging="283"/>
              <w:contextualSpacing/>
              <w:rPr>
                <w:rFonts w:cs="Arial"/>
                <w:sz w:val="22"/>
                <w:szCs w:val="22"/>
              </w:rPr>
            </w:pPr>
            <w:r w:rsidRPr="00AA736D">
              <w:rPr>
                <w:rFonts w:cs="Arial"/>
                <w:sz w:val="22"/>
                <w:szCs w:val="22"/>
              </w:rPr>
              <w:t>osoba, ktorej sa poskytuje materské</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10 118</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5.</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 xml:space="preserve">sporitelia, za ktorých platí príspevky na SDS Sociálna poisťovňa </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783</w:t>
            </w:r>
          </w:p>
        </w:tc>
      </w:tr>
      <w:tr w:rsidR="00AA736D" w:rsidRPr="00AA736D" w:rsidTr="00565313">
        <w:trPr>
          <w:trHeight w:val="339"/>
        </w:trPr>
        <w:tc>
          <w:tcPr>
            <w:tcW w:w="330"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center"/>
              <w:rPr>
                <w:rFonts w:ascii="Calibri" w:hAnsi="Calibri" w:cs="Calibri"/>
                <w:color w:val="000000"/>
                <w:sz w:val="22"/>
                <w:szCs w:val="22"/>
              </w:rPr>
            </w:pPr>
            <w:r w:rsidRPr="00AA736D">
              <w:rPr>
                <w:rFonts w:ascii="Calibri" w:hAnsi="Calibri" w:cs="Calibri"/>
                <w:color w:val="000000"/>
                <w:sz w:val="22"/>
                <w:szCs w:val="22"/>
              </w:rPr>
              <w:t>6.</w:t>
            </w:r>
          </w:p>
        </w:tc>
        <w:tc>
          <w:tcPr>
            <w:tcW w:w="6656"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rFonts w:cs="Arial"/>
                <w:bCs/>
                <w:sz w:val="22"/>
                <w:szCs w:val="22"/>
              </w:rPr>
            </w:pPr>
            <w:r w:rsidRPr="00AA736D">
              <w:rPr>
                <w:rFonts w:cs="Arial"/>
                <w:bCs/>
                <w:sz w:val="22"/>
                <w:szCs w:val="22"/>
              </w:rPr>
              <w:t>bez účasti na SDS</w:t>
            </w:r>
          </w:p>
        </w:tc>
        <w:tc>
          <w:tcPr>
            <w:tcW w:w="1779"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bCs/>
                <w:sz w:val="22"/>
                <w:szCs w:val="22"/>
              </w:rPr>
            </w:pPr>
            <w:r w:rsidRPr="00AA736D">
              <w:rPr>
                <w:rFonts w:cs="Arial"/>
                <w:bCs/>
                <w:sz w:val="22"/>
                <w:szCs w:val="22"/>
              </w:rPr>
              <w:t>220 384</w:t>
            </w:r>
          </w:p>
        </w:tc>
      </w:tr>
    </w:tbl>
    <w:p w:rsidR="00AA736D" w:rsidRPr="00AA736D" w:rsidRDefault="00AA736D" w:rsidP="00AA736D"/>
    <w:p w:rsidR="00AA736D" w:rsidRPr="00AA736D" w:rsidRDefault="00AA736D" w:rsidP="00AA736D">
      <w:pPr>
        <w:tabs>
          <w:tab w:val="decimal" w:pos="8280"/>
        </w:tabs>
        <w:spacing w:before="120" w:after="120"/>
        <w:ind w:firstLine="709"/>
        <w:jc w:val="both"/>
        <w:rPr>
          <w:rFonts w:cs="Arial"/>
        </w:rPr>
      </w:pPr>
      <w:r w:rsidRPr="00AA736D">
        <w:rPr>
          <w:rFonts w:cs="Arial"/>
        </w:rPr>
        <w:t xml:space="preserve">Na základe § 123aq zákona č. 43/2004 Z. z. o starobnom dôchodkovom sporení, v znení zákona č. 25/2015 Z. z., mohol sporiteľ od 15. marca 2015 do 15. júna 2015 doručiť Sociálnej poisťovni písomné oznámenie, ktorého obsahom bol prejav vôle, aby mu zaniklo právne postavenie sporiteľa. </w:t>
      </w:r>
    </w:p>
    <w:p w:rsidR="00AA736D" w:rsidRPr="00AA736D" w:rsidRDefault="00AA736D" w:rsidP="00AA736D">
      <w:pPr>
        <w:tabs>
          <w:tab w:val="decimal" w:pos="8280"/>
        </w:tabs>
        <w:spacing w:before="120" w:after="120"/>
        <w:ind w:firstLine="709"/>
        <w:jc w:val="both"/>
        <w:rPr>
          <w:rFonts w:cs="Arial"/>
        </w:rPr>
      </w:pPr>
      <w:r w:rsidRPr="00AA736D">
        <w:rPr>
          <w:rFonts w:cs="Arial"/>
        </w:rPr>
        <w:t xml:space="preserve">Za vystupujúcich sporiteľov bola k 30. júnu 2015 DSS na osobitný účet základného fondu príspevkov na SDS Sociálnej poisťovne poukázaná suma 542 709 tis. Eur. </w:t>
      </w:r>
    </w:p>
    <w:p w:rsidR="00AA736D" w:rsidRPr="00AA736D" w:rsidRDefault="00AA736D" w:rsidP="00AA736D">
      <w:pPr>
        <w:tabs>
          <w:tab w:val="decimal" w:pos="8280"/>
        </w:tabs>
        <w:spacing w:before="120" w:after="120"/>
        <w:ind w:firstLine="709"/>
        <w:jc w:val="both"/>
        <w:rPr>
          <w:rFonts w:cs="Arial"/>
        </w:rPr>
      </w:pPr>
      <w:r w:rsidRPr="00AA736D">
        <w:rPr>
          <w:rFonts w:cs="Arial"/>
        </w:rPr>
        <w:t>Z dôvodu, že generovanie tvorby správneho fondu a odvod súm na účet dôchodkového poistenia a účet správneho fondu nie je realizovaný denne, kedy sú prostriedky pripísané na osobitný účet základného fondu príspevkov na SDS, dochádza ku skutočnosti, že suma poukázaná na osobitný účet základného fondu príspevkov na SDS a suma prevedená do ZFSP a do správneho fondu nie sú totožné.</w:t>
      </w:r>
    </w:p>
    <w:p w:rsidR="00AA736D" w:rsidRPr="00AA736D" w:rsidRDefault="00AA736D" w:rsidP="00AA736D">
      <w:pPr>
        <w:tabs>
          <w:tab w:val="decimal" w:pos="8280"/>
        </w:tabs>
        <w:spacing w:before="120" w:after="120"/>
        <w:ind w:firstLine="709"/>
        <w:jc w:val="both"/>
        <w:rPr>
          <w:rFonts w:cs="Arial"/>
        </w:rPr>
      </w:pPr>
      <w:r w:rsidRPr="00AA736D">
        <w:rPr>
          <w:rFonts w:cs="Arial"/>
        </w:rPr>
        <w:t>Od roku 2005 do 30. júna 2015 evidovala Sociálna poisťovňa 273 054 žiadostí o prestup do inej DSS. Z nich bolo realizovaných 227 844 prestupov. Od začiatku tohto roka bolo zrealizovaných 15 011 prestupov.</w:t>
      </w:r>
    </w:p>
    <w:p w:rsidR="00AA736D" w:rsidRPr="00AA736D" w:rsidRDefault="00AA736D" w:rsidP="00AA736D">
      <w:pPr>
        <w:spacing w:before="240" w:after="120"/>
        <w:jc w:val="center"/>
        <w:rPr>
          <w:rFonts w:cs="Arial"/>
        </w:rPr>
      </w:pPr>
      <w:r w:rsidRPr="00AA736D">
        <w:rPr>
          <w:rFonts w:cs="Arial"/>
        </w:rPr>
        <w:t xml:space="preserve">x   </w:t>
      </w:r>
      <w:proofErr w:type="spellStart"/>
      <w:r w:rsidRPr="00AA736D">
        <w:rPr>
          <w:rFonts w:cs="Arial"/>
        </w:rPr>
        <w:t>x</w:t>
      </w:r>
      <w:proofErr w:type="spellEnd"/>
      <w:r w:rsidRPr="00AA736D">
        <w:rPr>
          <w:rFonts w:cs="Arial"/>
        </w:rPr>
        <w:t xml:space="preserve">   </w:t>
      </w:r>
      <w:proofErr w:type="spellStart"/>
      <w:r w:rsidRPr="00AA736D">
        <w:rPr>
          <w:rFonts w:cs="Arial"/>
        </w:rPr>
        <w:t>x</w:t>
      </w:r>
      <w:proofErr w:type="spellEnd"/>
    </w:p>
    <w:p w:rsidR="00AA736D" w:rsidRPr="00AA736D" w:rsidRDefault="00AA736D" w:rsidP="00AA736D">
      <w:pPr>
        <w:spacing w:before="240" w:after="120"/>
        <w:jc w:val="center"/>
        <w:rPr>
          <w:rFonts w:cs="Arial"/>
        </w:rPr>
      </w:pPr>
    </w:p>
    <w:p w:rsidR="00AA736D" w:rsidRPr="00AA736D" w:rsidRDefault="00AA736D" w:rsidP="00AA736D">
      <w:pPr>
        <w:spacing w:before="240" w:after="120"/>
        <w:jc w:val="center"/>
        <w:rPr>
          <w:b/>
        </w:rPr>
      </w:pPr>
      <w:r w:rsidRPr="00AA736D">
        <w:rPr>
          <w:b/>
        </w:rPr>
        <w:lastRenderedPageBreak/>
        <w:t>Očakávané výsledky hospodárenia Sociálnej poisťovne v roku 2015</w:t>
      </w:r>
    </w:p>
    <w:p w:rsidR="00AA736D" w:rsidRPr="00AA736D" w:rsidRDefault="00AA736D" w:rsidP="00AA736D">
      <w:pPr>
        <w:spacing w:before="240" w:after="120"/>
        <w:ind w:firstLine="709"/>
        <w:jc w:val="both"/>
        <w:rPr>
          <w:rFonts w:cs="Arial"/>
          <w:szCs w:val="24"/>
        </w:rPr>
      </w:pPr>
      <w:r w:rsidRPr="00AA736D">
        <w:rPr>
          <w:rFonts w:cs="Arial"/>
          <w:szCs w:val="24"/>
        </w:rPr>
        <w:t xml:space="preserve">V očakávanej skutočnosti Sociálnej poisťovne na rok 2015 sú zohľadnené skutočné výsledky hospodárenia k 30. 6. 2015 a predpoklad ich vývoja do konca roka 2015 a vplyv makroekonomických ukazovateľov zverejnených </w:t>
      </w:r>
      <w:r w:rsidRPr="00AA736D">
        <w:rPr>
          <w:rFonts w:cs="Arial"/>
        </w:rPr>
        <w:t>IFP MF SR</w:t>
      </w:r>
      <w:r w:rsidRPr="00AA736D">
        <w:rPr>
          <w:rFonts w:cs="Arial"/>
          <w:szCs w:val="24"/>
        </w:rPr>
        <w:t xml:space="preserve"> 15. 6. 2015.</w:t>
      </w:r>
    </w:p>
    <w:p w:rsidR="00AA736D" w:rsidRPr="00AA736D" w:rsidRDefault="00AA736D" w:rsidP="00AA736D">
      <w:pPr>
        <w:spacing w:before="240" w:after="120"/>
        <w:ind w:firstLine="720"/>
        <w:jc w:val="both"/>
        <w:rPr>
          <w:rFonts w:cs="Arial"/>
          <w:szCs w:val="24"/>
        </w:rPr>
      </w:pPr>
      <w:r w:rsidRPr="00AA736D">
        <w:rPr>
          <w:rFonts w:cs="Arial"/>
          <w:b/>
          <w:szCs w:val="24"/>
        </w:rPr>
        <w:t>Príjmy</w:t>
      </w:r>
      <w:r w:rsidRPr="00AA736D">
        <w:rPr>
          <w:rFonts w:cs="Arial"/>
          <w:szCs w:val="24"/>
        </w:rPr>
        <w:t xml:space="preserve"> Sociálnej poisťovne sa </w:t>
      </w:r>
      <w:r w:rsidRPr="00AA736D">
        <w:rPr>
          <w:rFonts w:cs="Arial"/>
          <w:b/>
          <w:szCs w:val="24"/>
        </w:rPr>
        <w:t>v roku 2015 očakávajú</w:t>
      </w:r>
      <w:r w:rsidRPr="00AA736D">
        <w:rPr>
          <w:rFonts w:cs="Arial"/>
          <w:szCs w:val="24"/>
        </w:rPr>
        <w:t xml:space="preserve">: </w:t>
      </w:r>
    </w:p>
    <w:tbl>
      <w:tblPr>
        <w:tblW w:w="9214" w:type="dxa"/>
        <w:tblInd w:w="-72" w:type="dxa"/>
        <w:tblLayout w:type="fixed"/>
        <w:tblCellMar>
          <w:left w:w="70" w:type="dxa"/>
          <w:right w:w="70" w:type="dxa"/>
        </w:tblCellMar>
        <w:tblLook w:val="04A0" w:firstRow="1" w:lastRow="0" w:firstColumn="1" w:lastColumn="0" w:noHBand="0" w:noVBand="1"/>
      </w:tblPr>
      <w:tblGrid>
        <w:gridCol w:w="4820"/>
        <w:gridCol w:w="1630"/>
        <w:gridCol w:w="190"/>
        <w:gridCol w:w="1440"/>
        <w:gridCol w:w="1134"/>
      </w:tblGrid>
      <w:tr w:rsidR="00AA736D" w:rsidRPr="00AA736D" w:rsidTr="00565313">
        <w:tc>
          <w:tcPr>
            <w:tcW w:w="4820" w:type="dxa"/>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820" w:type="dxa"/>
            <w:gridSpan w:val="2"/>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440" w:type="dxa"/>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134" w:type="dxa"/>
            <w:tcBorders>
              <w:top w:val="nil"/>
              <w:left w:val="nil"/>
              <w:bottom w:val="nil"/>
              <w:right w:val="nil"/>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v tis. Eur</w:t>
            </w:r>
          </w:p>
        </w:tc>
      </w:tr>
      <w:tr w:rsidR="00AA736D" w:rsidRPr="00AA736D" w:rsidTr="00565313">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Ukazovateľ</w:t>
            </w:r>
          </w:p>
        </w:tc>
        <w:tc>
          <w:tcPr>
            <w:tcW w:w="3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Rok 2015</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 xml:space="preserve">Rozdiel </w:t>
            </w:r>
            <w:r w:rsidRPr="00AA736D">
              <w:rPr>
                <w:rFonts w:cs="Arial"/>
                <w:sz w:val="22"/>
                <w:szCs w:val="22"/>
              </w:rPr>
              <w:br/>
              <w:t>2-1</w:t>
            </w:r>
          </w:p>
        </w:tc>
      </w:tr>
      <w:tr w:rsidR="00AA736D" w:rsidRPr="00AA736D" w:rsidTr="00565313">
        <w:tc>
          <w:tcPr>
            <w:tcW w:w="482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63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Schválený rozpočet </w:t>
            </w:r>
          </w:p>
        </w:tc>
        <w:tc>
          <w:tcPr>
            <w:tcW w:w="1630" w:type="dxa"/>
            <w:gridSpan w:val="2"/>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Očakávaná skutočnosť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A736D" w:rsidRPr="00AA736D" w:rsidRDefault="00AA736D" w:rsidP="00AA736D">
            <w:pPr>
              <w:rPr>
                <w:rFonts w:cs="Arial"/>
                <w:sz w:val="22"/>
                <w:szCs w:val="22"/>
              </w:rPr>
            </w:pP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a</w:t>
            </w:r>
          </w:p>
        </w:tc>
        <w:tc>
          <w:tcPr>
            <w:tcW w:w="163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1</w:t>
            </w:r>
          </w:p>
        </w:tc>
        <w:tc>
          <w:tcPr>
            <w:tcW w:w="1630" w:type="dxa"/>
            <w:gridSpan w:val="2"/>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3</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Zdroje celkom</w:t>
            </w:r>
          </w:p>
        </w:tc>
        <w:tc>
          <w:tcPr>
            <w:tcW w:w="1630"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7 649 463</w:t>
            </w:r>
          </w:p>
        </w:tc>
        <w:tc>
          <w:tcPr>
            <w:tcW w:w="1630" w:type="dxa"/>
            <w:gridSpan w:val="2"/>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7 685 903</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36 440</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v tom:</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 </w:t>
            </w:r>
          </w:p>
        </w:tc>
        <w:tc>
          <w:tcPr>
            <w:tcW w:w="1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prevod z minulých rokov</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524 248</w:t>
            </w:r>
          </w:p>
        </w:tc>
        <w:tc>
          <w:tcPr>
            <w:tcW w:w="1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461 387</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-62 861</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príjmy v bežnom roku</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7 125 215</w:t>
            </w:r>
          </w:p>
        </w:tc>
        <w:tc>
          <w:tcPr>
            <w:tcW w:w="1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7 224 516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99 301</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v tom:</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 </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 </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a) príjmy z bežného poistného od EAO</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5 712 892</w:t>
            </w:r>
          </w:p>
        </w:tc>
        <w:tc>
          <w:tcPr>
            <w:tcW w:w="1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5 839 495</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126 603</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b) príjmy z poistného od štátu</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221 804</w:t>
            </w:r>
          </w:p>
        </w:tc>
        <w:tc>
          <w:tcPr>
            <w:tcW w:w="1630" w:type="dxa"/>
            <w:gridSpan w:val="2"/>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205 362</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-16 442</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c) príjmy od Sociálnej poisťovne</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2 500</w:t>
            </w:r>
          </w:p>
        </w:tc>
        <w:tc>
          <w:tcPr>
            <w:tcW w:w="1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2 512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12</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d) príjmy zo sankcií</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14 645</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14 645</w:t>
            </w:r>
          </w:p>
        </w:tc>
        <w:tc>
          <w:tcPr>
            <w:tcW w:w="1134"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 xml:space="preserve">e) príjmy z dlžného poistného  </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238 829</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218 574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-20 255</w:t>
            </w:r>
          </w:p>
        </w:tc>
      </w:tr>
      <w:tr w:rsidR="00AA736D" w:rsidRPr="00AA736D" w:rsidTr="00565313">
        <w:tc>
          <w:tcPr>
            <w:tcW w:w="4820" w:type="dxa"/>
            <w:tcBorders>
              <w:top w:val="nil"/>
              <w:left w:val="single" w:sz="4" w:space="0" w:color="auto"/>
              <w:bottom w:val="nil"/>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f) ostatné príjmy </w:t>
            </w:r>
          </w:p>
        </w:tc>
        <w:tc>
          <w:tcPr>
            <w:tcW w:w="163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921 215</w:t>
            </w:r>
          </w:p>
        </w:tc>
        <w:tc>
          <w:tcPr>
            <w:tcW w:w="1630"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360 076</w:t>
            </w:r>
          </w:p>
        </w:tc>
        <w:tc>
          <w:tcPr>
            <w:tcW w:w="1134" w:type="dxa"/>
            <w:tcBorders>
              <w:top w:val="single" w:sz="4" w:space="0" w:color="auto"/>
              <w:left w:val="nil"/>
              <w:bottom w:val="nil"/>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-561 139</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i/>
                <w:iCs/>
                <w:sz w:val="22"/>
                <w:szCs w:val="22"/>
              </w:rPr>
            </w:pPr>
            <w:r w:rsidRPr="00AA736D">
              <w:rPr>
                <w:rFonts w:cs="Arial"/>
                <w:i/>
                <w:iCs/>
                <w:sz w:val="22"/>
                <w:szCs w:val="22"/>
              </w:rPr>
              <w:t xml:space="preserve">   z toho príjmy zo ŠR SR</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905 966</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344 827</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-561 139</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g) príspevky na SDS zaplatené zamestnávateľom po uplynutí 60 dní</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12 130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4 814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-7 316</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h) príjmy správneho fondu z príspevkov na SDS (EAO)</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1 127</w:t>
            </w:r>
          </w:p>
        </w:tc>
        <w:tc>
          <w:tcPr>
            <w:tcW w:w="1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1 037</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-90</w:t>
            </w:r>
          </w:p>
        </w:tc>
      </w:tr>
      <w:tr w:rsidR="00AA736D" w:rsidRPr="00AA736D" w:rsidTr="00565313">
        <w:tc>
          <w:tcPr>
            <w:tcW w:w="4820" w:type="dxa"/>
            <w:tcBorders>
              <w:top w:val="nil"/>
              <w:left w:val="single" w:sz="4" w:space="0" w:color="auto"/>
              <w:bottom w:val="single" w:sz="4" w:space="0" w:color="auto"/>
              <w:right w:val="single" w:sz="4" w:space="0" w:color="auto"/>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i) príjmy správneho fondu z príspevkov na SDS (štát)</w:t>
            </w:r>
          </w:p>
        </w:tc>
        <w:tc>
          <w:tcPr>
            <w:tcW w:w="163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73</w:t>
            </w:r>
          </w:p>
        </w:tc>
        <w:tc>
          <w:tcPr>
            <w:tcW w:w="1630"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66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-7</w:t>
            </w:r>
          </w:p>
        </w:tc>
      </w:tr>
      <w:tr w:rsidR="00AA736D" w:rsidRPr="00AA736D" w:rsidTr="00565313">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j) príjmy z otvorenia II. piliera vrátane príjmov správneho fondu vo výške 2,15 %</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0</w:t>
            </w:r>
          </w:p>
        </w:tc>
        <w:tc>
          <w:tcPr>
            <w:tcW w:w="1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rFonts w:cs="Arial"/>
                <w:sz w:val="22"/>
                <w:szCs w:val="22"/>
              </w:rPr>
            </w:pPr>
            <w:r w:rsidRPr="00AA736D">
              <w:rPr>
                <w:rFonts w:cs="Arial"/>
                <w:sz w:val="22"/>
                <w:szCs w:val="22"/>
              </w:rPr>
              <w:t>577 935</w:t>
            </w:r>
          </w:p>
        </w:tc>
        <w:tc>
          <w:tcPr>
            <w:tcW w:w="1134" w:type="dxa"/>
            <w:tcBorders>
              <w:top w:val="nil"/>
              <w:left w:val="nil"/>
              <w:bottom w:val="single" w:sz="4" w:space="0" w:color="auto"/>
              <w:right w:val="single" w:sz="4" w:space="0" w:color="auto"/>
            </w:tcBorders>
            <w:shd w:val="clear" w:color="auto" w:fill="auto"/>
            <w:vAlign w:val="bottom"/>
            <w:hideMark/>
          </w:tcPr>
          <w:p w:rsidR="00AA736D" w:rsidRPr="00AA736D" w:rsidRDefault="00AA736D" w:rsidP="00AA736D">
            <w:pPr>
              <w:jc w:val="right"/>
              <w:rPr>
                <w:rFonts w:cs="Arial"/>
                <w:sz w:val="22"/>
                <w:szCs w:val="22"/>
              </w:rPr>
            </w:pPr>
            <w:r w:rsidRPr="00AA736D">
              <w:rPr>
                <w:rFonts w:cs="Arial"/>
                <w:sz w:val="22"/>
                <w:szCs w:val="22"/>
              </w:rPr>
              <w:t>577 935</w:t>
            </w:r>
          </w:p>
        </w:tc>
      </w:tr>
    </w:tbl>
    <w:p w:rsidR="00AA736D" w:rsidRPr="00AA736D" w:rsidRDefault="00AA736D" w:rsidP="00AA736D">
      <w:pPr>
        <w:spacing w:after="120"/>
        <w:jc w:val="both"/>
        <w:rPr>
          <w:rFonts w:cs="Arial"/>
          <w:szCs w:val="24"/>
        </w:rPr>
      </w:pPr>
    </w:p>
    <w:p w:rsidR="00AA736D" w:rsidRPr="00AA736D" w:rsidRDefault="00AA736D" w:rsidP="00AA736D">
      <w:pPr>
        <w:spacing w:before="120" w:after="120"/>
        <w:ind w:firstLine="709"/>
        <w:jc w:val="both"/>
        <w:rPr>
          <w:rFonts w:eastAsia="Calibri" w:cs="Arial"/>
          <w:szCs w:val="24"/>
        </w:rPr>
      </w:pPr>
      <w:r w:rsidRPr="00AA736D">
        <w:rPr>
          <w:rFonts w:eastAsia="Calibri" w:cs="Arial"/>
          <w:szCs w:val="24"/>
        </w:rPr>
        <w:t xml:space="preserve">V roku 2015 sa očakáva vyššie plnenie rozpočtu príjmov z bežného poistného od EAO o 126 603 tis. Eur a nižšie plnenie rozpočtu dlžného poistného o 20 255 tis. Eur. </w:t>
      </w:r>
    </w:p>
    <w:p w:rsidR="00AA736D" w:rsidRPr="00AA736D" w:rsidRDefault="00AA736D" w:rsidP="00AA736D">
      <w:pPr>
        <w:spacing w:before="120" w:after="120"/>
        <w:ind w:firstLine="709"/>
        <w:jc w:val="both"/>
        <w:rPr>
          <w:rFonts w:eastAsia="Calibri" w:cs="Arial"/>
          <w:szCs w:val="24"/>
        </w:rPr>
      </w:pPr>
      <w:r w:rsidRPr="00AA736D">
        <w:rPr>
          <w:rFonts w:eastAsia="Calibri" w:cs="Arial"/>
          <w:szCs w:val="24"/>
        </w:rPr>
        <w:t>Výber od EAO vrátane príspevkov na SDS sa v roku 2015 očakáva o 70 241 tis. Eur vyšší, ako bolo rozpočtované.</w:t>
      </w:r>
    </w:p>
    <w:p w:rsidR="00AA736D" w:rsidRPr="00AA736D" w:rsidRDefault="00AA736D" w:rsidP="00AA736D">
      <w:pPr>
        <w:spacing w:before="120" w:after="120"/>
        <w:ind w:firstLine="720"/>
        <w:jc w:val="both"/>
        <w:rPr>
          <w:rFonts w:cs="Arial"/>
          <w:szCs w:val="24"/>
        </w:rPr>
      </w:pPr>
      <w:r w:rsidRPr="00AA736D">
        <w:rPr>
          <w:rFonts w:cs="Arial"/>
          <w:szCs w:val="24"/>
        </w:rPr>
        <w:t xml:space="preserve">V roku 2015 sa predpokladá jednorazový vplyv na príjmy Sociálnej poisťovne z dočasného otvorenia II. piliera vo výške 577 935 tis. Eur. </w:t>
      </w:r>
    </w:p>
    <w:p w:rsidR="00AA736D" w:rsidRPr="00AA736D" w:rsidRDefault="00AA736D" w:rsidP="00AA736D">
      <w:pPr>
        <w:spacing w:before="120" w:after="120"/>
        <w:ind w:firstLine="720"/>
        <w:jc w:val="both"/>
        <w:rPr>
          <w:rFonts w:cs="Arial"/>
          <w:szCs w:val="24"/>
        </w:rPr>
      </w:pPr>
      <w:r w:rsidRPr="00AA736D">
        <w:rPr>
          <w:rFonts w:cs="Arial"/>
          <w:szCs w:val="24"/>
        </w:rPr>
        <w:t>V očakávanej skutočnosti ostatných príjmov je v základnom fonde starobného poistenia zapracovaný transfer finančných prostriedkov zo ŠR SR v sume 344 827 tis. Eur na krytie deficitu vzniknutého dôsledkom zavedenia II. piliera a ako finančná výpomoc z dôvodu platobnej neschopnosti základného fondu starobného poistenia v zmysle § 157 ods. 4 zákona o sociálnom poistení</w:t>
      </w:r>
      <w:r w:rsidRPr="00AA736D">
        <w:t>, čo je o 561 139 tis. Eur menej ako bolo rozpočtované</w:t>
      </w:r>
      <w:r w:rsidRPr="00AA736D">
        <w:rPr>
          <w:rFonts w:cs="Arial"/>
          <w:szCs w:val="24"/>
        </w:rPr>
        <w:t xml:space="preserve">. </w:t>
      </w:r>
    </w:p>
    <w:p w:rsidR="00AA736D" w:rsidRPr="00AA736D" w:rsidRDefault="00AA736D" w:rsidP="00AA736D">
      <w:pPr>
        <w:spacing w:before="240" w:after="120"/>
        <w:ind w:firstLine="720"/>
        <w:jc w:val="both"/>
        <w:rPr>
          <w:rFonts w:cs="Arial"/>
          <w:szCs w:val="24"/>
        </w:rPr>
      </w:pPr>
      <w:r w:rsidRPr="00AA736D">
        <w:rPr>
          <w:rFonts w:cs="Arial"/>
          <w:b/>
          <w:szCs w:val="24"/>
        </w:rPr>
        <w:t xml:space="preserve">Výdavky (náklady) Sociálnej poisťovne v roku 2015 </w:t>
      </w:r>
      <w:r w:rsidRPr="00AA736D">
        <w:rPr>
          <w:rFonts w:cs="Arial"/>
          <w:szCs w:val="24"/>
        </w:rPr>
        <w:t>sa predpokladajú:</w:t>
      </w:r>
    </w:p>
    <w:p w:rsidR="00AA736D" w:rsidRPr="00AA736D" w:rsidRDefault="00AA736D" w:rsidP="00AA736D">
      <w:pPr>
        <w:spacing w:before="240" w:after="120"/>
        <w:ind w:firstLine="720"/>
        <w:jc w:val="both"/>
        <w:rPr>
          <w:rFonts w:cs="Arial"/>
          <w:szCs w:val="24"/>
        </w:rPr>
      </w:pPr>
    </w:p>
    <w:p w:rsidR="00AA736D" w:rsidRPr="00AA736D" w:rsidRDefault="00AA736D" w:rsidP="00AA736D">
      <w:pPr>
        <w:spacing w:before="240" w:after="120"/>
        <w:ind w:firstLine="720"/>
        <w:jc w:val="both"/>
        <w:rPr>
          <w:rFonts w:cs="Arial"/>
          <w:szCs w:val="24"/>
        </w:rPr>
      </w:pPr>
    </w:p>
    <w:tbl>
      <w:tblPr>
        <w:tblW w:w="8946" w:type="dxa"/>
        <w:tblInd w:w="55" w:type="dxa"/>
        <w:tblLayout w:type="fixed"/>
        <w:tblCellMar>
          <w:left w:w="70" w:type="dxa"/>
          <w:right w:w="70" w:type="dxa"/>
        </w:tblCellMar>
        <w:tblLook w:val="04A0" w:firstRow="1" w:lastRow="0" w:firstColumn="1" w:lastColumn="0" w:noHBand="0" w:noVBand="1"/>
      </w:tblPr>
      <w:tblGrid>
        <w:gridCol w:w="4410"/>
        <w:gridCol w:w="1512"/>
        <w:gridCol w:w="411"/>
        <w:gridCol w:w="1053"/>
        <w:gridCol w:w="1560"/>
      </w:tblGrid>
      <w:tr w:rsidR="00AA736D" w:rsidRPr="00AA736D" w:rsidTr="00565313">
        <w:tc>
          <w:tcPr>
            <w:tcW w:w="4410" w:type="dxa"/>
            <w:tcBorders>
              <w:top w:val="nil"/>
              <w:left w:val="nil"/>
              <w:bottom w:val="nil"/>
              <w:right w:val="nil"/>
            </w:tcBorders>
            <w:shd w:val="clear" w:color="auto" w:fill="auto"/>
            <w:noWrap/>
            <w:vAlign w:val="bottom"/>
            <w:hideMark/>
          </w:tcPr>
          <w:p w:rsidR="00AA736D" w:rsidRPr="00AA736D" w:rsidRDefault="00AA736D" w:rsidP="00AA736D">
            <w:pPr>
              <w:rPr>
                <w:rFonts w:cs="Arial"/>
                <w:sz w:val="22"/>
                <w:szCs w:val="22"/>
              </w:rPr>
            </w:pPr>
          </w:p>
        </w:tc>
        <w:tc>
          <w:tcPr>
            <w:tcW w:w="1923" w:type="dxa"/>
            <w:gridSpan w:val="2"/>
            <w:tcBorders>
              <w:top w:val="nil"/>
              <w:left w:val="nil"/>
              <w:bottom w:val="nil"/>
              <w:right w:val="nil"/>
            </w:tcBorders>
            <w:shd w:val="clear" w:color="auto" w:fill="auto"/>
            <w:noWrap/>
            <w:vAlign w:val="bottom"/>
            <w:hideMark/>
          </w:tcPr>
          <w:p w:rsidR="00AA736D" w:rsidRPr="00AA736D" w:rsidRDefault="00AA736D" w:rsidP="00AA736D">
            <w:pPr>
              <w:rPr>
                <w:rFonts w:cs="Arial"/>
                <w:sz w:val="22"/>
                <w:szCs w:val="22"/>
              </w:rPr>
            </w:pPr>
          </w:p>
        </w:tc>
        <w:tc>
          <w:tcPr>
            <w:tcW w:w="1053" w:type="dxa"/>
            <w:tcBorders>
              <w:top w:val="nil"/>
              <w:left w:val="nil"/>
              <w:bottom w:val="nil"/>
              <w:right w:val="nil"/>
            </w:tcBorders>
            <w:shd w:val="clear" w:color="auto" w:fill="auto"/>
            <w:noWrap/>
            <w:vAlign w:val="bottom"/>
            <w:hideMark/>
          </w:tcPr>
          <w:p w:rsidR="00AA736D" w:rsidRPr="00AA736D" w:rsidRDefault="00AA736D" w:rsidP="00AA736D">
            <w:pPr>
              <w:rPr>
                <w:rFonts w:cs="Arial"/>
                <w:sz w:val="22"/>
                <w:szCs w:val="22"/>
              </w:rPr>
            </w:pPr>
          </w:p>
        </w:tc>
        <w:tc>
          <w:tcPr>
            <w:tcW w:w="1560" w:type="dxa"/>
            <w:tcBorders>
              <w:top w:val="nil"/>
              <w:left w:val="nil"/>
              <w:bottom w:val="nil"/>
              <w:right w:val="nil"/>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v tis. Eur</w:t>
            </w:r>
          </w:p>
        </w:tc>
      </w:tr>
      <w:tr w:rsidR="00AA736D" w:rsidRPr="00AA736D" w:rsidTr="00565313">
        <w:tc>
          <w:tcPr>
            <w:tcW w:w="4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Ukazovateľ</w:t>
            </w:r>
          </w:p>
        </w:tc>
        <w:tc>
          <w:tcPr>
            <w:tcW w:w="29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Rok 2015</w:t>
            </w:r>
          </w:p>
        </w:tc>
        <w:tc>
          <w:tcPr>
            <w:tcW w:w="1560" w:type="dxa"/>
            <w:vMerge w:val="restart"/>
            <w:tcBorders>
              <w:top w:val="single" w:sz="4" w:space="0" w:color="auto"/>
              <w:left w:val="nil"/>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 xml:space="preserve">Rozdiel </w:t>
            </w:r>
            <w:r w:rsidRPr="00AA736D">
              <w:rPr>
                <w:rFonts w:cs="Arial"/>
                <w:sz w:val="22"/>
                <w:szCs w:val="22"/>
              </w:rPr>
              <w:br/>
              <w:t>2-1</w:t>
            </w:r>
          </w:p>
        </w:tc>
      </w:tr>
      <w:tr w:rsidR="00AA736D" w:rsidRPr="00AA736D" w:rsidTr="00565313">
        <w:tc>
          <w:tcPr>
            <w:tcW w:w="441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512"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Schválený rozpočet  </w:t>
            </w:r>
          </w:p>
        </w:tc>
        <w:tc>
          <w:tcPr>
            <w:tcW w:w="1464" w:type="dxa"/>
            <w:gridSpan w:val="2"/>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Očakávaná skutočnosť </w:t>
            </w:r>
          </w:p>
        </w:tc>
        <w:tc>
          <w:tcPr>
            <w:tcW w:w="1560" w:type="dxa"/>
            <w:vMerge/>
            <w:tcBorders>
              <w:left w:val="nil"/>
              <w:bottom w:val="nil"/>
              <w:right w:val="single" w:sz="4" w:space="0" w:color="auto"/>
            </w:tcBorders>
            <w:shd w:val="clear" w:color="auto" w:fill="auto"/>
            <w:vAlign w:val="center"/>
            <w:hideMark/>
          </w:tcPr>
          <w:p w:rsidR="00AA736D" w:rsidRPr="00AA736D" w:rsidRDefault="00AA736D" w:rsidP="00AA736D">
            <w:pPr>
              <w:jc w:val="center"/>
              <w:rPr>
                <w:rFonts w:cs="Arial"/>
                <w:sz w:val="22"/>
                <w:szCs w:val="22"/>
              </w:rPr>
            </w:pP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a</w:t>
            </w:r>
          </w:p>
        </w:tc>
        <w:tc>
          <w:tcPr>
            <w:tcW w:w="1512" w:type="dxa"/>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1</w:t>
            </w:r>
          </w:p>
        </w:tc>
        <w:tc>
          <w:tcPr>
            <w:tcW w:w="1464" w:type="dxa"/>
            <w:gridSpan w:val="2"/>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3</w:t>
            </w: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Použitie prostriedkov celkom</w:t>
            </w:r>
          </w:p>
        </w:tc>
        <w:tc>
          <w:tcPr>
            <w:tcW w:w="151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7 104 115</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7 158 080</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53 965</w:t>
            </w: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v tom:</w:t>
            </w:r>
          </w:p>
        </w:tc>
        <w:tc>
          <w:tcPr>
            <w:tcW w:w="151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sz w:val="22"/>
                <w:szCs w:val="22"/>
              </w:rPr>
            </w:pPr>
            <w:r w:rsidRPr="00AA736D">
              <w:rPr>
                <w:sz w:val="22"/>
                <w:szCs w:val="22"/>
              </w:rPr>
              <w:t> </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sz w:val="22"/>
                <w:szCs w:val="22"/>
              </w:rPr>
            </w:pPr>
            <w:r w:rsidRPr="00AA736D">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rPr>
                <w:sz w:val="22"/>
                <w:szCs w:val="22"/>
              </w:rPr>
            </w:pPr>
            <w:r w:rsidRPr="00AA736D">
              <w:rPr>
                <w:sz w:val="22"/>
                <w:szCs w:val="22"/>
              </w:rPr>
              <w:t> </w:t>
            </w: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základný fond nemocenského poistenia </w:t>
            </w:r>
          </w:p>
        </w:tc>
        <w:tc>
          <w:tcPr>
            <w:tcW w:w="151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416 469</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416 540</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71</w:t>
            </w:r>
          </w:p>
        </w:tc>
      </w:tr>
      <w:tr w:rsidR="00AA736D" w:rsidRPr="00AA736D" w:rsidTr="00565313">
        <w:tc>
          <w:tcPr>
            <w:tcW w:w="4410" w:type="dxa"/>
            <w:tcBorders>
              <w:top w:val="nil"/>
              <w:left w:val="single" w:sz="4" w:space="0" w:color="auto"/>
              <w:bottom w:val="nil"/>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základný fond starobného poistenia </w:t>
            </w:r>
          </w:p>
        </w:tc>
        <w:tc>
          <w:tcPr>
            <w:tcW w:w="1512"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5 417 976</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5 480 490</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62 514</w:t>
            </w:r>
          </w:p>
        </w:tc>
      </w:tr>
      <w:tr w:rsidR="00AA736D" w:rsidRPr="00AA736D" w:rsidTr="00565313">
        <w:tc>
          <w:tcPr>
            <w:tcW w:w="4410" w:type="dxa"/>
            <w:tcBorders>
              <w:top w:val="nil"/>
              <w:left w:val="single" w:sz="4" w:space="0" w:color="auto"/>
              <w:bottom w:val="nil"/>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základný fond invalidného poistenia </w:t>
            </w:r>
          </w:p>
        </w:tc>
        <w:tc>
          <w:tcPr>
            <w:tcW w:w="1512"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940 693</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918 097</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-22 596</w:t>
            </w:r>
          </w:p>
        </w:tc>
      </w:tr>
      <w:tr w:rsidR="00AA736D" w:rsidRPr="00AA736D" w:rsidTr="00565313">
        <w:tc>
          <w:tcPr>
            <w:tcW w:w="4410" w:type="dxa"/>
            <w:tcBorders>
              <w:top w:val="nil"/>
              <w:left w:val="single" w:sz="4" w:space="0" w:color="auto"/>
              <w:bottom w:val="single" w:sz="4" w:space="0" w:color="auto"/>
              <w:right w:val="nil"/>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dôchodkové poistenie spolu</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6 358 669</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6 398 587</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39 918</w:t>
            </w:r>
          </w:p>
        </w:tc>
      </w:tr>
      <w:tr w:rsidR="00AA736D" w:rsidRPr="00AA736D" w:rsidTr="00565313">
        <w:tc>
          <w:tcPr>
            <w:tcW w:w="4410" w:type="dxa"/>
            <w:tcBorders>
              <w:top w:val="nil"/>
              <w:left w:val="single" w:sz="4" w:space="0" w:color="auto"/>
              <w:bottom w:val="nil"/>
              <w:right w:val="nil"/>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úrazového poistenia , v tom:</w:t>
            </w:r>
          </w:p>
        </w:tc>
        <w:tc>
          <w:tcPr>
            <w:tcW w:w="1512"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46 902</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47 446</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544</w:t>
            </w:r>
          </w:p>
        </w:tc>
      </w:tr>
      <w:tr w:rsidR="00AA736D" w:rsidRPr="00AA736D" w:rsidTr="00565313">
        <w:tc>
          <w:tcPr>
            <w:tcW w:w="4410" w:type="dxa"/>
            <w:tcBorders>
              <w:top w:val="nil"/>
              <w:left w:val="single" w:sz="4" w:space="0" w:color="auto"/>
              <w:bottom w:val="nil"/>
              <w:right w:val="nil"/>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 - výdavky na úrazové dávky</w:t>
            </w:r>
          </w:p>
        </w:tc>
        <w:tc>
          <w:tcPr>
            <w:tcW w:w="1512"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44 202</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44 746</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544</w:t>
            </w:r>
          </w:p>
        </w:tc>
      </w:tr>
      <w:tr w:rsidR="00AA736D" w:rsidRPr="00AA736D" w:rsidTr="00565313">
        <w:tc>
          <w:tcPr>
            <w:tcW w:w="4410" w:type="dxa"/>
            <w:tcBorders>
              <w:top w:val="nil"/>
              <w:left w:val="single" w:sz="4" w:space="0" w:color="auto"/>
              <w:bottom w:val="single" w:sz="4" w:space="0" w:color="auto"/>
              <w:right w:val="nil"/>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 xml:space="preserve"> - úhrada poistného na starobné poistenie a príspevkov na SDS za poberateľov úrazovej renty</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2 700</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2 700</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0</w:t>
            </w:r>
          </w:p>
        </w:tc>
      </w:tr>
      <w:tr w:rsidR="00AA736D" w:rsidRPr="00AA736D" w:rsidTr="00565313">
        <w:tc>
          <w:tcPr>
            <w:tcW w:w="4410" w:type="dxa"/>
            <w:tcBorders>
              <w:top w:val="nil"/>
              <w:left w:val="single" w:sz="4" w:space="0" w:color="auto"/>
              <w:bottom w:val="nil"/>
              <w:right w:val="nil"/>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garančného poistenia , v tom:</w:t>
            </w:r>
          </w:p>
        </w:tc>
        <w:tc>
          <w:tcPr>
            <w:tcW w:w="1512"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18 789</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14 728</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-4 061</w:t>
            </w:r>
          </w:p>
        </w:tc>
      </w:tr>
      <w:tr w:rsidR="00AA736D" w:rsidRPr="00AA736D" w:rsidTr="00565313">
        <w:tc>
          <w:tcPr>
            <w:tcW w:w="4410" w:type="dxa"/>
            <w:tcBorders>
              <w:top w:val="nil"/>
              <w:left w:val="single" w:sz="4" w:space="0" w:color="auto"/>
              <w:bottom w:val="nil"/>
              <w:right w:val="nil"/>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 - výdavky na dávku garančného poistenia </w:t>
            </w:r>
          </w:p>
        </w:tc>
        <w:tc>
          <w:tcPr>
            <w:tcW w:w="1512" w:type="dxa"/>
            <w:tcBorders>
              <w:top w:val="nil"/>
              <w:left w:val="single" w:sz="4" w:space="0" w:color="auto"/>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7 584</w:t>
            </w:r>
          </w:p>
        </w:tc>
        <w:tc>
          <w:tcPr>
            <w:tcW w:w="1464" w:type="dxa"/>
            <w:gridSpan w:val="2"/>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4 029</w:t>
            </w:r>
          </w:p>
        </w:tc>
        <w:tc>
          <w:tcPr>
            <w:tcW w:w="1560" w:type="dxa"/>
            <w:tcBorders>
              <w:top w:val="nil"/>
              <w:left w:val="nil"/>
              <w:bottom w:val="nil"/>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-3 555</w:t>
            </w:r>
          </w:p>
        </w:tc>
      </w:tr>
      <w:tr w:rsidR="00AA736D" w:rsidRPr="00AA736D" w:rsidTr="00565313">
        <w:tc>
          <w:tcPr>
            <w:tcW w:w="4410" w:type="dxa"/>
            <w:tcBorders>
              <w:top w:val="nil"/>
              <w:left w:val="single" w:sz="4" w:space="0" w:color="auto"/>
              <w:bottom w:val="single" w:sz="4" w:space="0" w:color="auto"/>
              <w:right w:val="nil"/>
            </w:tcBorders>
            <w:shd w:val="clear" w:color="auto" w:fill="auto"/>
            <w:vAlign w:val="center"/>
            <w:hideMark/>
          </w:tcPr>
          <w:p w:rsidR="00AA736D" w:rsidRPr="00AA736D" w:rsidRDefault="00AA736D" w:rsidP="00AA736D">
            <w:pPr>
              <w:rPr>
                <w:rFonts w:cs="Arial"/>
                <w:sz w:val="22"/>
                <w:szCs w:val="22"/>
              </w:rPr>
            </w:pPr>
            <w:r w:rsidRPr="00AA736D">
              <w:rPr>
                <w:rFonts w:cs="Arial"/>
                <w:sz w:val="22"/>
                <w:szCs w:val="22"/>
              </w:rPr>
              <w:t xml:space="preserve"> - úhrada príspevkov na SDS nezaplatených zamestnávateľom do základného fondu príspevkov na SDS</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11 205</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10 699</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-506</w:t>
            </w: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 xml:space="preserve">základný fond poistenia v nezamestnanosti </w:t>
            </w:r>
          </w:p>
        </w:tc>
        <w:tc>
          <w:tcPr>
            <w:tcW w:w="151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157 286</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150 779</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-6 507</w:t>
            </w:r>
          </w:p>
        </w:tc>
      </w:tr>
      <w:tr w:rsidR="00AA736D" w:rsidRPr="00AA736D" w:rsidTr="00565313">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správny fond</w:t>
            </w:r>
          </w:p>
        </w:tc>
        <w:tc>
          <w:tcPr>
            <w:tcW w:w="1512"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106 000</w:t>
            </w:r>
          </w:p>
        </w:tc>
        <w:tc>
          <w:tcPr>
            <w:tcW w:w="1464" w:type="dxa"/>
            <w:gridSpan w:val="2"/>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130 000</w:t>
            </w:r>
          </w:p>
        </w:tc>
        <w:tc>
          <w:tcPr>
            <w:tcW w:w="1560" w:type="dxa"/>
            <w:tcBorders>
              <w:top w:val="nil"/>
              <w:left w:val="nil"/>
              <w:bottom w:val="single" w:sz="4" w:space="0" w:color="auto"/>
              <w:right w:val="single" w:sz="4" w:space="0" w:color="auto"/>
            </w:tcBorders>
            <w:shd w:val="clear" w:color="auto" w:fill="auto"/>
            <w:noWrap/>
            <w:vAlign w:val="bottom"/>
            <w:hideMark/>
          </w:tcPr>
          <w:p w:rsidR="00AA736D" w:rsidRPr="00AA736D" w:rsidRDefault="00AA736D" w:rsidP="00AA736D">
            <w:pPr>
              <w:jc w:val="right"/>
              <w:rPr>
                <w:sz w:val="22"/>
                <w:szCs w:val="22"/>
              </w:rPr>
            </w:pPr>
            <w:r w:rsidRPr="00AA736D">
              <w:rPr>
                <w:sz w:val="22"/>
                <w:szCs w:val="22"/>
              </w:rPr>
              <w:t>24 000</w:t>
            </w:r>
          </w:p>
        </w:tc>
      </w:tr>
    </w:tbl>
    <w:p w:rsidR="00AA736D" w:rsidRPr="00AA736D" w:rsidRDefault="00AA736D" w:rsidP="00AA736D">
      <w:pPr>
        <w:spacing w:before="120"/>
        <w:jc w:val="both"/>
        <w:rPr>
          <w:rFonts w:cs="Arial"/>
          <w:szCs w:val="24"/>
        </w:rPr>
      </w:pPr>
    </w:p>
    <w:p w:rsidR="00AA736D" w:rsidRPr="00AA736D" w:rsidRDefault="00AA736D" w:rsidP="00AA736D">
      <w:pPr>
        <w:spacing w:before="120" w:after="120"/>
        <w:ind w:firstLine="720"/>
        <w:jc w:val="both"/>
        <w:rPr>
          <w:rFonts w:cs="Arial"/>
          <w:szCs w:val="24"/>
        </w:rPr>
      </w:pPr>
      <w:r w:rsidRPr="00AA736D">
        <w:rPr>
          <w:rFonts w:cs="Arial"/>
          <w:szCs w:val="24"/>
        </w:rPr>
        <w:t>V roku 2015 sa očakávajú celkovo vyššie výdavky (náklady) Sociálnej poisťovne o 53 965 tis. Eur oproti schválenému rozpočtu na rok 2015.</w:t>
      </w:r>
    </w:p>
    <w:p w:rsidR="00AA736D" w:rsidRPr="00AA736D" w:rsidRDefault="00AA736D" w:rsidP="00AA736D">
      <w:pPr>
        <w:spacing w:before="240" w:after="120"/>
        <w:ind w:firstLine="720"/>
        <w:jc w:val="both"/>
        <w:rPr>
          <w:rFonts w:cs="Arial"/>
          <w:szCs w:val="24"/>
        </w:rPr>
      </w:pPr>
      <w:r w:rsidRPr="00AA736D">
        <w:rPr>
          <w:rFonts w:cs="Arial"/>
          <w:szCs w:val="24"/>
        </w:rPr>
        <w:t>Vyššie výdavky sa očakávajú najmä v základnom fonde starobného poistenia z dôvodu vyššej priemernej výšky novopriznávaných dôchodkov ako bolo rozpočtované v schválenom rozpočte.</w:t>
      </w:r>
    </w:p>
    <w:p w:rsidR="00AA736D" w:rsidRPr="00AA736D" w:rsidRDefault="00AA736D" w:rsidP="00AA736D">
      <w:pPr>
        <w:spacing w:before="240" w:after="120"/>
        <w:ind w:firstLine="720"/>
        <w:jc w:val="both"/>
        <w:rPr>
          <w:rFonts w:cs="Arial"/>
          <w:szCs w:val="24"/>
        </w:rPr>
      </w:pPr>
      <w:r w:rsidRPr="00AA736D">
        <w:rPr>
          <w:rFonts w:cs="Arial"/>
          <w:szCs w:val="24"/>
        </w:rPr>
        <w:t xml:space="preserve">Z hľadiska </w:t>
      </w:r>
      <w:r w:rsidRPr="00AA736D">
        <w:rPr>
          <w:rFonts w:cs="Arial"/>
          <w:b/>
          <w:szCs w:val="24"/>
        </w:rPr>
        <w:t xml:space="preserve">celkového hospodárenia Sociálnej poisťovne </w:t>
      </w:r>
      <w:r w:rsidRPr="00AA736D">
        <w:rPr>
          <w:rFonts w:cs="Arial"/>
          <w:szCs w:val="24"/>
        </w:rPr>
        <w:t>(vrátane prevodu prostriedkov z minulých rokov) je možné očakávať k 31. 12. 2015 v jednotlivých fondoch výsledky:</w:t>
      </w:r>
    </w:p>
    <w:tbl>
      <w:tblPr>
        <w:tblW w:w="8910" w:type="dxa"/>
        <w:tblInd w:w="55" w:type="dxa"/>
        <w:tblCellMar>
          <w:left w:w="70" w:type="dxa"/>
          <w:right w:w="70" w:type="dxa"/>
        </w:tblCellMar>
        <w:tblLook w:val="04A0" w:firstRow="1" w:lastRow="0" w:firstColumn="1" w:lastColumn="0" w:noHBand="0" w:noVBand="1"/>
      </w:tblPr>
      <w:tblGrid>
        <w:gridCol w:w="4800"/>
        <w:gridCol w:w="1240"/>
        <w:gridCol w:w="212"/>
        <w:gridCol w:w="1418"/>
        <w:gridCol w:w="1240"/>
      </w:tblGrid>
      <w:tr w:rsidR="00AA736D" w:rsidRPr="00AA736D" w:rsidTr="00565313">
        <w:tc>
          <w:tcPr>
            <w:tcW w:w="4800" w:type="dxa"/>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240" w:type="dxa"/>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630" w:type="dxa"/>
            <w:gridSpan w:val="2"/>
            <w:tcBorders>
              <w:top w:val="nil"/>
              <w:left w:val="nil"/>
              <w:bottom w:val="nil"/>
              <w:right w:val="nil"/>
            </w:tcBorders>
            <w:shd w:val="clear" w:color="auto" w:fill="auto"/>
            <w:noWrap/>
            <w:vAlign w:val="center"/>
            <w:hideMark/>
          </w:tcPr>
          <w:p w:rsidR="00AA736D" w:rsidRPr="00AA736D" w:rsidRDefault="00AA736D" w:rsidP="00AA736D">
            <w:pPr>
              <w:rPr>
                <w:rFonts w:cs="Arial"/>
                <w:sz w:val="22"/>
                <w:szCs w:val="22"/>
              </w:rPr>
            </w:pPr>
          </w:p>
        </w:tc>
        <w:tc>
          <w:tcPr>
            <w:tcW w:w="1240" w:type="dxa"/>
            <w:tcBorders>
              <w:top w:val="nil"/>
              <w:left w:val="nil"/>
              <w:bottom w:val="nil"/>
              <w:right w:val="nil"/>
            </w:tcBorders>
            <w:shd w:val="clear" w:color="auto" w:fill="auto"/>
            <w:noWrap/>
            <w:vAlign w:val="center"/>
            <w:hideMark/>
          </w:tcPr>
          <w:p w:rsidR="00AA736D" w:rsidRPr="00AA736D" w:rsidRDefault="00AA736D" w:rsidP="00AA736D">
            <w:pPr>
              <w:jc w:val="right"/>
              <w:rPr>
                <w:rFonts w:cs="Arial"/>
                <w:sz w:val="22"/>
                <w:szCs w:val="22"/>
              </w:rPr>
            </w:pPr>
            <w:r w:rsidRPr="00AA736D">
              <w:rPr>
                <w:rFonts w:cs="Arial"/>
                <w:sz w:val="22"/>
                <w:szCs w:val="22"/>
              </w:rPr>
              <w:t>v tis. Eur</w:t>
            </w:r>
          </w:p>
        </w:tc>
      </w:tr>
      <w:tr w:rsidR="00AA736D" w:rsidRPr="00AA736D" w:rsidTr="00565313">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 xml:space="preserve">Fond  </w:t>
            </w:r>
          </w:p>
        </w:tc>
        <w:tc>
          <w:tcPr>
            <w:tcW w:w="2870" w:type="dxa"/>
            <w:gridSpan w:val="3"/>
            <w:tcBorders>
              <w:top w:val="single" w:sz="4" w:space="0" w:color="auto"/>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Bilančný rozdiel k 31.12.2015</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 xml:space="preserve">Rozdiel  </w:t>
            </w:r>
          </w:p>
          <w:p w:rsidR="00AA736D" w:rsidRPr="00AA736D" w:rsidRDefault="00AA736D" w:rsidP="00AA736D">
            <w:pPr>
              <w:jc w:val="center"/>
              <w:rPr>
                <w:rFonts w:cs="Arial"/>
                <w:sz w:val="22"/>
                <w:szCs w:val="22"/>
              </w:rPr>
            </w:pPr>
            <w:r w:rsidRPr="00AA736D">
              <w:rPr>
                <w:rFonts w:cs="Arial"/>
                <w:sz w:val="22"/>
                <w:szCs w:val="22"/>
              </w:rPr>
              <w:t>2-1</w:t>
            </w:r>
          </w:p>
        </w:tc>
      </w:tr>
      <w:tr w:rsidR="00AA736D" w:rsidRPr="00AA736D" w:rsidTr="00565313">
        <w:tc>
          <w:tcPr>
            <w:tcW w:w="480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c>
          <w:tcPr>
            <w:tcW w:w="1452" w:type="dxa"/>
            <w:gridSpan w:val="2"/>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Schválený rozpočet </w:t>
            </w:r>
          </w:p>
        </w:tc>
        <w:tc>
          <w:tcPr>
            <w:tcW w:w="1418"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 xml:space="preserve">Očakávaná skutočnosť </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A736D" w:rsidRPr="00AA736D" w:rsidRDefault="00AA736D" w:rsidP="00AA736D">
            <w:pPr>
              <w:rPr>
                <w:rFonts w:cs="Arial"/>
                <w:sz w:val="22"/>
                <w:szCs w:val="22"/>
              </w:rPr>
            </w:pP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a</w:t>
            </w:r>
          </w:p>
        </w:tc>
        <w:tc>
          <w:tcPr>
            <w:tcW w:w="1452" w:type="dxa"/>
            <w:gridSpan w:val="2"/>
            <w:tcBorders>
              <w:top w:val="nil"/>
              <w:left w:val="nil"/>
              <w:bottom w:val="single" w:sz="4" w:space="0" w:color="auto"/>
              <w:right w:val="single" w:sz="4" w:space="0" w:color="auto"/>
            </w:tcBorders>
            <w:shd w:val="clear" w:color="auto" w:fill="auto"/>
            <w:noWrap/>
            <w:vAlign w:val="center"/>
            <w:hideMark/>
          </w:tcPr>
          <w:p w:rsidR="00AA736D" w:rsidRPr="00AA736D" w:rsidRDefault="00AA736D" w:rsidP="00AA736D">
            <w:pPr>
              <w:jc w:val="center"/>
              <w:rPr>
                <w:rFonts w:cs="Arial"/>
                <w:sz w:val="22"/>
                <w:szCs w:val="22"/>
              </w:rPr>
            </w:pPr>
            <w:r w:rsidRPr="00AA736D">
              <w:rPr>
                <w:rFonts w:cs="Arial"/>
                <w:sz w:val="22"/>
                <w:szCs w:val="22"/>
              </w:rPr>
              <w:t>1</w:t>
            </w:r>
          </w:p>
        </w:tc>
        <w:tc>
          <w:tcPr>
            <w:tcW w:w="1418"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2</w:t>
            </w:r>
          </w:p>
        </w:tc>
        <w:tc>
          <w:tcPr>
            <w:tcW w:w="1240" w:type="dxa"/>
            <w:tcBorders>
              <w:top w:val="nil"/>
              <w:left w:val="nil"/>
              <w:bottom w:val="single" w:sz="4" w:space="0" w:color="auto"/>
              <w:right w:val="single" w:sz="4" w:space="0" w:color="auto"/>
            </w:tcBorders>
            <w:shd w:val="clear" w:color="auto" w:fill="auto"/>
            <w:vAlign w:val="center"/>
            <w:hideMark/>
          </w:tcPr>
          <w:p w:rsidR="00AA736D" w:rsidRPr="00AA736D" w:rsidRDefault="00AA736D" w:rsidP="00AA736D">
            <w:pPr>
              <w:jc w:val="center"/>
              <w:rPr>
                <w:rFonts w:cs="Arial"/>
                <w:sz w:val="22"/>
                <w:szCs w:val="22"/>
              </w:rPr>
            </w:pPr>
            <w:r w:rsidRPr="00AA736D">
              <w:rPr>
                <w:rFonts w:cs="Arial"/>
                <w:sz w:val="22"/>
                <w:szCs w:val="22"/>
              </w:rPr>
              <w:t>3</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nemocenského poistenia</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35 000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35 000</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starobného poistenia</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239 550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221 424</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-18 126</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invalidného poistenia</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196 407</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206 522</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10 115</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úrazového poistenia</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5 000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5 000</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garančného poistenia</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5 000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5 000</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Základný fond poistenia v nezamestnanosti</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20 000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20 000</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Rezervný fond solidarity</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0</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Správny fond</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44 391</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34 877</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-9 514</w:t>
            </w:r>
          </w:p>
        </w:tc>
      </w:tr>
      <w:tr w:rsidR="00AA736D" w:rsidRPr="00AA736D" w:rsidTr="00565313">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AA736D" w:rsidRPr="00AA736D" w:rsidRDefault="00AA736D" w:rsidP="00AA736D">
            <w:pPr>
              <w:rPr>
                <w:rFonts w:cs="Arial"/>
                <w:sz w:val="22"/>
                <w:szCs w:val="22"/>
              </w:rPr>
            </w:pPr>
            <w:r w:rsidRPr="00AA736D">
              <w:rPr>
                <w:rFonts w:cs="Arial"/>
                <w:sz w:val="22"/>
                <w:szCs w:val="22"/>
              </w:rPr>
              <w:t>Spolu</w:t>
            </w:r>
          </w:p>
        </w:tc>
        <w:tc>
          <w:tcPr>
            <w:tcW w:w="1452" w:type="dxa"/>
            <w:gridSpan w:val="2"/>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545 348</w:t>
            </w:r>
          </w:p>
        </w:tc>
        <w:tc>
          <w:tcPr>
            <w:tcW w:w="1418"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527 823</w:t>
            </w:r>
          </w:p>
        </w:tc>
        <w:tc>
          <w:tcPr>
            <w:tcW w:w="1240" w:type="dxa"/>
            <w:tcBorders>
              <w:top w:val="nil"/>
              <w:left w:val="nil"/>
              <w:bottom w:val="single" w:sz="4" w:space="0" w:color="auto"/>
              <w:right w:val="single" w:sz="4" w:space="0" w:color="auto"/>
            </w:tcBorders>
            <w:shd w:val="clear" w:color="auto" w:fill="auto"/>
            <w:noWrap/>
            <w:vAlign w:val="center"/>
          </w:tcPr>
          <w:p w:rsidR="00AA736D" w:rsidRPr="00AA736D" w:rsidRDefault="00AA736D" w:rsidP="00AA736D">
            <w:pPr>
              <w:jc w:val="right"/>
              <w:rPr>
                <w:rFonts w:cs="Arial"/>
                <w:sz w:val="22"/>
                <w:szCs w:val="22"/>
              </w:rPr>
            </w:pPr>
            <w:r w:rsidRPr="00AA736D">
              <w:rPr>
                <w:rFonts w:cs="Arial"/>
                <w:sz w:val="22"/>
                <w:szCs w:val="22"/>
              </w:rPr>
              <w:t>-17 525</w:t>
            </w:r>
          </w:p>
        </w:tc>
      </w:tr>
    </w:tbl>
    <w:p w:rsidR="00AA736D" w:rsidRPr="00AA736D" w:rsidRDefault="00AA736D" w:rsidP="00AA736D">
      <w:pPr>
        <w:spacing w:before="240" w:after="120"/>
        <w:ind w:firstLine="720"/>
        <w:jc w:val="both"/>
        <w:rPr>
          <w:rFonts w:cs="Arial"/>
          <w:szCs w:val="24"/>
        </w:rPr>
      </w:pPr>
      <w:r w:rsidRPr="00AA736D">
        <w:rPr>
          <w:rFonts w:cs="Arial"/>
          <w:b/>
          <w:szCs w:val="24"/>
        </w:rPr>
        <w:t>Hospodárenie Sociálnej poisťovne v roku 2015 by malo skončiť bilančným rozdielom 527 823 tis. Eur</w:t>
      </w:r>
      <w:r w:rsidRPr="00AA736D">
        <w:rPr>
          <w:rFonts w:cs="Arial"/>
          <w:szCs w:val="24"/>
        </w:rPr>
        <w:t>.</w:t>
      </w:r>
    </w:p>
    <w:p w:rsidR="00AA736D" w:rsidRPr="00AA736D" w:rsidRDefault="00AA736D" w:rsidP="00AA736D">
      <w:pPr>
        <w:spacing w:before="240" w:after="120"/>
        <w:jc w:val="center"/>
        <w:rPr>
          <w:rFonts w:cs="Arial"/>
          <w:szCs w:val="24"/>
        </w:rPr>
      </w:pPr>
      <w:r w:rsidRPr="00AA736D">
        <w:rPr>
          <w:rFonts w:cs="Arial"/>
          <w:szCs w:val="24"/>
        </w:rPr>
        <w:lastRenderedPageBreak/>
        <w:t xml:space="preserve">x  </w:t>
      </w:r>
      <w:proofErr w:type="spellStart"/>
      <w:r w:rsidRPr="00AA736D">
        <w:rPr>
          <w:rFonts w:cs="Arial"/>
          <w:szCs w:val="24"/>
        </w:rPr>
        <w:t>x</w:t>
      </w:r>
      <w:proofErr w:type="spellEnd"/>
      <w:r w:rsidRPr="00AA736D">
        <w:rPr>
          <w:rFonts w:cs="Arial"/>
          <w:szCs w:val="24"/>
        </w:rPr>
        <w:t xml:space="preserve">  </w:t>
      </w:r>
      <w:proofErr w:type="spellStart"/>
      <w:r w:rsidRPr="00AA736D">
        <w:rPr>
          <w:rFonts w:cs="Arial"/>
          <w:szCs w:val="24"/>
        </w:rPr>
        <w:t>x</w:t>
      </w:r>
      <w:proofErr w:type="spellEnd"/>
    </w:p>
    <w:p w:rsidR="00AA736D" w:rsidRPr="00AA736D" w:rsidRDefault="00AA736D" w:rsidP="00AA736D">
      <w:pPr>
        <w:spacing w:before="120" w:after="120"/>
        <w:ind w:firstLine="720"/>
        <w:jc w:val="both"/>
        <w:rPr>
          <w:rFonts w:cs="Arial"/>
        </w:rPr>
      </w:pPr>
      <w:r w:rsidRPr="00AA736D">
        <w:rPr>
          <w:rFonts w:cs="Arial"/>
        </w:rPr>
        <w:t xml:space="preserve">Sociálna poisťovňa očakáva, že </w:t>
      </w:r>
      <w:r w:rsidRPr="00AA736D">
        <w:rPr>
          <w:rFonts w:cs="Arial"/>
          <w:b/>
        </w:rPr>
        <w:t>v roku 2015 postúpi príspevky na SDS</w:t>
      </w:r>
      <w:r w:rsidRPr="00AA736D">
        <w:rPr>
          <w:rFonts w:cs="Arial"/>
        </w:rPr>
        <w:t xml:space="preserve"> do DSS v sume </w:t>
      </w:r>
      <w:r w:rsidRPr="00AA736D">
        <w:rPr>
          <w:rFonts w:cs="Arial"/>
          <w:b/>
        </w:rPr>
        <w:t>445 915 tis. Eur</w:t>
      </w:r>
      <w:r w:rsidRPr="00AA736D">
        <w:rPr>
          <w:rFonts w:cs="Arial"/>
        </w:rPr>
        <w:t>.</w:t>
      </w:r>
    </w:p>
    <w:p w:rsidR="00032452" w:rsidRPr="00032452" w:rsidRDefault="00032452" w:rsidP="00AA736D">
      <w:pPr>
        <w:spacing w:after="120"/>
        <w:jc w:val="center"/>
        <w:rPr>
          <w:rFonts w:cs="Arial"/>
          <w:szCs w:val="24"/>
        </w:rPr>
      </w:pPr>
    </w:p>
    <w:sectPr w:rsidR="00032452" w:rsidRPr="00032452" w:rsidSect="00AA736D">
      <w:footerReference w:type="even" r:id="rId20"/>
      <w:footerReference w:type="default" r:id="rId21"/>
      <w:footerReference w:type="first" r:id="rId22"/>
      <w:pgSz w:w="11906" w:h="16838" w:code="9"/>
      <w:pgMar w:top="1135" w:right="1304" w:bottom="1304"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D2" w:rsidRDefault="009442D2">
      <w:r>
        <w:separator/>
      </w:r>
    </w:p>
  </w:endnote>
  <w:endnote w:type="continuationSeparator" w:id="0">
    <w:p w:rsidR="009442D2" w:rsidRDefault="009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57" w:rsidRPr="00657CB2" w:rsidRDefault="00F36D06" w:rsidP="00657CB2">
    <w:pPr>
      <w:pStyle w:val="Pta"/>
      <w:jc w:val="center"/>
      <w:rPr>
        <w:rFonts w:ascii="Arial" w:hAnsi="Arial" w:cs="Arial"/>
        <w:sz w:val="24"/>
        <w:szCs w:val="24"/>
      </w:rPr>
    </w:pPr>
    <w:r w:rsidRPr="00657CB2">
      <w:rPr>
        <w:rFonts w:ascii="Arial" w:hAnsi="Arial" w:cs="Arial"/>
        <w:sz w:val="24"/>
        <w:szCs w:val="24"/>
      </w:rPr>
      <w:t>BRATISLAVA</w:t>
    </w:r>
    <w:r w:rsidRPr="00657CB2">
      <w:rPr>
        <w:rFonts w:ascii="Arial" w:hAnsi="Arial" w:cs="Arial"/>
        <w:sz w:val="24"/>
        <w:szCs w:val="24"/>
      </w:rPr>
      <w:br/>
    </w:r>
    <w:r w:rsidR="007D7F36">
      <w:rPr>
        <w:rFonts w:ascii="Arial" w:hAnsi="Arial" w:cs="Arial"/>
        <w:sz w:val="24"/>
        <w:szCs w:val="24"/>
      </w:rPr>
      <w:t>august</w:t>
    </w:r>
    <w:r w:rsidR="007B2BCA">
      <w:rPr>
        <w:rFonts w:ascii="Arial" w:hAnsi="Arial" w:cs="Arial"/>
        <w:sz w:val="24"/>
        <w:szCs w:val="24"/>
      </w:rPr>
      <w:t xml:space="preserve"> </w:t>
    </w:r>
    <w:r w:rsidR="004869C8">
      <w:rPr>
        <w:rFonts w:ascii="Arial" w:hAnsi="Arial" w:cs="Arial"/>
        <w:sz w:val="24"/>
        <w:szCs w:val="24"/>
      </w:rPr>
      <w:t xml:space="preserve"> </w:t>
    </w:r>
    <w:r w:rsidRPr="00657CB2">
      <w:rPr>
        <w:rFonts w:ascii="Arial" w:hAnsi="Arial" w:cs="Arial"/>
        <w:sz w:val="24"/>
        <w:szCs w:val="24"/>
      </w:rPr>
      <w:t>20</w:t>
    </w:r>
    <w:r>
      <w:rPr>
        <w:rFonts w:ascii="Arial" w:hAnsi="Arial" w:cs="Arial"/>
        <w:sz w:val="24"/>
        <w:szCs w:val="24"/>
      </w:rPr>
      <w:t>1</w:t>
    </w:r>
    <w:r w:rsidR="00E03950">
      <w:rPr>
        <w:rFonts w:ascii="Arial" w:hAnsi="Arial" w:cs="Arial"/>
        <w:sz w:val="24"/>
        <w:szCs w:val="24"/>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568585"/>
      <w:docPartObj>
        <w:docPartGallery w:val="Page Numbers (Bottom of Page)"/>
        <w:docPartUnique/>
      </w:docPartObj>
    </w:sdtPr>
    <w:sdtEndPr/>
    <w:sdtContent>
      <w:p w:rsidR="002E3D3A" w:rsidRDefault="00F36D06">
        <w:pPr>
          <w:pStyle w:val="Pta"/>
          <w:jc w:val="right"/>
        </w:pPr>
        <w:r>
          <w:fldChar w:fldCharType="begin"/>
        </w:r>
        <w:r>
          <w:instrText>PAGE   \* MERGEFORMAT</w:instrText>
        </w:r>
        <w:r>
          <w:fldChar w:fldCharType="separate"/>
        </w:r>
        <w:r w:rsidR="00AA736D">
          <w:rPr>
            <w:noProof/>
          </w:rPr>
          <w:t>4</w:t>
        </w:r>
        <w:r>
          <w:fldChar w:fldCharType="end"/>
        </w:r>
      </w:p>
    </w:sdtContent>
  </w:sdt>
  <w:p w:rsidR="002E3D3A" w:rsidRDefault="009442D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57" w:rsidRPr="00657CB2" w:rsidRDefault="009442D2" w:rsidP="00657CB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3A" w:rsidRPr="00657CB2" w:rsidRDefault="009442D2" w:rsidP="00657CB2">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F" w:rsidRDefault="001933FE" w:rsidP="000B64A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9433EF" w:rsidRDefault="009442D2" w:rsidP="008E6E56">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EF" w:rsidRDefault="001933FE" w:rsidP="000B64A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35BB3">
      <w:rPr>
        <w:rStyle w:val="slostrany"/>
        <w:noProof/>
      </w:rPr>
      <w:t>5</w:t>
    </w:r>
    <w:r>
      <w:rPr>
        <w:rStyle w:val="slostrany"/>
      </w:rPr>
      <w:fldChar w:fldCharType="end"/>
    </w:r>
  </w:p>
  <w:p w:rsidR="009433EF" w:rsidRDefault="009442D2" w:rsidP="008E6E56">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19064"/>
      <w:docPartObj>
        <w:docPartGallery w:val="Page Numbers (Bottom of Page)"/>
        <w:docPartUnique/>
      </w:docPartObj>
    </w:sdtPr>
    <w:sdtEndPr/>
    <w:sdtContent>
      <w:p w:rsidR="00AA736D" w:rsidRDefault="00AA736D">
        <w:pPr>
          <w:pStyle w:val="Pta"/>
          <w:jc w:val="right"/>
        </w:pPr>
        <w:r>
          <w:fldChar w:fldCharType="begin"/>
        </w:r>
        <w:r>
          <w:instrText>PAGE   \* MERGEFORMAT</w:instrText>
        </w:r>
        <w:r>
          <w:fldChar w:fldCharType="separate"/>
        </w:r>
        <w:r w:rsidR="00635BB3">
          <w:rPr>
            <w:noProof/>
          </w:rPr>
          <w:t>1</w:t>
        </w:r>
        <w:r>
          <w:fldChar w:fldCharType="end"/>
        </w:r>
      </w:p>
    </w:sdtContent>
  </w:sdt>
  <w:p w:rsidR="00AA736D" w:rsidRDefault="00AA736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D2" w:rsidRDefault="009442D2">
      <w:r>
        <w:separator/>
      </w:r>
    </w:p>
  </w:footnote>
  <w:footnote w:type="continuationSeparator" w:id="0">
    <w:p w:rsidR="009442D2" w:rsidRDefault="00944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57" w:rsidRDefault="009442D2">
    <w:pPr>
      <w:pStyle w:val="Hlavik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5pt;margin-top:16.3pt;width:190.2pt;height:69.85pt;z-index:251659264">
          <v:imagedata r:id="rId1" o:title=""/>
          <w10:wrap type="topAndBottom"/>
        </v:shape>
        <o:OLEObject Type="Embed" ProgID="CorelDraw.Graphic.8" ShapeID="_x0000_s2049" DrawAspect="Content" ObjectID="_1500197418" r:id="rId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57" w:rsidRDefault="009442D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DEA"/>
    <w:multiLevelType w:val="hybridMultilevel"/>
    <w:tmpl w:val="F1062A84"/>
    <w:lvl w:ilvl="0" w:tplc="041B000B">
      <w:start w:val="1"/>
      <w:numFmt w:val="bullet"/>
      <w:lvlText w:val=""/>
      <w:lvlJc w:val="left"/>
      <w:pPr>
        <w:tabs>
          <w:tab w:val="num" w:pos="1425"/>
        </w:tabs>
        <w:ind w:left="1425"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4F319B7"/>
    <w:multiLevelType w:val="hybridMultilevel"/>
    <w:tmpl w:val="8EE4528A"/>
    <w:lvl w:ilvl="0" w:tplc="FF503982">
      <w:start w:val="9"/>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
    <w:nsid w:val="0BC7734D"/>
    <w:multiLevelType w:val="hybridMultilevel"/>
    <w:tmpl w:val="4B80F9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F732C2"/>
    <w:multiLevelType w:val="hybridMultilevel"/>
    <w:tmpl w:val="89061C6E"/>
    <w:lvl w:ilvl="0" w:tplc="275AF9EC">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C827C83"/>
    <w:multiLevelType w:val="hybridMultilevel"/>
    <w:tmpl w:val="07AE2312"/>
    <w:lvl w:ilvl="0" w:tplc="14A6A554">
      <w:numFmt w:val="bullet"/>
      <w:lvlText w:val=""/>
      <w:lvlJc w:val="left"/>
      <w:pPr>
        <w:ind w:left="1080" w:hanging="360"/>
      </w:pPr>
      <w:rPr>
        <w:rFonts w:ascii="Symbol" w:eastAsia="Times New Roman" w:hAnsi="Symbo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0DD4239F"/>
    <w:multiLevelType w:val="singleLevel"/>
    <w:tmpl w:val="041B0003"/>
    <w:lvl w:ilvl="0">
      <w:start w:val="1"/>
      <w:numFmt w:val="bullet"/>
      <w:lvlText w:val=""/>
      <w:lvlJc w:val="left"/>
      <w:pPr>
        <w:tabs>
          <w:tab w:val="num" w:pos="360"/>
        </w:tabs>
        <w:ind w:left="360" w:hanging="360"/>
      </w:pPr>
      <w:rPr>
        <w:rFonts w:ascii="Symbol" w:hAnsi="Symbol" w:hint="default"/>
      </w:rPr>
    </w:lvl>
  </w:abstractNum>
  <w:abstractNum w:abstractNumId="6">
    <w:nsid w:val="102638EE"/>
    <w:multiLevelType w:val="hybridMultilevel"/>
    <w:tmpl w:val="60565CB2"/>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29648D3"/>
    <w:multiLevelType w:val="singleLevel"/>
    <w:tmpl w:val="041B000B"/>
    <w:lvl w:ilvl="0">
      <w:start w:val="1"/>
      <w:numFmt w:val="bullet"/>
      <w:lvlText w:val=""/>
      <w:lvlJc w:val="left"/>
      <w:pPr>
        <w:tabs>
          <w:tab w:val="num" w:pos="360"/>
        </w:tabs>
        <w:ind w:left="360" w:hanging="360"/>
      </w:pPr>
      <w:rPr>
        <w:rFonts w:ascii="Wingdings" w:hAnsi="Wingdings" w:hint="default"/>
      </w:rPr>
    </w:lvl>
  </w:abstractNum>
  <w:abstractNum w:abstractNumId="8">
    <w:nsid w:val="12D47E7B"/>
    <w:multiLevelType w:val="hybridMultilevel"/>
    <w:tmpl w:val="0EB80FF6"/>
    <w:lvl w:ilvl="0" w:tplc="6CC05FF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BEC55D7"/>
    <w:multiLevelType w:val="multilevel"/>
    <w:tmpl w:val="B44A0904"/>
    <w:lvl w:ilvl="0">
      <w:start w:val="3"/>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E360EC"/>
    <w:multiLevelType w:val="hybridMultilevel"/>
    <w:tmpl w:val="1830572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08C40E5"/>
    <w:multiLevelType w:val="multilevel"/>
    <w:tmpl w:val="EC04DB80"/>
    <w:lvl w:ilvl="0">
      <w:start w:val="3"/>
      <w:numFmt w:val="decimal"/>
      <w:lvlText w:val="%1."/>
      <w:lvlJc w:val="left"/>
      <w:pPr>
        <w:ind w:left="390" w:hanging="390"/>
      </w:pPr>
      <w:rPr>
        <w:rFonts w:hint="default"/>
        <w:b/>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2">
    <w:nsid w:val="21364835"/>
    <w:multiLevelType w:val="hybridMultilevel"/>
    <w:tmpl w:val="7966E082"/>
    <w:lvl w:ilvl="0" w:tplc="C0A2913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1C11EF4"/>
    <w:multiLevelType w:val="hybridMultilevel"/>
    <w:tmpl w:val="6410357E"/>
    <w:lvl w:ilvl="0" w:tplc="041B000B">
      <w:start w:val="1"/>
      <w:numFmt w:val="bullet"/>
      <w:lvlText w:val=""/>
      <w:lvlJc w:val="left"/>
      <w:pPr>
        <w:tabs>
          <w:tab w:val="num" w:pos="1425"/>
        </w:tabs>
        <w:ind w:left="1425"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5055D2F"/>
    <w:multiLevelType w:val="hybridMultilevel"/>
    <w:tmpl w:val="2092CCE6"/>
    <w:lvl w:ilvl="0" w:tplc="041B000B">
      <w:start w:val="1"/>
      <w:numFmt w:val="bullet"/>
      <w:lvlText w:val=""/>
      <w:lvlJc w:val="left"/>
      <w:pPr>
        <w:tabs>
          <w:tab w:val="num" w:pos="1500"/>
        </w:tabs>
        <w:ind w:left="1500" w:hanging="360"/>
      </w:pPr>
      <w:rPr>
        <w:rFonts w:ascii="Wingdings" w:hAnsi="Wingdings" w:hint="default"/>
      </w:rPr>
    </w:lvl>
    <w:lvl w:ilvl="1" w:tplc="041B0003" w:tentative="1">
      <w:start w:val="1"/>
      <w:numFmt w:val="bullet"/>
      <w:lvlText w:val="o"/>
      <w:lvlJc w:val="left"/>
      <w:pPr>
        <w:tabs>
          <w:tab w:val="num" w:pos="2220"/>
        </w:tabs>
        <w:ind w:left="2220" w:hanging="360"/>
      </w:pPr>
      <w:rPr>
        <w:rFonts w:ascii="Courier New" w:hAnsi="Courier New" w:cs="Courier New" w:hint="default"/>
      </w:rPr>
    </w:lvl>
    <w:lvl w:ilvl="2" w:tplc="041B0005" w:tentative="1">
      <w:start w:val="1"/>
      <w:numFmt w:val="bullet"/>
      <w:lvlText w:val=""/>
      <w:lvlJc w:val="left"/>
      <w:pPr>
        <w:tabs>
          <w:tab w:val="num" w:pos="2940"/>
        </w:tabs>
        <w:ind w:left="2940" w:hanging="360"/>
      </w:pPr>
      <w:rPr>
        <w:rFonts w:ascii="Wingdings" w:hAnsi="Wingdings" w:hint="default"/>
      </w:rPr>
    </w:lvl>
    <w:lvl w:ilvl="3" w:tplc="041B0001" w:tentative="1">
      <w:start w:val="1"/>
      <w:numFmt w:val="bullet"/>
      <w:lvlText w:val=""/>
      <w:lvlJc w:val="left"/>
      <w:pPr>
        <w:tabs>
          <w:tab w:val="num" w:pos="3660"/>
        </w:tabs>
        <w:ind w:left="3660" w:hanging="360"/>
      </w:pPr>
      <w:rPr>
        <w:rFonts w:ascii="Symbol" w:hAnsi="Symbol" w:hint="default"/>
      </w:rPr>
    </w:lvl>
    <w:lvl w:ilvl="4" w:tplc="041B0003" w:tentative="1">
      <w:start w:val="1"/>
      <w:numFmt w:val="bullet"/>
      <w:lvlText w:val="o"/>
      <w:lvlJc w:val="left"/>
      <w:pPr>
        <w:tabs>
          <w:tab w:val="num" w:pos="4380"/>
        </w:tabs>
        <w:ind w:left="4380" w:hanging="360"/>
      </w:pPr>
      <w:rPr>
        <w:rFonts w:ascii="Courier New" w:hAnsi="Courier New" w:cs="Courier New" w:hint="default"/>
      </w:rPr>
    </w:lvl>
    <w:lvl w:ilvl="5" w:tplc="041B0005" w:tentative="1">
      <w:start w:val="1"/>
      <w:numFmt w:val="bullet"/>
      <w:lvlText w:val=""/>
      <w:lvlJc w:val="left"/>
      <w:pPr>
        <w:tabs>
          <w:tab w:val="num" w:pos="5100"/>
        </w:tabs>
        <w:ind w:left="5100" w:hanging="360"/>
      </w:pPr>
      <w:rPr>
        <w:rFonts w:ascii="Wingdings" w:hAnsi="Wingdings" w:hint="default"/>
      </w:rPr>
    </w:lvl>
    <w:lvl w:ilvl="6" w:tplc="041B0001" w:tentative="1">
      <w:start w:val="1"/>
      <w:numFmt w:val="bullet"/>
      <w:lvlText w:val=""/>
      <w:lvlJc w:val="left"/>
      <w:pPr>
        <w:tabs>
          <w:tab w:val="num" w:pos="5820"/>
        </w:tabs>
        <w:ind w:left="5820" w:hanging="360"/>
      </w:pPr>
      <w:rPr>
        <w:rFonts w:ascii="Symbol" w:hAnsi="Symbol" w:hint="default"/>
      </w:rPr>
    </w:lvl>
    <w:lvl w:ilvl="7" w:tplc="041B0003" w:tentative="1">
      <w:start w:val="1"/>
      <w:numFmt w:val="bullet"/>
      <w:lvlText w:val="o"/>
      <w:lvlJc w:val="left"/>
      <w:pPr>
        <w:tabs>
          <w:tab w:val="num" w:pos="6540"/>
        </w:tabs>
        <w:ind w:left="6540" w:hanging="360"/>
      </w:pPr>
      <w:rPr>
        <w:rFonts w:ascii="Courier New" w:hAnsi="Courier New" w:cs="Courier New" w:hint="default"/>
      </w:rPr>
    </w:lvl>
    <w:lvl w:ilvl="8" w:tplc="041B0005" w:tentative="1">
      <w:start w:val="1"/>
      <w:numFmt w:val="bullet"/>
      <w:lvlText w:val=""/>
      <w:lvlJc w:val="left"/>
      <w:pPr>
        <w:tabs>
          <w:tab w:val="num" w:pos="7260"/>
        </w:tabs>
        <w:ind w:left="7260" w:hanging="360"/>
      </w:pPr>
      <w:rPr>
        <w:rFonts w:ascii="Wingdings" w:hAnsi="Wingdings" w:hint="default"/>
      </w:rPr>
    </w:lvl>
  </w:abstractNum>
  <w:abstractNum w:abstractNumId="15">
    <w:nsid w:val="29C93B14"/>
    <w:multiLevelType w:val="multilevel"/>
    <w:tmpl w:val="5EBCDFCE"/>
    <w:lvl w:ilvl="0">
      <w:start w:val="3"/>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F33C7D"/>
    <w:multiLevelType w:val="hybridMultilevel"/>
    <w:tmpl w:val="9FA64606"/>
    <w:lvl w:ilvl="0" w:tplc="041B000B">
      <w:start w:val="1"/>
      <w:numFmt w:val="bullet"/>
      <w:lvlText w:val=""/>
      <w:lvlJc w:val="left"/>
      <w:pPr>
        <w:tabs>
          <w:tab w:val="num" w:pos="780"/>
        </w:tabs>
        <w:ind w:left="780" w:hanging="360"/>
      </w:pPr>
      <w:rPr>
        <w:rFonts w:ascii="Wingdings" w:hAnsi="Wingdings"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7">
    <w:nsid w:val="2CEE7005"/>
    <w:multiLevelType w:val="hybridMultilevel"/>
    <w:tmpl w:val="7A28AF2E"/>
    <w:lvl w:ilvl="0" w:tplc="041B000B">
      <w:start w:val="1"/>
      <w:numFmt w:val="bullet"/>
      <w:lvlText w:val=""/>
      <w:lvlJc w:val="left"/>
      <w:pPr>
        <w:tabs>
          <w:tab w:val="num" w:pos="1440"/>
        </w:tabs>
        <w:ind w:left="1440" w:hanging="360"/>
      </w:pPr>
      <w:rPr>
        <w:rFonts w:ascii="Wingdings" w:hAnsi="Wingdings"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8">
    <w:nsid w:val="328D1118"/>
    <w:multiLevelType w:val="hybridMultilevel"/>
    <w:tmpl w:val="FCBE8B50"/>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330F0A26"/>
    <w:multiLevelType w:val="hybridMultilevel"/>
    <w:tmpl w:val="1DC4385C"/>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383F0224"/>
    <w:multiLevelType w:val="hybridMultilevel"/>
    <w:tmpl w:val="806044AA"/>
    <w:lvl w:ilvl="0" w:tplc="041B000B">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380"/>
        </w:tabs>
        <w:ind w:left="1380" w:hanging="360"/>
      </w:pPr>
      <w:rPr>
        <w:rFonts w:ascii="Courier New" w:hAnsi="Courier New" w:cs="Courier New" w:hint="default"/>
      </w:rPr>
    </w:lvl>
    <w:lvl w:ilvl="2" w:tplc="041B0005" w:tentative="1">
      <w:start w:val="1"/>
      <w:numFmt w:val="bullet"/>
      <w:lvlText w:val=""/>
      <w:lvlJc w:val="left"/>
      <w:pPr>
        <w:tabs>
          <w:tab w:val="num" w:pos="2100"/>
        </w:tabs>
        <w:ind w:left="2100" w:hanging="360"/>
      </w:pPr>
      <w:rPr>
        <w:rFonts w:ascii="Wingdings" w:hAnsi="Wingdings" w:hint="default"/>
      </w:rPr>
    </w:lvl>
    <w:lvl w:ilvl="3" w:tplc="041B0001" w:tentative="1">
      <w:start w:val="1"/>
      <w:numFmt w:val="bullet"/>
      <w:lvlText w:val=""/>
      <w:lvlJc w:val="left"/>
      <w:pPr>
        <w:tabs>
          <w:tab w:val="num" w:pos="2820"/>
        </w:tabs>
        <w:ind w:left="2820" w:hanging="360"/>
      </w:pPr>
      <w:rPr>
        <w:rFonts w:ascii="Symbol" w:hAnsi="Symbol" w:hint="default"/>
      </w:rPr>
    </w:lvl>
    <w:lvl w:ilvl="4" w:tplc="041B0003" w:tentative="1">
      <w:start w:val="1"/>
      <w:numFmt w:val="bullet"/>
      <w:lvlText w:val="o"/>
      <w:lvlJc w:val="left"/>
      <w:pPr>
        <w:tabs>
          <w:tab w:val="num" w:pos="3540"/>
        </w:tabs>
        <w:ind w:left="3540" w:hanging="360"/>
      </w:pPr>
      <w:rPr>
        <w:rFonts w:ascii="Courier New" w:hAnsi="Courier New" w:cs="Courier New" w:hint="default"/>
      </w:rPr>
    </w:lvl>
    <w:lvl w:ilvl="5" w:tplc="041B0005" w:tentative="1">
      <w:start w:val="1"/>
      <w:numFmt w:val="bullet"/>
      <w:lvlText w:val=""/>
      <w:lvlJc w:val="left"/>
      <w:pPr>
        <w:tabs>
          <w:tab w:val="num" w:pos="4260"/>
        </w:tabs>
        <w:ind w:left="4260" w:hanging="360"/>
      </w:pPr>
      <w:rPr>
        <w:rFonts w:ascii="Wingdings" w:hAnsi="Wingdings" w:hint="default"/>
      </w:rPr>
    </w:lvl>
    <w:lvl w:ilvl="6" w:tplc="041B0001" w:tentative="1">
      <w:start w:val="1"/>
      <w:numFmt w:val="bullet"/>
      <w:lvlText w:val=""/>
      <w:lvlJc w:val="left"/>
      <w:pPr>
        <w:tabs>
          <w:tab w:val="num" w:pos="4980"/>
        </w:tabs>
        <w:ind w:left="4980" w:hanging="360"/>
      </w:pPr>
      <w:rPr>
        <w:rFonts w:ascii="Symbol" w:hAnsi="Symbol" w:hint="default"/>
      </w:rPr>
    </w:lvl>
    <w:lvl w:ilvl="7" w:tplc="041B0003" w:tentative="1">
      <w:start w:val="1"/>
      <w:numFmt w:val="bullet"/>
      <w:lvlText w:val="o"/>
      <w:lvlJc w:val="left"/>
      <w:pPr>
        <w:tabs>
          <w:tab w:val="num" w:pos="5700"/>
        </w:tabs>
        <w:ind w:left="5700" w:hanging="360"/>
      </w:pPr>
      <w:rPr>
        <w:rFonts w:ascii="Courier New" w:hAnsi="Courier New" w:cs="Courier New" w:hint="default"/>
      </w:rPr>
    </w:lvl>
    <w:lvl w:ilvl="8" w:tplc="041B0005" w:tentative="1">
      <w:start w:val="1"/>
      <w:numFmt w:val="bullet"/>
      <w:lvlText w:val=""/>
      <w:lvlJc w:val="left"/>
      <w:pPr>
        <w:tabs>
          <w:tab w:val="num" w:pos="6420"/>
        </w:tabs>
        <w:ind w:left="6420" w:hanging="360"/>
      </w:pPr>
      <w:rPr>
        <w:rFonts w:ascii="Wingdings" w:hAnsi="Wingdings" w:hint="default"/>
      </w:rPr>
    </w:lvl>
  </w:abstractNum>
  <w:abstractNum w:abstractNumId="21">
    <w:nsid w:val="3DA52B05"/>
    <w:multiLevelType w:val="multilevel"/>
    <w:tmpl w:val="1F9E792A"/>
    <w:lvl w:ilvl="0">
      <w:start w:val="3"/>
      <w:numFmt w:val="decimal"/>
      <w:lvlText w:val="%1."/>
      <w:lvlJc w:val="left"/>
      <w:pPr>
        <w:ind w:left="390" w:hanging="390"/>
      </w:pPr>
      <w:rPr>
        <w:rFonts w:hint="default"/>
        <w:b/>
        <w:color w:val="000000"/>
      </w:rPr>
    </w:lvl>
    <w:lvl w:ilvl="1">
      <w:start w:val="3"/>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2">
    <w:nsid w:val="412157FF"/>
    <w:multiLevelType w:val="hybridMultilevel"/>
    <w:tmpl w:val="B81694EE"/>
    <w:lvl w:ilvl="0" w:tplc="C4407CDE">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435018CC"/>
    <w:multiLevelType w:val="hybridMultilevel"/>
    <w:tmpl w:val="4F9680EE"/>
    <w:lvl w:ilvl="0" w:tplc="0784B7A2">
      <w:start w:val="4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6B26F94"/>
    <w:multiLevelType w:val="multilevel"/>
    <w:tmpl w:val="B61E30E4"/>
    <w:lvl w:ilvl="0">
      <w:start w:val="3"/>
      <w:numFmt w:val="decimal"/>
      <w:lvlText w:val="%1."/>
      <w:lvlJc w:val="left"/>
      <w:pPr>
        <w:tabs>
          <w:tab w:val="num" w:pos="390"/>
        </w:tabs>
        <w:ind w:left="390" w:hanging="39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497B48C8"/>
    <w:multiLevelType w:val="hybridMultilevel"/>
    <w:tmpl w:val="6948548A"/>
    <w:lvl w:ilvl="0" w:tplc="4BE62390">
      <w:start w:val="3"/>
      <w:numFmt w:val="decimal"/>
      <w:lvlText w:val="%1."/>
      <w:lvlJc w:val="left"/>
      <w:pPr>
        <w:tabs>
          <w:tab w:val="num" w:pos="5220"/>
        </w:tabs>
        <w:ind w:left="5220" w:hanging="360"/>
      </w:pPr>
      <w:rPr>
        <w:rFonts w:hint="default"/>
      </w:rPr>
    </w:lvl>
    <w:lvl w:ilvl="1" w:tplc="985ECB50" w:tentative="1">
      <w:start w:val="1"/>
      <w:numFmt w:val="lowerLetter"/>
      <w:lvlText w:val="%2."/>
      <w:lvlJc w:val="left"/>
      <w:pPr>
        <w:tabs>
          <w:tab w:val="num" w:pos="5940"/>
        </w:tabs>
        <w:ind w:left="5940" w:hanging="360"/>
      </w:pPr>
    </w:lvl>
    <w:lvl w:ilvl="2" w:tplc="55201164" w:tentative="1">
      <w:start w:val="1"/>
      <w:numFmt w:val="lowerRoman"/>
      <w:lvlText w:val="%3."/>
      <w:lvlJc w:val="right"/>
      <w:pPr>
        <w:tabs>
          <w:tab w:val="num" w:pos="6660"/>
        </w:tabs>
        <w:ind w:left="6660" w:hanging="180"/>
      </w:pPr>
    </w:lvl>
    <w:lvl w:ilvl="3" w:tplc="7C9CFFB2" w:tentative="1">
      <w:start w:val="1"/>
      <w:numFmt w:val="decimal"/>
      <w:lvlText w:val="%4."/>
      <w:lvlJc w:val="left"/>
      <w:pPr>
        <w:tabs>
          <w:tab w:val="num" w:pos="7380"/>
        </w:tabs>
        <w:ind w:left="7380" w:hanging="360"/>
      </w:pPr>
    </w:lvl>
    <w:lvl w:ilvl="4" w:tplc="06A64C18" w:tentative="1">
      <w:start w:val="1"/>
      <w:numFmt w:val="lowerLetter"/>
      <w:lvlText w:val="%5."/>
      <w:lvlJc w:val="left"/>
      <w:pPr>
        <w:tabs>
          <w:tab w:val="num" w:pos="8100"/>
        </w:tabs>
        <w:ind w:left="8100" w:hanging="360"/>
      </w:pPr>
    </w:lvl>
    <w:lvl w:ilvl="5" w:tplc="C6869294" w:tentative="1">
      <w:start w:val="1"/>
      <w:numFmt w:val="lowerRoman"/>
      <w:lvlText w:val="%6."/>
      <w:lvlJc w:val="right"/>
      <w:pPr>
        <w:tabs>
          <w:tab w:val="num" w:pos="8820"/>
        </w:tabs>
        <w:ind w:left="8820" w:hanging="180"/>
      </w:pPr>
    </w:lvl>
    <w:lvl w:ilvl="6" w:tplc="99F27AE2" w:tentative="1">
      <w:start w:val="1"/>
      <w:numFmt w:val="decimal"/>
      <w:lvlText w:val="%7."/>
      <w:lvlJc w:val="left"/>
      <w:pPr>
        <w:tabs>
          <w:tab w:val="num" w:pos="9540"/>
        </w:tabs>
        <w:ind w:left="9540" w:hanging="360"/>
      </w:pPr>
    </w:lvl>
    <w:lvl w:ilvl="7" w:tplc="95D2108C" w:tentative="1">
      <w:start w:val="1"/>
      <w:numFmt w:val="lowerLetter"/>
      <w:lvlText w:val="%8."/>
      <w:lvlJc w:val="left"/>
      <w:pPr>
        <w:tabs>
          <w:tab w:val="num" w:pos="10260"/>
        </w:tabs>
        <w:ind w:left="10260" w:hanging="360"/>
      </w:pPr>
    </w:lvl>
    <w:lvl w:ilvl="8" w:tplc="23EA4332" w:tentative="1">
      <w:start w:val="1"/>
      <w:numFmt w:val="lowerRoman"/>
      <w:lvlText w:val="%9."/>
      <w:lvlJc w:val="right"/>
      <w:pPr>
        <w:tabs>
          <w:tab w:val="num" w:pos="10980"/>
        </w:tabs>
        <w:ind w:left="10980" w:hanging="180"/>
      </w:pPr>
    </w:lvl>
  </w:abstractNum>
  <w:abstractNum w:abstractNumId="26">
    <w:nsid w:val="4C4F4438"/>
    <w:multiLevelType w:val="hybridMultilevel"/>
    <w:tmpl w:val="A84CF6E6"/>
    <w:lvl w:ilvl="0" w:tplc="3F7839E0">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53883DFA"/>
    <w:multiLevelType w:val="hybridMultilevel"/>
    <w:tmpl w:val="BA84F284"/>
    <w:lvl w:ilvl="0" w:tplc="5C1E409A">
      <w:start w:val="1"/>
      <w:numFmt w:val="bullet"/>
      <w:lvlText w:val=""/>
      <w:lvlJc w:val="left"/>
      <w:pPr>
        <w:tabs>
          <w:tab w:val="num" w:pos="1428"/>
        </w:tabs>
        <w:ind w:left="1428" w:hanging="360"/>
      </w:pPr>
      <w:rPr>
        <w:rFonts w:ascii="Wingdings" w:hAnsi="Wingdings"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28">
    <w:nsid w:val="547A1186"/>
    <w:multiLevelType w:val="multilevel"/>
    <w:tmpl w:val="05BA1AF8"/>
    <w:lvl w:ilvl="0">
      <w:start w:val="3"/>
      <w:numFmt w:val="decimal"/>
      <w:lvlText w:val="%1."/>
      <w:lvlJc w:val="left"/>
      <w:pPr>
        <w:ind w:left="390" w:hanging="390"/>
      </w:pPr>
      <w:rPr>
        <w:rFonts w:hint="default"/>
        <w:b/>
        <w:color w:val="000000"/>
      </w:rPr>
    </w:lvl>
    <w:lvl w:ilvl="1">
      <w:start w:val="3"/>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9">
    <w:nsid w:val="55195C81"/>
    <w:multiLevelType w:val="hybridMultilevel"/>
    <w:tmpl w:val="CC5A5186"/>
    <w:lvl w:ilvl="0" w:tplc="B5A64EAE">
      <w:start w:val="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6A0023F"/>
    <w:multiLevelType w:val="hybridMultilevel"/>
    <w:tmpl w:val="0A0CB62A"/>
    <w:lvl w:ilvl="0" w:tplc="74EC26B4">
      <w:start w:val="3"/>
      <w:numFmt w:val="bullet"/>
      <w:lvlText w:val="-"/>
      <w:lvlJc w:val="left"/>
      <w:pPr>
        <w:tabs>
          <w:tab w:val="num" w:pos="644"/>
        </w:tabs>
        <w:ind w:left="644" w:hanging="360"/>
      </w:pPr>
      <w:rPr>
        <w:rFonts w:ascii="Arial" w:eastAsia="Times New Roman" w:hAnsi="Arial" w:cs="Arial" w:hint="default"/>
      </w:rPr>
    </w:lvl>
    <w:lvl w:ilvl="1" w:tplc="041B0003" w:tentative="1">
      <w:start w:val="1"/>
      <w:numFmt w:val="bullet"/>
      <w:lvlText w:val="o"/>
      <w:lvlJc w:val="left"/>
      <w:pPr>
        <w:tabs>
          <w:tab w:val="num" w:pos="1364"/>
        </w:tabs>
        <w:ind w:left="1364" w:hanging="360"/>
      </w:pPr>
      <w:rPr>
        <w:rFonts w:ascii="Courier New" w:hAnsi="Courier New" w:cs="Courier New" w:hint="default"/>
      </w:rPr>
    </w:lvl>
    <w:lvl w:ilvl="2" w:tplc="041B0005" w:tentative="1">
      <w:start w:val="1"/>
      <w:numFmt w:val="bullet"/>
      <w:lvlText w:val=""/>
      <w:lvlJc w:val="left"/>
      <w:pPr>
        <w:tabs>
          <w:tab w:val="num" w:pos="2084"/>
        </w:tabs>
        <w:ind w:left="2084" w:hanging="360"/>
      </w:pPr>
      <w:rPr>
        <w:rFonts w:ascii="Wingdings" w:hAnsi="Wingdings" w:hint="default"/>
      </w:rPr>
    </w:lvl>
    <w:lvl w:ilvl="3" w:tplc="041B0001" w:tentative="1">
      <w:start w:val="1"/>
      <w:numFmt w:val="bullet"/>
      <w:lvlText w:val=""/>
      <w:lvlJc w:val="left"/>
      <w:pPr>
        <w:tabs>
          <w:tab w:val="num" w:pos="2804"/>
        </w:tabs>
        <w:ind w:left="2804" w:hanging="360"/>
      </w:pPr>
      <w:rPr>
        <w:rFonts w:ascii="Symbol" w:hAnsi="Symbol" w:hint="default"/>
      </w:rPr>
    </w:lvl>
    <w:lvl w:ilvl="4" w:tplc="041B0003" w:tentative="1">
      <w:start w:val="1"/>
      <w:numFmt w:val="bullet"/>
      <w:lvlText w:val="o"/>
      <w:lvlJc w:val="left"/>
      <w:pPr>
        <w:tabs>
          <w:tab w:val="num" w:pos="3524"/>
        </w:tabs>
        <w:ind w:left="3524" w:hanging="360"/>
      </w:pPr>
      <w:rPr>
        <w:rFonts w:ascii="Courier New" w:hAnsi="Courier New" w:cs="Courier New" w:hint="default"/>
      </w:rPr>
    </w:lvl>
    <w:lvl w:ilvl="5" w:tplc="041B0005" w:tentative="1">
      <w:start w:val="1"/>
      <w:numFmt w:val="bullet"/>
      <w:lvlText w:val=""/>
      <w:lvlJc w:val="left"/>
      <w:pPr>
        <w:tabs>
          <w:tab w:val="num" w:pos="4244"/>
        </w:tabs>
        <w:ind w:left="4244" w:hanging="360"/>
      </w:pPr>
      <w:rPr>
        <w:rFonts w:ascii="Wingdings" w:hAnsi="Wingdings" w:hint="default"/>
      </w:rPr>
    </w:lvl>
    <w:lvl w:ilvl="6" w:tplc="041B0001" w:tentative="1">
      <w:start w:val="1"/>
      <w:numFmt w:val="bullet"/>
      <w:lvlText w:val=""/>
      <w:lvlJc w:val="left"/>
      <w:pPr>
        <w:tabs>
          <w:tab w:val="num" w:pos="4964"/>
        </w:tabs>
        <w:ind w:left="4964" w:hanging="360"/>
      </w:pPr>
      <w:rPr>
        <w:rFonts w:ascii="Symbol" w:hAnsi="Symbol" w:hint="default"/>
      </w:rPr>
    </w:lvl>
    <w:lvl w:ilvl="7" w:tplc="041B0003" w:tentative="1">
      <w:start w:val="1"/>
      <w:numFmt w:val="bullet"/>
      <w:lvlText w:val="o"/>
      <w:lvlJc w:val="left"/>
      <w:pPr>
        <w:tabs>
          <w:tab w:val="num" w:pos="5684"/>
        </w:tabs>
        <w:ind w:left="5684" w:hanging="360"/>
      </w:pPr>
      <w:rPr>
        <w:rFonts w:ascii="Courier New" w:hAnsi="Courier New" w:cs="Courier New" w:hint="default"/>
      </w:rPr>
    </w:lvl>
    <w:lvl w:ilvl="8" w:tplc="041B0005" w:tentative="1">
      <w:start w:val="1"/>
      <w:numFmt w:val="bullet"/>
      <w:lvlText w:val=""/>
      <w:lvlJc w:val="left"/>
      <w:pPr>
        <w:tabs>
          <w:tab w:val="num" w:pos="6404"/>
        </w:tabs>
        <w:ind w:left="6404" w:hanging="360"/>
      </w:pPr>
      <w:rPr>
        <w:rFonts w:ascii="Wingdings" w:hAnsi="Wingdings" w:hint="default"/>
      </w:rPr>
    </w:lvl>
  </w:abstractNum>
  <w:abstractNum w:abstractNumId="31">
    <w:nsid w:val="5A412E5B"/>
    <w:multiLevelType w:val="hybridMultilevel"/>
    <w:tmpl w:val="FC9812D4"/>
    <w:lvl w:ilvl="0" w:tplc="8C341F2A">
      <w:start w:val="4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B71561D"/>
    <w:multiLevelType w:val="multilevel"/>
    <w:tmpl w:val="B09E4E50"/>
    <w:lvl w:ilvl="0">
      <w:start w:val="3"/>
      <w:numFmt w:val="decimal"/>
      <w:lvlText w:val="%1."/>
      <w:lvlJc w:val="left"/>
      <w:pPr>
        <w:ind w:left="390" w:hanging="390"/>
      </w:pPr>
      <w:rPr>
        <w:rFonts w:hint="default"/>
        <w:b/>
        <w:color w:val="000000"/>
      </w:rPr>
    </w:lvl>
    <w:lvl w:ilvl="1">
      <w:start w:val="2"/>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3">
    <w:nsid w:val="65A835E4"/>
    <w:multiLevelType w:val="hybridMultilevel"/>
    <w:tmpl w:val="83246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6BD34AA"/>
    <w:multiLevelType w:val="hybridMultilevel"/>
    <w:tmpl w:val="AFC0CF40"/>
    <w:lvl w:ilvl="0" w:tplc="620E1DEE">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879333B"/>
    <w:multiLevelType w:val="hybridMultilevel"/>
    <w:tmpl w:val="5DC6089C"/>
    <w:lvl w:ilvl="0" w:tplc="C250059A">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68B66B2D"/>
    <w:multiLevelType w:val="hybridMultilevel"/>
    <w:tmpl w:val="BA7EFD3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9A82168"/>
    <w:multiLevelType w:val="hybridMultilevel"/>
    <w:tmpl w:val="D6448940"/>
    <w:lvl w:ilvl="0" w:tplc="B17209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B295E26"/>
    <w:multiLevelType w:val="hybridMultilevel"/>
    <w:tmpl w:val="2E7EEA62"/>
    <w:lvl w:ilvl="0" w:tplc="041B000B">
      <w:start w:val="1"/>
      <w:numFmt w:val="bullet"/>
      <w:lvlText w:val=""/>
      <w:lvlJc w:val="left"/>
      <w:pPr>
        <w:tabs>
          <w:tab w:val="num" w:pos="709"/>
        </w:tabs>
        <w:ind w:left="709" w:hanging="360"/>
      </w:pPr>
      <w:rPr>
        <w:rFonts w:ascii="Wingdings" w:hAnsi="Wingdings" w:hint="default"/>
      </w:rPr>
    </w:lvl>
    <w:lvl w:ilvl="1" w:tplc="041B0003" w:tentative="1">
      <w:start w:val="1"/>
      <w:numFmt w:val="bullet"/>
      <w:lvlText w:val="o"/>
      <w:lvlJc w:val="left"/>
      <w:pPr>
        <w:tabs>
          <w:tab w:val="num" w:pos="1429"/>
        </w:tabs>
        <w:ind w:left="1429" w:hanging="360"/>
      </w:pPr>
      <w:rPr>
        <w:rFonts w:ascii="Courier New" w:hAnsi="Courier New" w:cs="Courier New" w:hint="default"/>
      </w:rPr>
    </w:lvl>
    <w:lvl w:ilvl="2" w:tplc="041B0005" w:tentative="1">
      <w:start w:val="1"/>
      <w:numFmt w:val="bullet"/>
      <w:lvlText w:val=""/>
      <w:lvlJc w:val="left"/>
      <w:pPr>
        <w:tabs>
          <w:tab w:val="num" w:pos="2149"/>
        </w:tabs>
        <w:ind w:left="2149" w:hanging="360"/>
      </w:pPr>
      <w:rPr>
        <w:rFonts w:ascii="Wingdings" w:hAnsi="Wingdings" w:hint="default"/>
      </w:rPr>
    </w:lvl>
    <w:lvl w:ilvl="3" w:tplc="041B0001" w:tentative="1">
      <w:start w:val="1"/>
      <w:numFmt w:val="bullet"/>
      <w:lvlText w:val=""/>
      <w:lvlJc w:val="left"/>
      <w:pPr>
        <w:tabs>
          <w:tab w:val="num" w:pos="2869"/>
        </w:tabs>
        <w:ind w:left="2869" w:hanging="360"/>
      </w:pPr>
      <w:rPr>
        <w:rFonts w:ascii="Symbol" w:hAnsi="Symbol" w:hint="default"/>
      </w:rPr>
    </w:lvl>
    <w:lvl w:ilvl="4" w:tplc="041B0003" w:tentative="1">
      <w:start w:val="1"/>
      <w:numFmt w:val="bullet"/>
      <w:lvlText w:val="o"/>
      <w:lvlJc w:val="left"/>
      <w:pPr>
        <w:tabs>
          <w:tab w:val="num" w:pos="3589"/>
        </w:tabs>
        <w:ind w:left="3589" w:hanging="360"/>
      </w:pPr>
      <w:rPr>
        <w:rFonts w:ascii="Courier New" w:hAnsi="Courier New" w:cs="Courier New" w:hint="default"/>
      </w:rPr>
    </w:lvl>
    <w:lvl w:ilvl="5" w:tplc="041B0005" w:tentative="1">
      <w:start w:val="1"/>
      <w:numFmt w:val="bullet"/>
      <w:lvlText w:val=""/>
      <w:lvlJc w:val="left"/>
      <w:pPr>
        <w:tabs>
          <w:tab w:val="num" w:pos="4309"/>
        </w:tabs>
        <w:ind w:left="4309" w:hanging="360"/>
      </w:pPr>
      <w:rPr>
        <w:rFonts w:ascii="Wingdings" w:hAnsi="Wingdings" w:hint="default"/>
      </w:rPr>
    </w:lvl>
    <w:lvl w:ilvl="6" w:tplc="041B0001" w:tentative="1">
      <w:start w:val="1"/>
      <w:numFmt w:val="bullet"/>
      <w:lvlText w:val=""/>
      <w:lvlJc w:val="left"/>
      <w:pPr>
        <w:tabs>
          <w:tab w:val="num" w:pos="5029"/>
        </w:tabs>
        <w:ind w:left="5029" w:hanging="360"/>
      </w:pPr>
      <w:rPr>
        <w:rFonts w:ascii="Symbol" w:hAnsi="Symbol" w:hint="default"/>
      </w:rPr>
    </w:lvl>
    <w:lvl w:ilvl="7" w:tplc="041B0003" w:tentative="1">
      <w:start w:val="1"/>
      <w:numFmt w:val="bullet"/>
      <w:lvlText w:val="o"/>
      <w:lvlJc w:val="left"/>
      <w:pPr>
        <w:tabs>
          <w:tab w:val="num" w:pos="5749"/>
        </w:tabs>
        <w:ind w:left="5749" w:hanging="360"/>
      </w:pPr>
      <w:rPr>
        <w:rFonts w:ascii="Courier New" w:hAnsi="Courier New" w:cs="Courier New" w:hint="default"/>
      </w:rPr>
    </w:lvl>
    <w:lvl w:ilvl="8" w:tplc="041B0005" w:tentative="1">
      <w:start w:val="1"/>
      <w:numFmt w:val="bullet"/>
      <w:lvlText w:val=""/>
      <w:lvlJc w:val="left"/>
      <w:pPr>
        <w:tabs>
          <w:tab w:val="num" w:pos="6469"/>
        </w:tabs>
        <w:ind w:left="6469" w:hanging="360"/>
      </w:pPr>
      <w:rPr>
        <w:rFonts w:ascii="Wingdings" w:hAnsi="Wingdings" w:hint="default"/>
      </w:rPr>
    </w:lvl>
  </w:abstractNum>
  <w:abstractNum w:abstractNumId="39">
    <w:nsid w:val="6B352BB2"/>
    <w:multiLevelType w:val="hybridMultilevel"/>
    <w:tmpl w:val="2292ABE2"/>
    <w:lvl w:ilvl="0" w:tplc="041B000B">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nsid w:val="6F763EAF"/>
    <w:multiLevelType w:val="hybridMultilevel"/>
    <w:tmpl w:val="25162A42"/>
    <w:lvl w:ilvl="0" w:tplc="041B000B">
      <w:start w:val="1"/>
      <w:numFmt w:val="bullet"/>
      <w:lvlText w:val=""/>
      <w:lvlJc w:val="left"/>
      <w:pPr>
        <w:tabs>
          <w:tab w:val="num" w:pos="1440"/>
        </w:tabs>
        <w:ind w:left="1440" w:hanging="360"/>
      </w:pPr>
      <w:rPr>
        <w:rFonts w:ascii="Wingdings" w:hAnsi="Wingdings"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1">
    <w:nsid w:val="734A27EE"/>
    <w:multiLevelType w:val="hybridMultilevel"/>
    <w:tmpl w:val="053E62C4"/>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2">
    <w:nsid w:val="78C03774"/>
    <w:multiLevelType w:val="multilevel"/>
    <w:tmpl w:val="3AA8BE44"/>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D8F30E1"/>
    <w:multiLevelType w:val="multilevel"/>
    <w:tmpl w:val="6B5C34B0"/>
    <w:lvl w:ilvl="0">
      <w:start w:val="1"/>
      <w:numFmt w:val="decimal"/>
      <w:pStyle w:val="Nadpis1"/>
      <w:lvlText w:val="%1."/>
      <w:lvlJc w:val="left"/>
      <w:pPr>
        <w:tabs>
          <w:tab w:val="num" w:pos="360"/>
        </w:tabs>
        <w:ind w:left="360" w:hanging="360"/>
      </w:pPr>
    </w:lvl>
    <w:lvl w:ilvl="1">
      <w:start w:val="1"/>
      <w:numFmt w:val="none"/>
      <w:lvlText w:val="1.1"/>
      <w:lvlJc w:val="left"/>
      <w:pPr>
        <w:tabs>
          <w:tab w:val="num" w:pos="792"/>
        </w:tabs>
        <w:ind w:left="792" w:hanging="432"/>
      </w:pPr>
    </w:lvl>
    <w:lvl w:ilvl="2">
      <w:start w:val="1"/>
      <w:numFmt w:val="decimal"/>
      <w:pStyle w:val="Nadpis3"/>
      <w:lvlText w:val="%1.1.1"/>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D9E6501"/>
    <w:multiLevelType w:val="hybridMultilevel"/>
    <w:tmpl w:val="04AEEF50"/>
    <w:lvl w:ilvl="0" w:tplc="769E2774">
      <w:start w:val="4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E3C2AE0"/>
    <w:multiLevelType w:val="multilevel"/>
    <w:tmpl w:val="CD108000"/>
    <w:lvl w:ilvl="0">
      <w:start w:val="2"/>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5"/>
  </w:num>
  <w:num w:numId="2">
    <w:abstractNumId w:val="43"/>
  </w:num>
  <w:num w:numId="3">
    <w:abstractNumId w:val="6"/>
  </w:num>
  <w:num w:numId="4">
    <w:abstractNumId w:val="38"/>
  </w:num>
  <w:num w:numId="5">
    <w:abstractNumId w:val="45"/>
  </w:num>
  <w:num w:numId="6">
    <w:abstractNumId w:val="24"/>
  </w:num>
  <w:num w:numId="7">
    <w:abstractNumId w:val="15"/>
  </w:num>
  <w:num w:numId="8">
    <w:abstractNumId w:val="40"/>
  </w:num>
  <w:num w:numId="9">
    <w:abstractNumId w:val="30"/>
  </w:num>
  <w:num w:numId="10">
    <w:abstractNumId w:val="42"/>
  </w:num>
  <w:num w:numId="11">
    <w:abstractNumId w:val="14"/>
  </w:num>
  <w:num w:numId="12">
    <w:abstractNumId w:val="10"/>
  </w:num>
  <w:num w:numId="13">
    <w:abstractNumId w:val="2"/>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7"/>
  </w:num>
  <w:num w:numId="18">
    <w:abstractNumId w:val="39"/>
  </w:num>
  <w:num w:numId="19">
    <w:abstractNumId w:val="16"/>
  </w:num>
  <w:num w:numId="20">
    <w:abstractNumId w:val="19"/>
  </w:num>
  <w:num w:numId="21">
    <w:abstractNumId w:val="32"/>
  </w:num>
  <w:num w:numId="22">
    <w:abstractNumId w:val="27"/>
  </w:num>
  <w:num w:numId="23">
    <w:abstractNumId w:val="0"/>
  </w:num>
  <w:num w:numId="24">
    <w:abstractNumId w:val="33"/>
  </w:num>
  <w:num w:numId="25">
    <w:abstractNumId w:val="11"/>
  </w:num>
  <w:num w:numId="26">
    <w:abstractNumId w:val="4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9"/>
  </w:num>
  <w:num w:numId="29">
    <w:abstractNumId w:val="23"/>
  </w:num>
  <w:num w:numId="30">
    <w:abstractNumId w:val="8"/>
  </w:num>
  <w:num w:numId="31">
    <w:abstractNumId w:val="12"/>
  </w:num>
  <w:num w:numId="32">
    <w:abstractNumId w:val="4"/>
  </w:num>
  <w:num w:numId="33">
    <w:abstractNumId w:val="13"/>
  </w:num>
  <w:num w:numId="34">
    <w:abstractNumId w:val="18"/>
  </w:num>
  <w:num w:numId="35">
    <w:abstractNumId w:val="7"/>
  </w:num>
  <w:num w:numId="36">
    <w:abstractNumId w:val="5"/>
  </w:num>
  <w:num w:numId="37">
    <w:abstractNumId w:val="22"/>
  </w:num>
  <w:num w:numId="38">
    <w:abstractNumId w:val="3"/>
  </w:num>
  <w:num w:numId="39">
    <w:abstractNumId w:val="26"/>
  </w:num>
  <w:num w:numId="40">
    <w:abstractNumId w:val="20"/>
  </w:num>
  <w:num w:numId="41">
    <w:abstractNumId w:val="1"/>
  </w:num>
  <w:num w:numId="42">
    <w:abstractNumId w:val="36"/>
  </w:num>
  <w:num w:numId="43">
    <w:abstractNumId w:val="28"/>
  </w:num>
  <w:num w:numId="44">
    <w:abstractNumId w:val="31"/>
  </w:num>
  <w:num w:numId="45">
    <w:abstractNumId w:val="34"/>
  </w:num>
  <w:num w:numId="46">
    <w:abstractNumId w:val="44"/>
  </w:num>
  <w:num w:numId="47">
    <w:abstractNumId w:val="9"/>
  </w:num>
  <w:num w:numId="48">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06"/>
    <w:rsid w:val="00032452"/>
    <w:rsid w:val="00051C92"/>
    <w:rsid w:val="00060ADE"/>
    <w:rsid w:val="00082E1F"/>
    <w:rsid w:val="000831F1"/>
    <w:rsid w:val="00126493"/>
    <w:rsid w:val="00166A3B"/>
    <w:rsid w:val="0017060B"/>
    <w:rsid w:val="001933FE"/>
    <w:rsid w:val="00293F03"/>
    <w:rsid w:val="00313C8A"/>
    <w:rsid w:val="003223C8"/>
    <w:rsid w:val="003A7213"/>
    <w:rsid w:val="003B78EC"/>
    <w:rsid w:val="004346AF"/>
    <w:rsid w:val="00480D97"/>
    <w:rsid w:val="004869C8"/>
    <w:rsid w:val="004C1D60"/>
    <w:rsid w:val="004F176C"/>
    <w:rsid w:val="005A43DD"/>
    <w:rsid w:val="005C7788"/>
    <w:rsid w:val="00635BB3"/>
    <w:rsid w:val="00645490"/>
    <w:rsid w:val="00697DAF"/>
    <w:rsid w:val="006B3EF6"/>
    <w:rsid w:val="006D030D"/>
    <w:rsid w:val="007240DE"/>
    <w:rsid w:val="00740B6D"/>
    <w:rsid w:val="007B2BCA"/>
    <w:rsid w:val="007C057A"/>
    <w:rsid w:val="007C487F"/>
    <w:rsid w:val="007C5748"/>
    <w:rsid w:val="007D7F36"/>
    <w:rsid w:val="00875313"/>
    <w:rsid w:val="009442D2"/>
    <w:rsid w:val="00946BEE"/>
    <w:rsid w:val="009528D8"/>
    <w:rsid w:val="00A105B2"/>
    <w:rsid w:val="00A37EED"/>
    <w:rsid w:val="00A62056"/>
    <w:rsid w:val="00A67B24"/>
    <w:rsid w:val="00AA736D"/>
    <w:rsid w:val="00AE33CD"/>
    <w:rsid w:val="00AF731A"/>
    <w:rsid w:val="00B10416"/>
    <w:rsid w:val="00B71C72"/>
    <w:rsid w:val="00C87CAB"/>
    <w:rsid w:val="00CC7CA9"/>
    <w:rsid w:val="00DA5B21"/>
    <w:rsid w:val="00DC5923"/>
    <w:rsid w:val="00DF1334"/>
    <w:rsid w:val="00DF5C1D"/>
    <w:rsid w:val="00E03950"/>
    <w:rsid w:val="00E50096"/>
    <w:rsid w:val="00ED4F91"/>
    <w:rsid w:val="00F17688"/>
    <w:rsid w:val="00F36D06"/>
    <w:rsid w:val="00F819FC"/>
    <w:rsid w:val="00F85B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6D06"/>
    <w:pPr>
      <w:spacing w:after="0" w:line="240" w:lineRule="auto"/>
    </w:pPr>
    <w:rPr>
      <w:rFonts w:eastAsia="Times New Roman" w:cs="Times New Roman"/>
      <w:szCs w:val="20"/>
      <w:lang w:eastAsia="sk-SK"/>
    </w:rPr>
  </w:style>
  <w:style w:type="paragraph" w:styleId="Nadpis1">
    <w:name w:val="heading 1"/>
    <w:basedOn w:val="Normlny"/>
    <w:next w:val="Normlny"/>
    <w:link w:val="Nadpis1Char"/>
    <w:qFormat/>
    <w:rsid w:val="00F36D06"/>
    <w:pPr>
      <w:keepNext/>
      <w:numPr>
        <w:numId w:val="2"/>
      </w:numPr>
      <w:spacing w:before="240" w:after="120" w:line="360" w:lineRule="auto"/>
      <w:jc w:val="both"/>
      <w:outlineLvl w:val="0"/>
    </w:pPr>
    <w:rPr>
      <w:b/>
      <w:kern w:val="28"/>
      <w:sz w:val="28"/>
    </w:rPr>
  </w:style>
  <w:style w:type="paragraph" w:styleId="Nadpis2">
    <w:name w:val="heading 2"/>
    <w:basedOn w:val="Normlny"/>
    <w:next w:val="Normlny"/>
    <w:link w:val="Nadpis2Char"/>
    <w:qFormat/>
    <w:rsid w:val="00F36D06"/>
    <w:pPr>
      <w:keepNext/>
      <w:jc w:val="both"/>
      <w:outlineLvl w:val="1"/>
    </w:pPr>
    <w:rPr>
      <w:b/>
      <w:sz w:val="22"/>
    </w:rPr>
  </w:style>
  <w:style w:type="paragraph" w:styleId="Nadpis3">
    <w:name w:val="heading 3"/>
    <w:basedOn w:val="Normlny"/>
    <w:next w:val="Normlny"/>
    <w:link w:val="Nadpis3Char"/>
    <w:qFormat/>
    <w:rsid w:val="00F36D06"/>
    <w:pPr>
      <w:keepNext/>
      <w:numPr>
        <w:ilvl w:val="2"/>
        <w:numId w:val="2"/>
      </w:numPr>
      <w:tabs>
        <w:tab w:val="clear" w:pos="1440"/>
        <w:tab w:val="num" w:pos="360"/>
      </w:tabs>
      <w:spacing w:before="120" w:after="60" w:line="360" w:lineRule="auto"/>
      <w:ind w:left="360" w:hanging="360"/>
      <w:jc w:val="both"/>
      <w:outlineLvl w:val="2"/>
    </w:pPr>
    <w:rPr>
      <w:b/>
    </w:rPr>
  </w:style>
  <w:style w:type="paragraph" w:styleId="Nadpis4">
    <w:name w:val="heading 4"/>
    <w:basedOn w:val="Normlny"/>
    <w:next w:val="Normlny"/>
    <w:link w:val="Nadpis4Char"/>
    <w:qFormat/>
    <w:rsid w:val="00F36D06"/>
    <w:pPr>
      <w:keepNext/>
      <w:outlineLvl w:val="3"/>
    </w:pPr>
  </w:style>
  <w:style w:type="paragraph" w:styleId="Nadpis6">
    <w:name w:val="heading 6"/>
    <w:basedOn w:val="Normlny"/>
    <w:next w:val="Normlny"/>
    <w:link w:val="Nadpis6Char"/>
    <w:qFormat/>
    <w:rsid w:val="00F36D06"/>
    <w:pPr>
      <w:keepNext/>
      <w:tabs>
        <w:tab w:val="left" w:pos="567"/>
        <w:tab w:val="left" w:pos="709"/>
        <w:tab w:val="decimal" w:pos="8222"/>
      </w:tabs>
      <w:spacing w:before="240" w:after="120" w:line="360" w:lineRule="auto"/>
      <w:jc w:val="center"/>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nhideWhenUsed/>
    <w:rsid w:val="00F36D06"/>
    <w:rPr>
      <w:rFonts w:ascii="Tahoma" w:hAnsi="Tahoma" w:cs="Tahoma"/>
      <w:sz w:val="16"/>
      <w:szCs w:val="16"/>
    </w:rPr>
  </w:style>
  <w:style w:type="character" w:customStyle="1" w:styleId="TextbublinyChar">
    <w:name w:val="Text bubliny Char"/>
    <w:basedOn w:val="Predvolenpsmoodseku"/>
    <w:link w:val="Textbubliny"/>
    <w:rsid w:val="00F36D06"/>
    <w:rPr>
      <w:rFonts w:ascii="Tahoma" w:eastAsia="Times New Roman" w:hAnsi="Tahoma" w:cs="Tahoma"/>
      <w:sz w:val="16"/>
      <w:szCs w:val="16"/>
      <w:lang w:eastAsia="sk-SK"/>
    </w:rPr>
  </w:style>
  <w:style w:type="character" w:customStyle="1" w:styleId="Nadpis1Char">
    <w:name w:val="Nadpis 1 Char"/>
    <w:basedOn w:val="Predvolenpsmoodseku"/>
    <w:link w:val="Nadpis1"/>
    <w:rsid w:val="00F36D06"/>
    <w:rPr>
      <w:rFonts w:eastAsia="Times New Roman" w:cs="Times New Roman"/>
      <w:b/>
      <w:kern w:val="28"/>
      <w:sz w:val="28"/>
      <w:szCs w:val="20"/>
      <w:lang w:eastAsia="sk-SK"/>
    </w:rPr>
  </w:style>
  <w:style w:type="character" w:customStyle="1" w:styleId="Nadpis2Char">
    <w:name w:val="Nadpis 2 Char"/>
    <w:basedOn w:val="Predvolenpsmoodseku"/>
    <w:link w:val="Nadpis2"/>
    <w:rsid w:val="00F36D06"/>
    <w:rPr>
      <w:rFonts w:eastAsia="Times New Roman" w:cs="Times New Roman"/>
      <w:b/>
      <w:sz w:val="22"/>
      <w:szCs w:val="20"/>
      <w:lang w:eastAsia="sk-SK"/>
    </w:rPr>
  </w:style>
  <w:style w:type="character" w:customStyle="1" w:styleId="Nadpis3Char">
    <w:name w:val="Nadpis 3 Char"/>
    <w:basedOn w:val="Predvolenpsmoodseku"/>
    <w:link w:val="Nadpis3"/>
    <w:rsid w:val="00F36D06"/>
    <w:rPr>
      <w:rFonts w:eastAsia="Times New Roman" w:cs="Times New Roman"/>
      <w:b/>
      <w:szCs w:val="20"/>
      <w:lang w:eastAsia="sk-SK"/>
    </w:rPr>
  </w:style>
  <w:style w:type="character" w:customStyle="1" w:styleId="Nadpis4Char">
    <w:name w:val="Nadpis 4 Char"/>
    <w:basedOn w:val="Predvolenpsmoodseku"/>
    <w:link w:val="Nadpis4"/>
    <w:rsid w:val="00F36D06"/>
    <w:rPr>
      <w:rFonts w:eastAsia="Times New Roman" w:cs="Times New Roman"/>
      <w:szCs w:val="20"/>
      <w:lang w:eastAsia="sk-SK"/>
    </w:rPr>
  </w:style>
  <w:style w:type="character" w:customStyle="1" w:styleId="Nadpis6Char">
    <w:name w:val="Nadpis 6 Char"/>
    <w:basedOn w:val="Predvolenpsmoodseku"/>
    <w:link w:val="Nadpis6"/>
    <w:rsid w:val="00F36D06"/>
    <w:rPr>
      <w:rFonts w:eastAsia="Times New Roman" w:cs="Times New Roman"/>
      <w:b/>
      <w:szCs w:val="20"/>
      <w:lang w:eastAsia="sk-SK"/>
    </w:rPr>
  </w:style>
  <w:style w:type="numbering" w:customStyle="1" w:styleId="Bezzoznamu1">
    <w:name w:val="Bez zoznamu1"/>
    <w:next w:val="Bezzoznamu"/>
    <w:uiPriority w:val="99"/>
    <w:semiHidden/>
    <w:unhideWhenUsed/>
    <w:rsid w:val="00F36D06"/>
  </w:style>
  <w:style w:type="paragraph" w:customStyle="1" w:styleId="CarCharChar">
    <w:name w:val="Car Char Char"/>
    <w:basedOn w:val="Normlny"/>
    <w:rsid w:val="00F36D06"/>
    <w:pPr>
      <w:spacing w:after="160" w:line="240" w:lineRule="exact"/>
    </w:pPr>
    <w:rPr>
      <w:rFonts w:ascii="Tahoma" w:hAnsi="Tahoma" w:cs="Tahoma"/>
      <w:sz w:val="20"/>
      <w:lang w:val="en-US" w:eastAsia="en-US"/>
    </w:rPr>
  </w:style>
  <w:style w:type="paragraph" w:styleId="Zarkazkladnhotextu">
    <w:name w:val="Body Text Indent"/>
    <w:basedOn w:val="Normlny"/>
    <w:link w:val="ZarkazkladnhotextuChar"/>
    <w:rsid w:val="00F36D06"/>
    <w:pPr>
      <w:ind w:left="360"/>
      <w:jc w:val="both"/>
    </w:pPr>
  </w:style>
  <w:style w:type="character" w:customStyle="1" w:styleId="ZarkazkladnhotextuChar">
    <w:name w:val="Zarážka základného textu Char"/>
    <w:basedOn w:val="Predvolenpsmoodseku"/>
    <w:link w:val="Zarkazkladnhotextu"/>
    <w:rsid w:val="00F36D06"/>
    <w:rPr>
      <w:rFonts w:eastAsia="Times New Roman" w:cs="Times New Roman"/>
      <w:szCs w:val="20"/>
      <w:lang w:eastAsia="sk-SK"/>
    </w:rPr>
  </w:style>
  <w:style w:type="paragraph" w:styleId="Pta">
    <w:name w:val="footer"/>
    <w:basedOn w:val="Normlny"/>
    <w:link w:val="PtaChar"/>
    <w:rsid w:val="00F36D06"/>
    <w:pPr>
      <w:tabs>
        <w:tab w:val="center" w:pos="4536"/>
        <w:tab w:val="right" w:pos="9072"/>
      </w:tabs>
    </w:pPr>
    <w:rPr>
      <w:rFonts w:ascii="Times New Roman" w:hAnsi="Times New Roman"/>
      <w:sz w:val="20"/>
      <w:lang w:eastAsia="cs-CZ"/>
    </w:rPr>
  </w:style>
  <w:style w:type="character" w:customStyle="1" w:styleId="PtaChar">
    <w:name w:val="Päta Char"/>
    <w:basedOn w:val="Predvolenpsmoodseku"/>
    <w:link w:val="Pta"/>
    <w:rsid w:val="00F36D06"/>
    <w:rPr>
      <w:rFonts w:ascii="Times New Roman" w:eastAsia="Times New Roman" w:hAnsi="Times New Roman" w:cs="Times New Roman"/>
      <w:sz w:val="20"/>
      <w:szCs w:val="20"/>
      <w:lang w:eastAsia="cs-CZ"/>
    </w:rPr>
  </w:style>
  <w:style w:type="paragraph" w:styleId="Zkladntext">
    <w:name w:val="Body Text"/>
    <w:basedOn w:val="Normlny"/>
    <w:link w:val="ZkladntextChar"/>
    <w:rsid w:val="00F36D06"/>
    <w:rPr>
      <w:color w:val="000000"/>
      <w:sz w:val="20"/>
      <w:lang w:eastAsia="cs-CZ"/>
    </w:rPr>
  </w:style>
  <w:style w:type="character" w:customStyle="1" w:styleId="ZkladntextChar">
    <w:name w:val="Základný text Char"/>
    <w:basedOn w:val="Predvolenpsmoodseku"/>
    <w:link w:val="Zkladntext"/>
    <w:rsid w:val="00F36D06"/>
    <w:rPr>
      <w:rFonts w:eastAsia="Times New Roman" w:cs="Times New Roman"/>
      <w:color w:val="000000"/>
      <w:sz w:val="20"/>
      <w:szCs w:val="20"/>
      <w:lang w:eastAsia="cs-CZ"/>
    </w:rPr>
  </w:style>
  <w:style w:type="character" w:styleId="Hypertextovprepojenie">
    <w:name w:val="Hyperlink"/>
    <w:basedOn w:val="Predvolenpsmoodseku"/>
    <w:rsid w:val="00F36D06"/>
    <w:rPr>
      <w:color w:val="0000FF"/>
      <w:u w:val="single"/>
    </w:rPr>
  </w:style>
  <w:style w:type="character" w:styleId="PouitHypertextovPrepojenie">
    <w:name w:val="FollowedHyperlink"/>
    <w:basedOn w:val="Predvolenpsmoodseku"/>
    <w:rsid w:val="00F36D06"/>
    <w:rPr>
      <w:color w:val="800080"/>
      <w:u w:val="single"/>
    </w:rPr>
  </w:style>
  <w:style w:type="paragraph" w:styleId="Hlavika">
    <w:name w:val="header"/>
    <w:basedOn w:val="Normlny"/>
    <w:link w:val="HlavikaChar"/>
    <w:rsid w:val="00F36D06"/>
    <w:pPr>
      <w:tabs>
        <w:tab w:val="center" w:pos="4536"/>
        <w:tab w:val="right" w:pos="9072"/>
      </w:tabs>
    </w:pPr>
  </w:style>
  <w:style w:type="character" w:customStyle="1" w:styleId="HlavikaChar">
    <w:name w:val="Hlavička Char"/>
    <w:basedOn w:val="Predvolenpsmoodseku"/>
    <w:link w:val="Hlavika"/>
    <w:rsid w:val="00F36D06"/>
    <w:rPr>
      <w:rFonts w:eastAsia="Times New Roman" w:cs="Times New Roman"/>
      <w:szCs w:val="20"/>
      <w:lang w:eastAsia="sk-SK"/>
    </w:rPr>
  </w:style>
  <w:style w:type="paragraph" w:styleId="Zkladntext2">
    <w:name w:val="Body Text 2"/>
    <w:basedOn w:val="Normlny"/>
    <w:link w:val="Zkladntext2Char"/>
    <w:rsid w:val="00F36D06"/>
    <w:pPr>
      <w:spacing w:after="120" w:line="480" w:lineRule="auto"/>
    </w:pPr>
  </w:style>
  <w:style w:type="character" w:customStyle="1" w:styleId="Zkladntext2Char">
    <w:name w:val="Základný text 2 Char"/>
    <w:basedOn w:val="Predvolenpsmoodseku"/>
    <w:link w:val="Zkladntext2"/>
    <w:rsid w:val="00F36D06"/>
    <w:rPr>
      <w:rFonts w:eastAsia="Times New Roman" w:cs="Times New Roman"/>
      <w:szCs w:val="20"/>
      <w:lang w:eastAsia="sk-SK"/>
    </w:rPr>
  </w:style>
  <w:style w:type="paragraph" w:styleId="Zkladntext3">
    <w:name w:val="Body Text 3"/>
    <w:basedOn w:val="Normlny"/>
    <w:link w:val="Zkladntext3Char"/>
    <w:rsid w:val="00F36D06"/>
    <w:pPr>
      <w:spacing w:after="120"/>
    </w:pPr>
    <w:rPr>
      <w:sz w:val="16"/>
      <w:szCs w:val="16"/>
    </w:rPr>
  </w:style>
  <w:style w:type="character" w:customStyle="1" w:styleId="Zkladntext3Char">
    <w:name w:val="Základný text 3 Char"/>
    <w:basedOn w:val="Predvolenpsmoodseku"/>
    <w:link w:val="Zkladntext3"/>
    <w:rsid w:val="00F36D06"/>
    <w:rPr>
      <w:rFonts w:eastAsia="Times New Roman" w:cs="Times New Roman"/>
      <w:sz w:val="16"/>
      <w:szCs w:val="16"/>
      <w:lang w:eastAsia="sk-SK"/>
    </w:rPr>
  </w:style>
  <w:style w:type="paragraph" w:styleId="Zarkazkladnhotextu3">
    <w:name w:val="Body Text Indent 3"/>
    <w:basedOn w:val="Normlny"/>
    <w:link w:val="Zarkazkladnhotextu3Char"/>
    <w:rsid w:val="00F36D06"/>
    <w:pPr>
      <w:spacing w:after="120"/>
      <w:ind w:left="283"/>
    </w:pPr>
    <w:rPr>
      <w:sz w:val="16"/>
      <w:szCs w:val="16"/>
    </w:rPr>
  </w:style>
  <w:style w:type="character" w:customStyle="1" w:styleId="Zarkazkladnhotextu3Char">
    <w:name w:val="Zarážka základného textu 3 Char"/>
    <w:basedOn w:val="Predvolenpsmoodseku"/>
    <w:link w:val="Zarkazkladnhotextu3"/>
    <w:rsid w:val="00F36D06"/>
    <w:rPr>
      <w:rFonts w:eastAsia="Times New Roman" w:cs="Times New Roman"/>
      <w:sz w:val="16"/>
      <w:szCs w:val="16"/>
      <w:lang w:eastAsia="sk-SK"/>
    </w:rPr>
  </w:style>
  <w:style w:type="paragraph" w:styleId="Zarkazkladnhotextu2">
    <w:name w:val="Body Text Indent 2"/>
    <w:basedOn w:val="Normlny"/>
    <w:link w:val="Zarkazkladnhotextu2Char"/>
    <w:rsid w:val="00F36D06"/>
    <w:pPr>
      <w:spacing w:after="120" w:line="480" w:lineRule="auto"/>
      <w:ind w:left="283"/>
    </w:pPr>
  </w:style>
  <w:style w:type="character" w:customStyle="1" w:styleId="Zarkazkladnhotextu2Char">
    <w:name w:val="Zarážka základného textu 2 Char"/>
    <w:basedOn w:val="Predvolenpsmoodseku"/>
    <w:link w:val="Zarkazkladnhotextu2"/>
    <w:rsid w:val="00F36D06"/>
    <w:rPr>
      <w:rFonts w:eastAsia="Times New Roman" w:cs="Times New Roman"/>
      <w:szCs w:val="20"/>
      <w:lang w:eastAsia="sk-SK"/>
    </w:rPr>
  </w:style>
  <w:style w:type="character" w:styleId="slostrany">
    <w:name w:val="page number"/>
    <w:basedOn w:val="Predvolenpsmoodseku"/>
    <w:rsid w:val="00F36D06"/>
  </w:style>
  <w:style w:type="paragraph" w:customStyle="1" w:styleId="kSk">
    <w:name w:val="kSk"/>
    <w:basedOn w:val="Normlny"/>
    <w:rsid w:val="00F36D06"/>
    <w:pPr>
      <w:tabs>
        <w:tab w:val="left" w:pos="426"/>
        <w:tab w:val="decimal" w:pos="8080"/>
      </w:tabs>
      <w:spacing w:after="240" w:line="360" w:lineRule="auto"/>
    </w:pPr>
  </w:style>
  <w:style w:type="table" w:styleId="Mriekatabuky">
    <w:name w:val="Table Grid"/>
    <w:basedOn w:val="Normlnatabuka"/>
    <w:rsid w:val="00F36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becn">
    <w:name w:val="Všeobecný"/>
    <w:basedOn w:val="Normlny"/>
    <w:rsid w:val="00F36D06"/>
    <w:pPr>
      <w:jc w:val="both"/>
    </w:pPr>
    <w:rPr>
      <w:lang w:eastAsia="cs-CZ"/>
    </w:rPr>
  </w:style>
  <w:style w:type="paragraph" w:customStyle="1" w:styleId="Char">
    <w:name w:val="Char"/>
    <w:basedOn w:val="Normlny"/>
    <w:rsid w:val="00F36D06"/>
    <w:pPr>
      <w:spacing w:after="160" w:line="240" w:lineRule="exact"/>
    </w:pPr>
    <w:rPr>
      <w:rFonts w:ascii="Tahoma" w:hAnsi="Tahoma" w:cs="Tahoma"/>
      <w:sz w:val="20"/>
      <w:lang w:val="en-US" w:eastAsia="en-US"/>
    </w:rPr>
  </w:style>
  <w:style w:type="paragraph" w:styleId="truktradokumentu">
    <w:name w:val="Document Map"/>
    <w:basedOn w:val="Normlny"/>
    <w:link w:val="truktradokumentuChar"/>
    <w:semiHidden/>
    <w:rsid w:val="00F36D06"/>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semiHidden/>
    <w:rsid w:val="00F36D06"/>
    <w:rPr>
      <w:rFonts w:ascii="Tahoma" w:eastAsia="Times New Roman" w:hAnsi="Tahoma" w:cs="Tahoma"/>
      <w:sz w:val="20"/>
      <w:szCs w:val="20"/>
      <w:shd w:val="clear" w:color="auto" w:fill="000080"/>
      <w:lang w:eastAsia="sk-SK"/>
    </w:rPr>
  </w:style>
  <w:style w:type="numbering" w:customStyle="1" w:styleId="Bezzoznamu11">
    <w:name w:val="Bez zoznamu11"/>
    <w:next w:val="Bezzoznamu"/>
    <w:uiPriority w:val="99"/>
    <w:semiHidden/>
    <w:unhideWhenUsed/>
    <w:rsid w:val="00F36D06"/>
  </w:style>
  <w:style w:type="paragraph" w:styleId="Odsekzoznamu">
    <w:name w:val="List Paragraph"/>
    <w:basedOn w:val="Normlny"/>
    <w:uiPriority w:val="99"/>
    <w:qFormat/>
    <w:rsid w:val="00F36D06"/>
    <w:pPr>
      <w:ind w:left="720"/>
      <w:contextualSpacing/>
    </w:pPr>
  </w:style>
  <w:style w:type="numbering" w:customStyle="1" w:styleId="Bezzoznamu2">
    <w:name w:val="Bez zoznamu2"/>
    <w:next w:val="Bezzoznamu"/>
    <w:uiPriority w:val="99"/>
    <w:semiHidden/>
    <w:unhideWhenUsed/>
    <w:rsid w:val="00F36D06"/>
  </w:style>
  <w:style w:type="numbering" w:customStyle="1" w:styleId="Bezzoznamu3">
    <w:name w:val="Bez zoznamu3"/>
    <w:next w:val="Bezzoznamu"/>
    <w:uiPriority w:val="99"/>
    <w:semiHidden/>
    <w:unhideWhenUsed/>
    <w:rsid w:val="00F36D06"/>
  </w:style>
  <w:style w:type="numbering" w:customStyle="1" w:styleId="Bezzoznamu4">
    <w:name w:val="Bez zoznamu4"/>
    <w:next w:val="Bezzoznamu"/>
    <w:uiPriority w:val="99"/>
    <w:semiHidden/>
    <w:unhideWhenUsed/>
    <w:rsid w:val="00F36D06"/>
  </w:style>
  <w:style w:type="numbering" w:customStyle="1" w:styleId="Bezzoznamu5">
    <w:name w:val="Bez zoznamu5"/>
    <w:next w:val="Bezzoznamu"/>
    <w:uiPriority w:val="99"/>
    <w:semiHidden/>
    <w:unhideWhenUsed/>
    <w:rsid w:val="00F36D06"/>
  </w:style>
  <w:style w:type="numbering" w:customStyle="1" w:styleId="Bezzoznamu6">
    <w:name w:val="Bez zoznamu6"/>
    <w:next w:val="Bezzoznamu"/>
    <w:uiPriority w:val="99"/>
    <w:semiHidden/>
    <w:unhideWhenUsed/>
    <w:rsid w:val="00F36D06"/>
  </w:style>
  <w:style w:type="numbering" w:customStyle="1" w:styleId="Bezzoznamu7">
    <w:name w:val="Bez zoznamu7"/>
    <w:next w:val="Bezzoznamu"/>
    <w:uiPriority w:val="99"/>
    <w:semiHidden/>
    <w:unhideWhenUsed/>
    <w:rsid w:val="00F36D06"/>
  </w:style>
  <w:style w:type="numbering" w:customStyle="1" w:styleId="Bezzoznamu8">
    <w:name w:val="Bez zoznamu8"/>
    <w:next w:val="Bezzoznamu"/>
    <w:uiPriority w:val="99"/>
    <w:semiHidden/>
    <w:unhideWhenUsed/>
    <w:rsid w:val="00F36D06"/>
  </w:style>
  <w:style w:type="numbering" w:customStyle="1" w:styleId="Bezzoznamu9">
    <w:name w:val="Bez zoznamu9"/>
    <w:next w:val="Bezzoznamu"/>
    <w:uiPriority w:val="99"/>
    <w:semiHidden/>
    <w:unhideWhenUsed/>
    <w:rsid w:val="00F36D06"/>
  </w:style>
  <w:style w:type="numbering" w:customStyle="1" w:styleId="Bezzoznamu10">
    <w:name w:val="Bez zoznamu10"/>
    <w:next w:val="Bezzoznamu"/>
    <w:uiPriority w:val="99"/>
    <w:semiHidden/>
    <w:unhideWhenUsed/>
    <w:rsid w:val="00F36D06"/>
  </w:style>
  <w:style w:type="numbering" w:customStyle="1" w:styleId="Bezzoznamu111">
    <w:name w:val="Bez zoznamu111"/>
    <w:next w:val="Bezzoznamu"/>
    <w:uiPriority w:val="99"/>
    <w:semiHidden/>
    <w:unhideWhenUsed/>
    <w:rsid w:val="00F36D06"/>
  </w:style>
  <w:style w:type="numbering" w:customStyle="1" w:styleId="Bezzoznamu12">
    <w:name w:val="Bez zoznamu12"/>
    <w:next w:val="Bezzoznamu"/>
    <w:uiPriority w:val="99"/>
    <w:semiHidden/>
    <w:unhideWhenUsed/>
    <w:rsid w:val="00F36D06"/>
  </w:style>
  <w:style w:type="numbering" w:customStyle="1" w:styleId="Bezzoznamu13">
    <w:name w:val="Bez zoznamu13"/>
    <w:next w:val="Bezzoznamu"/>
    <w:uiPriority w:val="99"/>
    <w:semiHidden/>
    <w:unhideWhenUsed/>
    <w:rsid w:val="00F36D06"/>
  </w:style>
  <w:style w:type="numbering" w:customStyle="1" w:styleId="Bezzoznamu14">
    <w:name w:val="Bez zoznamu14"/>
    <w:next w:val="Bezzoznamu"/>
    <w:uiPriority w:val="99"/>
    <w:semiHidden/>
    <w:unhideWhenUsed/>
    <w:rsid w:val="00875313"/>
  </w:style>
  <w:style w:type="numbering" w:customStyle="1" w:styleId="Bezzoznamu15">
    <w:name w:val="Bez zoznamu15"/>
    <w:next w:val="Bezzoznamu"/>
    <w:uiPriority w:val="99"/>
    <w:semiHidden/>
    <w:unhideWhenUsed/>
    <w:rsid w:val="00B10416"/>
  </w:style>
  <w:style w:type="numbering" w:customStyle="1" w:styleId="Bezzoznamu16">
    <w:name w:val="Bez zoznamu16"/>
    <w:next w:val="Bezzoznamu"/>
    <w:uiPriority w:val="99"/>
    <w:semiHidden/>
    <w:unhideWhenUsed/>
    <w:rsid w:val="005A43DD"/>
  </w:style>
  <w:style w:type="numbering" w:customStyle="1" w:styleId="Bezzoznamu17">
    <w:name w:val="Bez zoznamu17"/>
    <w:next w:val="Bezzoznamu"/>
    <w:uiPriority w:val="99"/>
    <w:semiHidden/>
    <w:unhideWhenUsed/>
    <w:rsid w:val="00A37EED"/>
  </w:style>
  <w:style w:type="numbering" w:customStyle="1" w:styleId="Bezzoznamu18">
    <w:name w:val="Bez zoznamu18"/>
    <w:next w:val="Bezzoznamu"/>
    <w:uiPriority w:val="99"/>
    <w:semiHidden/>
    <w:unhideWhenUsed/>
    <w:rsid w:val="003B78EC"/>
  </w:style>
  <w:style w:type="numbering" w:customStyle="1" w:styleId="Bezzoznamu19">
    <w:name w:val="Bez zoznamu19"/>
    <w:next w:val="Bezzoznamu"/>
    <w:uiPriority w:val="99"/>
    <w:semiHidden/>
    <w:unhideWhenUsed/>
    <w:rsid w:val="0017060B"/>
  </w:style>
  <w:style w:type="numbering" w:customStyle="1" w:styleId="Bezzoznamu20">
    <w:name w:val="Bez zoznamu20"/>
    <w:next w:val="Bezzoznamu"/>
    <w:uiPriority w:val="99"/>
    <w:semiHidden/>
    <w:unhideWhenUsed/>
    <w:rsid w:val="00DC5923"/>
  </w:style>
  <w:style w:type="numbering" w:customStyle="1" w:styleId="Bezzoznamu21">
    <w:name w:val="Bez zoznamu21"/>
    <w:next w:val="Bezzoznamu"/>
    <w:uiPriority w:val="99"/>
    <w:semiHidden/>
    <w:unhideWhenUsed/>
    <w:rsid w:val="00DA5B21"/>
  </w:style>
  <w:style w:type="numbering" w:customStyle="1" w:styleId="Bezzoznamu22">
    <w:name w:val="Bez zoznamu22"/>
    <w:next w:val="Bezzoznamu"/>
    <w:uiPriority w:val="99"/>
    <w:semiHidden/>
    <w:unhideWhenUsed/>
    <w:rsid w:val="004346AF"/>
  </w:style>
  <w:style w:type="numbering" w:customStyle="1" w:styleId="Bezzoznamu23">
    <w:name w:val="Bez zoznamu23"/>
    <w:next w:val="Bezzoznamu"/>
    <w:uiPriority w:val="99"/>
    <w:semiHidden/>
    <w:unhideWhenUsed/>
    <w:rsid w:val="00F17688"/>
  </w:style>
  <w:style w:type="numbering" w:customStyle="1" w:styleId="Bezzoznamu24">
    <w:name w:val="Bez zoznamu24"/>
    <w:next w:val="Bezzoznamu"/>
    <w:uiPriority w:val="99"/>
    <w:semiHidden/>
    <w:unhideWhenUsed/>
    <w:rsid w:val="00E03950"/>
  </w:style>
  <w:style w:type="numbering" w:customStyle="1" w:styleId="Bezzoznamu25">
    <w:name w:val="Bez zoznamu25"/>
    <w:next w:val="Bezzoznamu"/>
    <w:uiPriority w:val="99"/>
    <w:semiHidden/>
    <w:unhideWhenUsed/>
    <w:rsid w:val="00A67B24"/>
  </w:style>
  <w:style w:type="numbering" w:customStyle="1" w:styleId="Bezzoznamu26">
    <w:name w:val="Bez zoznamu26"/>
    <w:next w:val="Bezzoznamu"/>
    <w:uiPriority w:val="99"/>
    <w:semiHidden/>
    <w:unhideWhenUsed/>
    <w:rsid w:val="007B2BCA"/>
  </w:style>
  <w:style w:type="numbering" w:customStyle="1" w:styleId="Bezzoznamu27">
    <w:name w:val="Bez zoznamu27"/>
    <w:next w:val="Bezzoznamu"/>
    <w:uiPriority w:val="99"/>
    <w:semiHidden/>
    <w:unhideWhenUsed/>
    <w:rsid w:val="00032452"/>
  </w:style>
  <w:style w:type="numbering" w:customStyle="1" w:styleId="Bezzoznamu28">
    <w:name w:val="Bez zoznamu28"/>
    <w:next w:val="Bezzoznamu"/>
    <w:uiPriority w:val="99"/>
    <w:semiHidden/>
    <w:unhideWhenUsed/>
    <w:rsid w:val="00AA7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6D06"/>
    <w:pPr>
      <w:spacing w:after="0" w:line="240" w:lineRule="auto"/>
    </w:pPr>
    <w:rPr>
      <w:rFonts w:eastAsia="Times New Roman" w:cs="Times New Roman"/>
      <w:szCs w:val="20"/>
      <w:lang w:eastAsia="sk-SK"/>
    </w:rPr>
  </w:style>
  <w:style w:type="paragraph" w:styleId="Nadpis1">
    <w:name w:val="heading 1"/>
    <w:basedOn w:val="Normlny"/>
    <w:next w:val="Normlny"/>
    <w:link w:val="Nadpis1Char"/>
    <w:qFormat/>
    <w:rsid w:val="00F36D06"/>
    <w:pPr>
      <w:keepNext/>
      <w:numPr>
        <w:numId w:val="2"/>
      </w:numPr>
      <w:spacing w:before="240" w:after="120" w:line="360" w:lineRule="auto"/>
      <w:jc w:val="both"/>
      <w:outlineLvl w:val="0"/>
    </w:pPr>
    <w:rPr>
      <w:b/>
      <w:kern w:val="28"/>
      <w:sz w:val="28"/>
    </w:rPr>
  </w:style>
  <w:style w:type="paragraph" w:styleId="Nadpis2">
    <w:name w:val="heading 2"/>
    <w:basedOn w:val="Normlny"/>
    <w:next w:val="Normlny"/>
    <w:link w:val="Nadpis2Char"/>
    <w:qFormat/>
    <w:rsid w:val="00F36D06"/>
    <w:pPr>
      <w:keepNext/>
      <w:jc w:val="both"/>
      <w:outlineLvl w:val="1"/>
    </w:pPr>
    <w:rPr>
      <w:b/>
      <w:sz w:val="22"/>
    </w:rPr>
  </w:style>
  <w:style w:type="paragraph" w:styleId="Nadpis3">
    <w:name w:val="heading 3"/>
    <w:basedOn w:val="Normlny"/>
    <w:next w:val="Normlny"/>
    <w:link w:val="Nadpis3Char"/>
    <w:qFormat/>
    <w:rsid w:val="00F36D06"/>
    <w:pPr>
      <w:keepNext/>
      <w:numPr>
        <w:ilvl w:val="2"/>
        <w:numId w:val="2"/>
      </w:numPr>
      <w:tabs>
        <w:tab w:val="clear" w:pos="1440"/>
        <w:tab w:val="num" w:pos="360"/>
      </w:tabs>
      <w:spacing w:before="120" w:after="60" w:line="360" w:lineRule="auto"/>
      <w:ind w:left="360" w:hanging="360"/>
      <w:jc w:val="both"/>
      <w:outlineLvl w:val="2"/>
    </w:pPr>
    <w:rPr>
      <w:b/>
    </w:rPr>
  </w:style>
  <w:style w:type="paragraph" w:styleId="Nadpis4">
    <w:name w:val="heading 4"/>
    <w:basedOn w:val="Normlny"/>
    <w:next w:val="Normlny"/>
    <w:link w:val="Nadpis4Char"/>
    <w:qFormat/>
    <w:rsid w:val="00F36D06"/>
    <w:pPr>
      <w:keepNext/>
      <w:outlineLvl w:val="3"/>
    </w:pPr>
  </w:style>
  <w:style w:type="paragraph" w:styleId="Nadpis6">
    <w:name w:val="heading 6"/>
    <w:basedOn w:val="Normlny"/>
    <w:next w:val="Normlny"/>
    <w:link w:val="Nadpis6Char"/>
    <w:qFormat/>
    <w:rsid w:val="00F36D06"/>
    <w:pPr>
      <w:keepNext/>
      <w:tabs>
        <w:tab w:val="left" w:pos="567"/>
        <w:tab w:val="left" w:pos="709"/>
        <w:tab w:val="decimal" w:pos="8222"/>
      </w:tabs>
      <w:spacing w:before="240" w:after="120" w:line="360" w:lineRule="auto"/>
      <w:jc w:val="center"/>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nhideWhenUsed/>
    <w:rsid w:val="00F36D06"/>
    <w:rPr>
      <w:rFonts w:ascii="Tahoma" w:hAnsi="Tahoma" w:cs="Tahoma"/>
      <w:sz w:val="16"/>
      <w:szCs w:val="16"/>
    </w:rPr>
  </w:style>
  <w:style w:type="character" w:customStyle="1" w:styleId="TextbublinyChar">
    <w:name w:val="Text bubliny Char"/>
    <w:basedOn w:val="Predvolenpsmoodseku"/>
    <w:link w:val="Textbubliny"/>
    <w:rsid w:val="00F36D06"/>
    <w:rPr>
      <w:rFonts w:ascii="Tahoma" w:eastAsia="Times New Roman" w:hAnsi="Tahoma" w:cs="Tahoma"/>
      <w:sz w:val="16"/>
      <w:szCs w:val="16"/>
      <w:lang w:eastAsia="sk-SK"/>
    </w:rPr>
  </w:style>
  <w:style w:type="character" w:customStyle="1" w:styleId="Nadpis1Char">
    <w:name w:val="Nadpis 1 Char"/>
    <w:basedOn w:val="Predvolenpsmoodseku"/>
    <w:link w:val="Nadpis1"/>
    <w:rsid w:val="00F36D06"/>
    <w:rPr>
      <w:rFonts w:eastAsia="Times New Roman" w:cs="Times New Roman"/>
      <w:b/>
      <w:kern w:val="28"/>
      <w:sz w:val="28"/>
      <w:szCs w:val="20"/>
      <w:lang w:eastAsia="sk-SK"/>
    </w:rPr>
  </w:style>
  <w:style w:type="character" w:customStyle="1" w:styleId="Nadpis2Char">
    <w:name w:val="Nadpis 2 Char"/>
    <w:basedOn w:val="Predvolenpsmoodseku"/>
    <w:link w:val="Nadpis2"/>
    <w:rsid w:val="00F36D06"/>
    <w:rPr>
      <w:rFonts w:eastAsia="Times New Roman" w:cs="Times New Roman"/>
      <w:b/>
      <w:sz w:val="22"/>
      <w:szCs w:val="20"/>
      <w:lang w:eastAsia="sk-SK"/>
    </w:rPr>
  </w:style>
  <w:style w:type="character" w:customStyle="1" w:styleId="Nadpis3Char">
    <w:name w:val="Nadpis 3 Char"/>
    <w:basedOn w:val="Predvolenpsmoodseku"/>
    <w:link w:val="Nadpis3"/>
    <w:rsid w:val="00F36D06"/>
    <w:rPr>
      <w:rFonts w:eastAsia="Times New Roman" w:cs="Times New Roman"/>
      <w:b/>
      <w:szCs w:val="20"/>
      <w:lang w:eastAsia="sk-SK"/>
    </w:rPr>
  </w:style>
  <w:style w:type="character" w:customStyle="1" w:styleId="Nadpis4Char">
    <w:name w:val="Nadpis 4 Char"/>
    <w:basedOn w:val="Predvolenpsmoodseku"/>
    <w:link w:val="Nadpis4"/>
    <w:rsid w:val="00F36D06"/>
    <w:rPr>
      <w:rFonts w:eastAsia="Times New Roman" w:cs="Times New Roman"/>
      <w:szCs w:val="20"/>
      <w:lang w:eastAsia="sk-SK"/>
    </w:rPr>
  </w:style>
  <w:style w:type="character" w:customStyle="1" w:styleId="Nadpis6Char">
    <w:name w:val="Nadpis 6 Char"/>
    <w:basedOn w:val="Predvolenpsmoodseku"/>
    <w:link w:val="Nadpis6"/>
    <w:rsid w:val="00F36D06"/>
    <w:rPr>
      <w:rFonts w:eastAsia="Times New Roman" w:cs="Times New Roman"/>
      <w:b/>
      <w:szCs w:val="20"/>
      <w:lang w:eastAsia="sk-SK"/>
    </w:rPr>
  </w:style>
  <w:style w:type="numbering" w:customStyle="1" w:styleId="Bezzoznamu1">
    <w:name w:val="Bez zoznamu1"/>
    <w:next w:val="Bezzoznamu"/>
    <w:uiPriority w:val="99"/>
    <w:semiHidden/>
    <w:unhideWhenUsed/>
    <w:rsid w:val="00F36D06"/>
  </w:style>
  <w:style w:type="paragraph" w:customStyle="1" w:styleId="CarCharChar">
    <w:name w:val="Car Char Char"/>
    <w:basedOn w:val="Normlny"/>
    <w:rsid w:val="00F36D06"/>
    <w:pPr>
      <w:spacing w:after="160" w:line="240" w:lineRule="exact"/>
    </w:pPr>
    <w:rPr>
      <w:rFonts w:ascii="Tahoma" w:hAnsi="Tahoma" w:cs="Tahoma"/>
      <w:sz w:val="20"/>
      <w:lang w:val="en-US" w:eastAsia="en-US"/>
    </w:rPr>
  </w:style>
  <w:style w:type="paragraph" w:styleId="Zarkazkladnhotextu">
    <w:name w:val="Body Text Indent"/>
    <w:basedOn w:val="Normlny"/>
    <w:link w:val="ZarkazkladnhotextuChar"/>
    <w:rsid w:val="00F36D06"/>
    <w:pPr>
      <w:ind w:left="360"/>
      <w:jc w:val="both"/>
    </w:pPr>
  </w:style>
  <w:style w:type="character" w:customStyle="1" w:styleId="ZarkazkladnhotextuChar">
    <w:name w:val="Zarážka základného textu Char"/>
    <w:basedOn w:val="Predvolenpsmoodseku"/>
    <w:link w:val="Zarkazkladnhotextu"/>
    <w:rsid w:val="00F36D06"/>
    <w:rPr>
      <w:rFonts w:eastAsia="Times New Roman" w:cs="Times New Roman"/>
      <w:szCs w:val="20"/>
      <w:lang w:eastAsia="sk-SK"/>
    </w:rPr>
  </w:style>
  <w:style w:type="paragraph" w:styleId="Pta">
    <w:name w:val="footer"/>
    <w:basedOn w:val="Normlny"/>
    <w:link w:val="PtaChar"/>
    <w:rsid w:val="00F36D06"/>
    <w:pPr>
      <w:tabs>
        <w:tab w:val="center" w:pos="4536"/>
        <w:tab w:val="right" w:pos="9072"/>
      </w:tabs>
    </w:pPr>
    <w:rPr>
      <w:rFonts w:ascii="Times New Roman" w:hAnsi="Times New Roman"/>
      <w:sz w:val="20"/>
      <w:lang w:eastAsia="cs-CZ"/>
    </w:rPr>
  </w:style>
  <w:style w:type="character" w:customStyle="1" w:styleId="PtaChar">
    <w:name w:val="Päta Char"/>
    <w:basedOn w:val="Predvolenpsmoodseku"/>
    <w:link w:val="Pta"/>
    <w:rsid w:val="00F36D06"/>
    <w:rPr>
      <w:rFonts w:ascii="Times New Roman" w:eastAsia="Times New Roman" w:hAnsi="Times New Roman" w:cs="Times New Roman"/>
      <w:sz w:val="20"/>
      <w:szCs w:val="20"/>
      <w:lang w:eastAsia="cs-CZ"/>
    </w:rPr>
  </w:style>
  <w:style w:type="paragraph" w:styleId="Zkladntext">
    <w:name w:val="Body Text"/>
    <w:basedOn w:val="Normlny"/>
    <w:link w:val="ZkladntextChar"/>
    <w:rsid w:val="00F36D06"/>
    <w:rPr>
      <w:color w:val="000000"/>
      <w:sz w:val="20"/>
      <w:lang w:eastAsia="cs-CZ"/>
    </w:rPr>
  </w:style>
  <w:style w:type="character" w:customStyle="1" w:styleId="ZkladntextChar">
    <w:name w:val="Základný text Char"/>
    <w:basedOn w:val="Predvolenpsmoodseku"/>
    <w:link w:val="Zkladntext"/>
    <w:rsid w:val="00F36D06"/>
    <w:rPr>
      <w:rFonts w:eastAsia="Times New Roman" w:cs="Times New Roman"/>
      <w:color w:val="000000"/>
      <w:sz w:val="20"/>
      <w:szCs w:val="20"/>
      <w:lang w:eastAsia="cs-CZ"/>
    </w:rPr>
  </w:style>
  <w:style w:type="character" w:styleId="Hypertextovprepojenie">
    <w:name w:val="Hyperlink"/>
    <w:basedOn w:val="Predvolenpsmoodseku"/>
    <w:rsid w:val="00F36D06"/>
    <w:rPr>
      <w:color w:val="0000FF"/>
      <w:u w:val="single"/>
    </w:rPr>
  </w:style>
  <w:style w:type="character" w:styleId="PouitHypertextovPrepojenie">
    <w:name w:val="FollowedHyperlink"/>
    <w:basedOn w:val="Predvolenpsmoodseku"/>
    <w:rsid w:val="00F36D06"/>
    <w:rPr>
      <w:color w:val="800080"/>
      <w:u w:val="single"/>
    </w:rPr>
  </w:style>
  <w:style w:type="paragraph" w:styleId="Hlavika">
    <w:name w:val="header"/>
    <w:basedOn w:val="Normlny"/>
    <w:link w:val="HlavikaChar"/>
    <w:rsid w:val="00F36D06"/>
    <w:pPr>
      <w:tabs>
        <w:tab w:val="center" w:pos="4536"/>
        <w:tab w:val="right" w:pos="9072"/>
      </w:tabs>
    </w:pPr>
  </w:style>
  <w:style w:type="character" w:customStyle="1" w:styleId="HlavikaChar">
    <w:name w:val="Hlavička Char"/>
    <w:basedOn w:val="Predvolenpsmoodseku"/>
    <w:link w:val="Hlavika"/>
    <w:rsid w:val="00F36D06"/>
    <w:rPr>
      <w:rFonts w:eastAsia="Times New Roman" w:cs="Times New Roman"/>
      <w:szCs w:val="20"/>
      <w:lang w:eastAsia="sk-SK"/>
    </w:rPr>
  </w:style>
  <w:style w:type="paragraph" w:styleId="Zkladntext2">
    <w:name w:val="Body Text 2"/>
    <w:basedOn w:val="Normlny"/>
    <w:link w:val="Zkladntext2Char"/>
    <w:rsid w:val="00F36D06"/>
    <w:pPr>
      <w:spacing w:after="120" w:line="480" w:lineRule="auto"/>
    </w:pPr>
  </w:style>
  <w:style w:type="character" w:customStyle="1" w:styleId="Zkladntext2Char">
    <w:name w:val="Základný text 2 Char"/>
    <w:basedOn w:val="Predvolenpsmoodseku"/>
    <w:link w:val="Zkladntext2"/>
    <w:rsid w:val="00F36D06"/>
    <w:rPr>
      <w:rFonts w:eastAsia="Times New Roman" w:cs="Times New Roman"/>
      <w:szCs w:val="20"/>
      <w:lang w:eastAsia="sk-SK"/>
    </w:rPr>
  </w:style>
  <w:style w:type="paragraph" w:styleId="Zkladntext3">
    <w:name w:val="Body Text 3"/>
    <w:basedOn w:val="Normlny"/>
    <w:link w:val="Zkladntext3Char"/>
    <w:rsid w:val="00F36D06"/>
    <w:pPr>
      <w:spacing w:after="120"/>
    </w:pPr>
    <w:rPr>
      <w:sz w:val="16"/>
      <w:szCs w:val="16"/>
    </w:rPr>
  </w:style>
  <w:style w:type="character" w:customStyle="1" w:styleId="Zkladntext3Char">
    <w:name w:val="Základný text 3 Char"/>
    <w:basedOn w:val="Predvolenpsmoodseku"/>
    <w:link w:val="Zkladntext3"/>
    <w:rsid w:val="00F36D06"/>
    <w:rPr>
      <w:rFonts w:eastAsia="Times New Roman" w:cs="Times New Roman"/>
      <w:sz w:val="16"/>
      <w:szCs w:val="16"/>
      <w:lang w:eastAsia="sk-SK"/>
    </w:rPr>
  </w:style>
  <w:style w:type="paragraph" w:styleId="Zarkazkladnhotextu3">
    <w:name w:val="Body Text Indent 3"/>
    <w:basedOn w:val="Normlny"/>
    <w:link w:val="Zarkazkladnhotextu3Char"/>
    <w:rsid w:val="00F36D06"/>
    <w:pPr>
      <w:spacing w:after="120"/>
      <w:ind w:left="283"/>
    </w:pPr>
    <w:rPr>
      <w:sz w:val="16"/>
      <w:szCs w:val="16"/>
    </w:rPr>
  </w:style>
  <w:style w:type="character" w:customStyle="1" w:styleId="Zarkazkladnhotextu3Char">
    <w:name w:val="Zarážka základného textu 3 Char"/>
    <w:basedOn w:val="Predvolenpsmoodseku"/>
    <w:link w:val="Zarkazkladnhotextu3"/>
    <w:rsid w:val="00F36D06"/>
    <w:rPr>
      <w:rFonts w:eastAsia="Times New Roman" w:cs="Times New Roman"/>
      <w:sz w:val="16"/>
      <w:szCs w:val="16"/>
      <w:lang w:eastAsia="sk-SK"/>
    </w:rPr>
  </w:style>
  <w:style w:type="paragraph" w:styleId="Zarkazkladnhotextu2">
    <w:name w:val="Body Text Indent 2"/>
    <w:basedOn w:val="Normlny"/>
    <w:link w:val="Zarkazkladnhotextu2Char"/>
    <w:rsid w:val="00F36D06"/>
    <w:pPr>
      <w:spacing w:after="120" w:line="480" w:lineRule="auto"/>
      <w:ind w:left="283"/>
    </w:pPr>
  </w:style>
  <w:style w:type="character" w:customStyle="1" w:styleId="Zarkazkladnhotextu2Char">
    <w:name w:val="Zarážka základného textu 2 Char"/>
    <w:basedOn w:val="Predvolenpsmoodseku"/>
    <w:link w:val="Zarkazkladnhotextu2"/>
    <w:rsid w:val="00F36D06"/>
    <w:rPr>
      <w:rFonts w:eastAsia="Times New Roman" w:cs="Times New Roman"/>
      <w:szCs w:val="20"/>
      <w:lang w:eastAsia="sk-SK"/>
    </w:rPr>
  </w:style>
  <w:style w:type="character" w:styleId="slostrany">
    <w:name w:val="page number"/>
    <w:basedOn w:val="Predvolenpsmoodseku"/>
    <w:rsid w:val="00F36D06"/>
  </w:style>
  <w:style w:type="paragraph" w:customStyle="1" w:styleId="kSk">
    <w:name w:val="kSk"/>
    <w:basedOn w:val="Normlny"/>
    <w:rsid w:val="00F36D06"/>
    <w:pPr>
      <w:tabs>
        <w:tab w:val="left" w:pos="426"/>
        <w:tab w:val="decimal" w:pos="8080"/>
      </w:tabs>
      <w:spacing w:after="240" w:line="360" w:lineRule="auto"/>
    </w:pPr>
  </w:style>
  <w:style w:type="table" w:styleId="Mriekatabuky">
    <w:name w:val="Table Grid"/>
    <w:basedOn w:val="Normlnatabuka"/>
    <w:rsid w:val="00F36D0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becn">
    <w:name w:val="Všeobecný"/>
    <w:basedOn w:val="Normlny"/>
    <w:rsid w:val="00F36D06"/>
    <w:pPr>
      <w:jc w:val="both"/>
    </w:pPr>
    <w:rPr>
      <w:lang w:eastAsia="cs-CZ"/>
    </w:rPr>
  </w:style>
  <w:style w:type="paragraph" w:customStyle="1" w:styleId="Char">
    <w:name w:val="Char"/>
    <w:basedOn w:val="Normlny"/>
    <w:rsid w:val="00F36D06"/>
    <w:pPr>
      <w:spacing w:after="160" w:line="240" w:lineRule="exact"/>
    </w:pPr>
    <w:rPr>
      <w:rFonts w:ascii="Tahoma" w:hAnsi="Tahoma" w:cs="Tahoma"/>
      <w:sz w:val="20"/>
      <w:lang w:val="en-US" w:eastAsia="en-US"/>
    </w:rPr>
  </w:style>
  <w:style w:type="paragraph" w:styleId="truktradokumentu">
    <w:name w:val="Document Map"/>
    <w:basedOn w:val="Normlny"/>
    <w:link w:val="truktradokumentuChar"/>
    <w:semiHidden/>
    <w:rsid w:val="00F36D06"/>
    <w:pPr>
      <w:shd w:val="clear" w:color="auto" w:fill="000080"/>
    </w:pPr>
    <w:rPr>
      <w:rFonts w:ascii="Tahoma" w:hAnsi="Tahoma" w:cs="Tahoma"/>
      <w:sz w:val="20"/>
    </w:rPr>
  </w:style>
  <w:style w:type="character" w:customStyle="1" w:styleId="truktradokumentuChar">
    <w:name w:val="Štruktúra dokumentu Char"/>
    <w:basedOn w:val="Predvolenpsmoodseku"/>
    <w:link w:val="truktradokumentu"/>
    <w:semiHidden/>
    <w:rsid w:val="00F36D06"/>
    <w:rPr>
      <w:rFonts w:ascii="Tahoma" w:eastAsia="Times New Roman" w:hAnsi="Tahoma" w:cs="Tahoma"/>
      <w:sz w:val="20"/>
      <w:szCs w:val="20"/>
      <w:shd w:val="clear" w:color="auto" w:fill="000080"/>
      <w:lang w:eastAsia="sk-SK"/>
    </w:rPr>
  </w:style>
  <w:style w:type="numbering" w:customStyle="1" w:styleId="Bezzoznamu11">
    <w:name w:val="Bez zoznamu11"/>
    <w:next w:val="Bezzoznamu"/>
    <w:uiPriority w:val="99"/>
    <w:semiHidden/>
    <w:unhideWhenUsed/>
    <w:rsid w:val="00F36D06"/>
  </w:style>
  <w:style w:type="paragraph" w:styleId="Odsekzoznamu">
    <w:name w:val="List Paragraph"/>
    <w:basedOn w:val="Normlny"/>
    <w:uiPriority w:val="99"/>
    <w:qFormat/>
    <w:rsid w:val="00F36D06"/>
    <w:pPr>
      <w:ind w:left="720"/>
      <w:contextualSpacing/>
    </w:pPr>
  </w:style>
  <w:style w:type="numbering" w:customStyle="1" w:styleId="Bezzoznamu2">
    <w:name w:val="Bez zoznamu2"/>
    <w:next w:val="Bezzoznamu"/>
    <w:uiPriority w:val="99"/>
    <w:semiHidden/>
    <w:unhideWhenUsed/>
    <w:rsid w:val="00F36D06"/>
  </w:style>
  <w:style w:type="numbering" w:customStyle="1" w:styleId="Bezzoznamu3">
    <w:name w:val="Bez zoznamu3"/>
    <w:next w:val="Bezzoznamu"/>
    <w:uiPriority w:val="99"/>
    <w:semiHidden/>
    <w:unhideWhenUsed/>
    <w:rsid w:val="00F36D06"/>
  </w:style>
  <w:style w:type="numbering" w:customStyle="1" w:styleId="Bezzoznamu4">
    <w:name w:val="Bez zoznamu4"/>
    <w:next w:val="Bezzoznamu"/>
    <w:uiPriority w:val="99"/>
    <w:semiHidden/>
    <w:unhideWhenUsed/>
    <w:rsid w:val="00F36D06"/>
  </w:style>
  <w:style w:type="numbering" w:customStyle="1" w:styleId="Bezzoznamu5">
    <w:name w:val="Bez zoznamu5"/>
    <w:next w:val="Bezzoznamu"/>
    <w:uiPriority w:val="99"/>
    <w:semiHidden/>
    <w:unhideWhenUsed/>
    <w:rsid w:val="00F36D06"/>
  </w:style>
  <w:style w:type="numbering" w:customStyle="1" w:styleId="Bezzoznamu6">
    <w:name w:val="Bez zoznamu6"/>
    <w:next w:val="Bezzoznamu"/>
    <w:uiPriority w:val="99"/>
    <w:semiHidden/>
    <w:unhideWhenUsed/>
    <w:rsid w:val="00F36D06"/>
  </w:style>
  <w:style w:type="numbering" w:customStyle="1" w:styleId="Bezzoznamu7">
    <w:name w:val="Bez zoznamu7"/>
    <w:next w:val="Bezzoznamu"/>
    <w:uiPriority w:val="99"/>
    <w:semiHidden/>
    <w:unhideWhenUsed/>
    <w:rsid w:val="00F36D06"/>
  </w:style>
  <w:style w:type="numbering" w:customStyle="1" w:styleId="Bezzoznamu8">
    <w:name w:val="Bez zoznamu8"/>
    <w:next w:val="Bezzoznamu"/>
    <w:uiPriority w:val="99"/>
    <w:semiHidden/>
    <w:unhideWhenUsed/>
    <w:rsid w:val="00F36D06"/>
  </w:style>
  <w:style w:type="numbering" w:customStyle="1" w:styleId="Bezzoznamu9">
    <w:name w:val="Bez zoznamu9"/>
    <w:next w:val="Bezzoznamu"/>
    <w:uiPriority w:val="99"/>
    <w:semiHidden/>
    <w:unhideWhenUsed/>
    <w:rsid w:val="00F36D06"/>
  </w:style>
  <w:style w:type="numbering" w:customStyle="1" w:styleId="Bezzoznamu10">
    <w:name w:val="Bez zoznamu10"/>
    <w:next w:val="Bezzoznamu"/>
    <w:uiPriority w:val="99"/>
    <w:semiHidden/>
    <w:unhideWhenUsed/>
    <w:rsid w:val="00F36D06"/>
  </w:style>
  <w:style w:type="numbering" w:customStyle="1" w:styleId="Bezzoznamu111">
    <w:name w:val="Bez zoznamu111"/>
    <w:next w:val="Bezzoznamu"/>
    <w:uiPriority w:val="99"/>
    <w:semiHidden/>
    <w:unhideWhenUsed/>
    <w:rsid w:val="00F36D06"/>
  </w:style>
  <w:style w:type="numbering" w:customStyle="1" w:styleId="Bezzoznamu12">
    <w:name w:val="Bez zoznamu12"/>
    <w:next w:val="Bezzoznamu"/>
    <w:uiPriority w:val="99"/>
    <w:semiHidden/>
    <w:unhideWhenUsed/>
    <w:rsid w:val="00F36D06"/>
  </w:style>
  <w:style w:type="numbering" w:customStyle="1" w:styleId="Bezzoznamu13">
    <w:name w:val="Bez zoznamu13"/>
    <w:next w:val="Bezzoznamu"/>
    <w:uiPriority w:val="99"/>
    <w:semiHidden/>
    <w:unhideWhenUsed/>
    <w:rsid w:val="00F36D06"/>
  </w:style>
  <w:style w:type="numbering" w:customStyle="1" w:styleId="Bezzoznamu14">
    <w:name w:val="Bez zoznamu14"/>
    <w:next w:val="Bezzoznamu"/>
    <w:uiPriority w:val="99"/>
    <w:semiHidden/>
    <w:unhideWhenUsed/>
    <w:rsid w:val="00875313"/>
  </w:style>
  <w:style w:type="numbering" w:customStyle="1" w:styleId="Bezzoznamu15">
    <w:name w:val="Bez zoznamu15"/>
    <w:next w:val="Bezzoznamu"/>
    <w:uiPriority w:val="99"/>
    <w:semiHidden/>
    <w:unhideWhenUsed/>
    <w:rsid w:val="00B10416"/>
  </w:style>
  <w:style w:type="numbering" w:customStyle="1" w:styleId="Bezzoznamu16">
    <w:name w:val="Bez zoznamu16"/>
    <w:next w:val="Bezzoznamu"/>
    <w:uiPriority w:val="99"/>
    <w:semiHidden/>
    <w:unhideWhenUsed/>
    <w:rsid w:val="005A43DD"/>
  </w:style>
  <w:style w:type="numbering" w:customStyle="1" w:styleId="Bezzoznamu17">
    <w:name w:val="Bez zoznamu17"/>
    <w:next w:val="Bezzoznamu"/>
    <w:uiPriority w:val="99"/>
    <w:semiHidden/>
    <w:unhideWhenUsed/>
    <w:rsid w:val="00A37EED"/>
  </w:style>
  <w:style w:type="numbering" w:customStyle="1" w:styleId="Bezzoznamu18">
    <w:name w:val="Bez zoznamu18"/>
    <w:next w:val="Bezzoznamu"/>
    <w:uiPriority w:val="99"/>
    <w:semiHidden/>
    <w:unhideWhenUsed/>
    <w:rsid w:val="003B78EC"/>
  </w:style>
  <w:style w:type="numbering" w:customStyle="1" w:styleId="Bezzoznamu19">
    <w:name w:val="Bez zoznamu19"/>
    <w:next w:val="Bezzoznamu"/>
    <w:uiPriority w:val="99"/>
    <w:semiHidden/>
    <w:unhideWhenUsed/>
    <w:rsid w:val="0017060B"/>
  </w:style>
  <w:style w:type="numbering" w:customStyle="1" w:styleId="Bezzoznamu20">
    <w:name w:val="Bez zoznamu20"/>
    <w:next w:val="Bezzoznamu"/>
    <w:uiPriority w:val="99"/>
    <w:semiHidden/>
    <w:unhideWhenUsed/>
    <w:rsid w:val="00DC5923"/>
  </w:style>
  <w:style w:type="numbering" w:customStyle="1" w:styleId="Bezzoznamu21">
    <w:name w:val="Bez zoznamu21"/>
    <w:next w:val="Bezzoznamu"/>
    <w:uiPriority w:val="99"/>
    <w:semiHidden/>
    <w:unhideWhenUsed/>
    <w:rsid w:val="00DA5B21"/>
  </w:style>
  <w:style w:type="numbering" w:customStyle="1" w:styleId="Bezzoznamu22">
    <w:name w:val="Bez zoznamu22"/>
    <w:next w:val="Bezzoznamu"/>
    <w:uiPriority w:val="99"/>
    <w:semiHidden/>
    <w:unhideWhenUsed/>
    <w:rsid w:val="004346AF"/>
  </w:style>
  <w:style w:type="numbering" w:customStyle="1" w:styleId="Bezzoznamu23">
    <w:name w:val="Bez zoznamu23"/>
    <w:next w:val="Bezzoznamu"/>
    <w:uiPriority w:val="99"/>
    <w:semiHidden/>
    <w:unhideWhenUsed/>
    <w:rsid w:val="00F17688"/>
  </w:style>
  <w:style w:type="numbering" w:customStyle="1" w:styleId="Bezzoznamu24">
    <w:name w:val="Bez zoznamu24"/>
    <w:next w:val="Bezzoznamu"/>
    <w:uiPriority w:val="99"/>
    <w:semiHidden/>
    <w:unhideWhenUsed/>
    <w:rsid w:val="00E03950"/>
  </w:style>
  <w:style w:type="numbering" w:customStyle="1" w:styleId="Bezzoznamu25">
    <w:name w:val="Bez zoznamu25"/>
    <w:next w:val="Bezzoznamu"/>
    <w:uiPriority w:val="99"/>
    <w:semiHidden/>
    <w:unhideWhenUsed/>
    <w:rsid w:val="00A67B24"/>
  </w:style>
  <w:style w:type="numbering" w:customStyle="1" w:styleId="Bezzoznamu26">
    <w:name w:val="Bez zoznamu26"/>
    <w:next w:val="Bezzoznamu"/>
    <w:uiPriority w:val="99"/>
    <w:semiHidden/>
    <w:unhideWhenUsed/>
    <w:rsid w:val="007B2BCA"/>
  </w:style>
  <w:style w:type="numbering" w:customStyle="1" w:styleId="Bezzoznamu27">
    <w:name w:val="Bez zoznamu27"/>
    <w:next w:val="Bezzoznamu"/>
    <w:uiPriority w:val="99"/>
    <w:semiHidden/>
    <w:unhideWhenUsed/>
    <w:rsid w:val="00032452"/>
  </w:style>
  <w:style w:type="numbering" w:customStyle="1" w:styleId="Bezzoznamu28">
    <w:name w:val="Bez zoznamu28"/>
    <w:next w:val="Bezzoznamu"/>
    <w:uiPriority w:val="99"/>
    <w:semiHidden/>
    <w:unhideWhenUsed/>
    <w:rsid w:val="00AA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pi.sk/Main/Default.aspx?Template=~/Main/TArticles.ascx&amp;phContent=~/ZzSR/ShowRule.ascx&amp;RuleId=0&amp;FragmentId1=5345907&amp;FragmentId2=534590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oc-users\users\BA-PISAROVA_J\My%20Documents\KEL%20K&#243;pia%20-%20Rozbor%20201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oc-users\users\BA-PISAROVA_J\My%20Documents\KEL%20K&#243;pia%20-%20Rozbor%20201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sk-SK" sz="1200" b="0">
                <a:latin typeface="Arial" panose="020B0604020202020204" pitchFamily="34" charset="0"/>
                <a:cs typeface="Arial" panose="020B0604020202020204" pitchFamily="34" charset="0"/>
              </a:rPr>
              <a:t>Vyhodnotenie kampaní za všetky pobočky  </a:t>
            </a:r>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2889995461571"/>
          <c:y val="9.1986501687289085E-2"/>
          <c:w val="0.88197621609269816"/>
          <c:h val="0.68848122556109059"/>
        </c:manualLayout>
      </c:layout>
      <c:bar3DChart>
        <c:barDir val="col"/>
        <c:grouping val="clustered"/>
        <c:varyColors val="0"/>
        <c:ser>
          <c:idx val="1"/>
          <c:order val="0"/>
          <c:tx>
            <c:strRef>
              <c:f>Spolu!$C$5</c:f>
              <c:strCache>
                <c:ptCount val="1"/>
                <c:pt idx="0">
                  <c:v>Objem poistného, viažuceho sa k odoslaným SMS správam a e-mailom v Eur</c:v>
                </c:pt>
              </c:strCache>
            </c:strRef>
          </c:tx>
          <c:spPr>
            <a:pattFill prst="solidDmnd">
              <a:fgClr>
                <a:srgbClr val="CC66FF"/>
              </a:fgClr>
              <a:bgClr>
                <a:schemeClr val="bg1"/>
              </a:bgClr>
            </a:pattFill>
            <a:ln w="9525" cap="flat" cmpd="sng" algn="ctr">
              <a:solidFill>
                <a:schemeClr val="accent4">
                  <a:lumMod val="75000"/>
                </a:schemeClr>
              </a:solidFill>
              <a:round/>
            </a:ln>
            <a:effectLst/>
            <a:sp3d contourW="9525">
              <a:contourClr>
                <a:schemeClr val="accent4">
                  <a:lumMod val="75000"/>
                </a:schemeClr>
              </a:contourClr>
            </a:sp3d>
          </c:spPr>
          <c:invertIfNegative val="0"/>
          <c:cat>
            <c:strRef>
              <c:f>Spolu!$A$6:$A$11</c:f>
              <c:strCache>
                <c:ptCount val="6"/>
                <c:pt idx="0">
                  <c:v>Január 2015</c:v>
                </c:pt>
                <c:pt idx="1">
                  <c:v>Február 2015</c:v>
                </c:pt>
                <c:pt idx="2">
                  <c:v>Marec 2015</c:v>
                </c:pt>
                <c:pt idx="3">
                  <c:v>Apríl 2015</c:v>
                </c:pt>
                <c:pt idx="4">
                  <c:v>Máj 2015</c:v>
                </c:pt>
                <c:pt idx="5">
                  <c:v>Jún 2015</c:v>
                </c:pt>
              </c:strCache>
            </c:strRef>
          </c:cat>
          <c:val>
            <c:numRef>
              <c:f>Spolu!$C$6:$C$11</c:f>
              <c:numCache>
                <c:formatCode>#,##0.00</c:formatCode>
                <c:ptCount val="6"/>
                <c:pt idx="0">
                  <c:v>2359271.63</c:v>
                </c:pt>
                <c:pt idx="1">
                  <c:v>2399733.31</c:v>
                </c:pt>
                <c:pt idx="2">
                  <c:v>2577859.79</c:v>
                </c:pt>
                <c:pt idx="3">
                  <c:v>2066440.38</c:v>
                </c:pt>
                <c:pt idx="4">
                  <c:v>2446759.13</c:v>
                </c:pt>
                <c:pt idx="5">
                  <c:v>2221523.61</c:v>
                </c:pt>
              </c:numCache>
            </c:numRef>
          </c:val>
        </c:ser>
        <c:ser>
          <c:idx val="2"/>
          <c:order val="1"/>
          <c:tx>
            <c:strRef>
              <c:f>Spolu!$D$5</c:f>
              <c:strCache>
                <c:ptCount val="1"/>
                <c:pt idx="0">
                  <c:v>Uhradené poistné na základe upozornenia formou SMS správ a e-mailu v Eur</c:v>
                </c:pt>
              </c:strCache>
            </c:strRef>
          </c:tx>
          <c:spPr>
            <a:solidFill>
              <a:srgbClr val="FF9900"/>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Spolu!$A$6:$A$11</c:f>
              <c:strCache>
                <c:ptCount val="6"/>
                <c:pt idx="0">
                  <c:v>Január 2015</c:v>
                </c:pt>
                <c:pt idx="1">
                  <c:v>Február 2015</c:v>
                </c:pt>
                <c:pt idx="2">
                  <c:v>Marec 2015</c:v>
                </c:pt>
                <c:pt idx="3">
                  <c:v>Apríl 2015</c:v>
                </c:pt>
                <c:pt idx="4">
                  <c:v>Máj 2015</c:v>
                </c:pt>
                <c:pt idx="5">
                  <c:v>Jún 2015</c:v>
                </c:pt>
              </c:strCache>
            </c:strRef>
          </c:cat>
          <c:val>
            <c:numRef>
              <c:f>Spolu!$D$6:$D$11</c:f>
              <c:numCache>
                <c:formatCode>#,##0.00</c:formatCode>
                <c:ptCount val="6"/>
                <c:pt idx="0">
                  <c:v>368810.77</c:v>
                </c:pt>
                <c:pt idx="1">
                  <c:v>311169.15999999997</c:v>
                </c:pt>
                <c:pt idx="2">
                  <c:v>345271.17</c:v>
                </c:pt>
                <c:pt idx="3">
                  <c:v>259161.22</c:v>
                </c:pt>
                <c:pt idx="4">
                  <c:v>362498.95</c:v>
                </c:pt>
                <c:pt idx="5">
                  <c:v>313525.55</c:v>
                </c:pt>
              </c:numCache>
            </c:numRef>
          </c:val>
        </c:ser>
        <c:dLbls>
          <c:showLegendKey val="0"/>
          <c:showVal val="0"/>
          <c:showCatName val="0"/>
          <c:showSerName val="0"/>
          <c:showPercent val="0"/>
          <c:showBubbleSize val="0"/>
        </c:dLbls>
        <c:gapWidth val="65"/>
        <c:shape val="box"/>
        <c:axId val="165484800"/>
        <c:axId val="165486592"/>
        <c:axId val="0"/>
        <c:extLst>
          <c:ext xmlns:c15="http://schemas.microsoft.com/office/drawing/2012/chart" uri="{02D57815-91ED-43cb-92C2-25804820EDAC}">
            <c15:filteredBarSeries>
              <c15:ser>
                <c:idx val="0"/>
                <c:order val="0"/>
                <c:tx>
                  <c:strRef>
                    <c:extLst>
                      <c:ext uri="{02D57815-91ED-43cb-92C2-25804820EDAC}">
                        <c15:formulaRef>
                          <c15:sqref>Spolu!$B$5</c15:sqref>
                        </c15:formulaRef>
                      </c:ext>
                    </c:extLst>
                    <c:strCache>
                      <c:ptCount val="1"/>
                      <c:pt idx="0">
                        <c:v>Počet odoslaných SMS a e-mailov</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extLst>
                      <c:ext uri="{02D57815-91ED-43cb-92C2-25804820EDAC}">
                        <c15:formulaRef>
                          <c15:sqref>Spolu!$A$6:$A$7</c15:sqref>
                        </c15:formulaRef>
                      </c:ext>
                    </c:extLst>
                    <c:strCache>
                      <c:ptCount val="8"/>
                      <c:pt idx="0">
                        <c:v>Máj</c:v>
                      </c:pt>
                      <c:pt idx="1">
                        <c:v>Jún</c:v>
                      </c:pt>
                      <c:pt idx="2">
                        <c:v>Júl</c:v>
                      </c:pt>
                      <c:pt idx="3">
                        <c:v>August</c:v>
                      </c:pt>
                      <c:pt idx="4">
                        <c:v>September</c:v>
                      </c:pt>
                      <c:pt idx="5">
                        <c:v>Október</c:v>
                      </c:pt>
                      <c:pt idx="6">
                        <c:v>November</c:v>
                      </c:pt>
                      <c:pt idx="7">
                        <c:v>December</c:v>
                      </c:pt>
                    </c:strCache>
                  </c:strRef>
                </c:cat>
                <c:val>
                  <c:numRef>
                    <c:extLst>
                      <c:ext uri="{02D57815-91ED-43cb-92C2-25804820EDAC}">
                        <c15:formulaRef>
                          <c15:sqref>Spolu!$B$6:$B$7</c15:sqref>
                        </c15:formulaRef>
                      </c:ext>
                    </c:extLst>
                    <c:numCache>
                      <c:formatCode>#,##0</c:formatCode>
                      <c:ptCount val="8"/>
                      <c:pt idx="0">
                        <c:v>4729</c:v>
                      </c:pt>
                      <c:pt idx="1">
                        <c:v>4690</c:v>
                      </c:pt>
                      <c:pt idx="2">
                        <c:v>5521</c:v>
                      </c:pt>
                      <c:pt idx="3">
                        <c:v>4944</c:v>
                      </c:pt>
                      <c:pt idx="4">
                        <c:v>4667</c:v>
                      </c:pt>
                      <c:pt idx="5">
                        <c:v>4502</c:v>
                      </c:pt>
                      <c:pt idx="6">
                        <c:v>4759</c:v>
                      </c:pt>
                      <c:pt idx="7">
                        <c:v>4576</c:v>
                      </c:pt>
                    </c:numCache>
                  </c:numRef>
                </c:val>
              </c15:ser>
            </c15:filteredBarSeries>
          </c:ext>
        </c:extLst>
      </c:bar3DChart>
      <c:catAx>
        <c:axId val="165484800"/>
        <c:scaling>
          <c:orientation val="minMax"/>
        </c:scaling>
        <c:delete val="0"/>
        <c:axPos val="b"/>
        <c:numFmt formatCode="General" sourceLinked="1"/>
        <c:majorTickMark val="none"/>
        <c:minorTickMark val="none"/>
        <c:tickLblPos val="nextTo"/>
        <c:txPr>
          <a:bodyPr rot="-60000000" vert="horz"/>
          <a:lstStyle/>
          <a:p>
            <a:pPr>
              <a:defRPr/>
            </a:pPr>
            <a:endParaRPr lang="sk-SK"/>
          </a:p>
        </c:txPr>
        <c:crossAx val="165486592"/>
        <c:crosses val="autoZero"/>
        <c:auto val="1"/>
        <c:lblAlgn val="ctr"/>
        <c:lblOffset val="100"/>
        <c:noMultiLvlLbl val="0"/>
      </c:catAx>
      <c:valAx>
        <c:axId val="16548659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crossAx val="1654848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k-SK"/>
          </a:p>
        </c:txPr>
      </c:legendEntry>
      <c:layout>
        <c:manualLayout>
          <c:xMode val="edge"/>
          <c:yMode val="edge"/>
          <c:x val="7.1844890356447394E-2"/>
          <c:y val="0.85975124538004177"/>
          <c:w val="0.88533858267716536"/>
          <c:h val="0.1105534913270315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noFill/>
    <a:ln w="9525" cap="flat" cmpd="sng" algn="ctr">
      <a:noFill/>
      <a:round/>
    </a:ln>
    <a:effectLst/>
  </c:spPr>
  <c:txPr>
    <a:bodyPr/>
    <a:lstStyle/>
    <a:p>
      <a:pPr>
        <a:defRPr/>
      </a:pPr>
      <a:endParaRPr lang="sk-S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286737687200865"/>
          <c:y val="3.8650431853912995E-2"/>
          <c:w val="0.87086687419886466"/>
          <c:h val="0.72319031816823032"/>
        </c:manualLayout>
      </c:layout>
      <c:lineChart>
        <c:grouping val="standard"/>
        <c:varyColors val="0"/>
        <c:ser>
          <c:idx val="0"/>
          <c:order val="0"/>
          <c:tx>
            <c:strRef>
              <c:f>'do textu'!$A$44</c:f>
              <c:strCache>
                <c:ptCount val="1"/>
                <c:pt idx="0">
                  <c:v>Skutočnosť rok 2010</c:v>
                </c:pt>
              </c:strCache>
            </c:strRef>
          </c:tx>
          <c:spPr>
            <a:ln>
              <a:solidFill>
                <a:schemeClr val="accent1"/>
              </a:solidFill>
              <a:prstDash val="sysDot"/>
            </a:ln>
          </c:spPr>
          <c:dLbls>
            <c:delete val="1"/>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textu'!$B$44:$M$44</c:f>
              <c:numCache>
                <c:formatCode>#,##0</c:formatCode>
                <c:ptCount val="12"/>
                <c:pt idx="0">
                  <c:v>29366</c:v>
                </c:pt>
                <c:pt idx="1">
                  <c:v>30856</c:v>
                </c:pt>
                <c:pt idx="2">
                  <c:v>30014</c:v>
                </c:pt>
                <c:pt idx="3">
                  <c:v>30660</c:v>
                </c:pt>
                <c:pt idx="4">
                  <c:v>29259</c:v>
                </c:pt>
                <c:pt idx="5">
                  <c:v>27976</c:v>
                </c:pt>
                <c:pt idx="6">
                  <c:v>26710</c:v>
                </c:pt>
                <c:pt idx="7">
                  <c:v>27177</c:v>
                </c:pt>
                <c:pt idx="8">
                  <c:v>25557</c:v>
                </c:pt>
                <c:pt idx="9">
                  <c:v>25975</c:v>
                </c:pt>
                <c:pt idx="10">
                  <c:v>26358</c:v>
                </c:pt>
                <c:pt idx="11">
                  <c:v>28554</c:v>
                </c:pt>
              </c:numCache>
            </c:numRef>
          </c:val>
          <c:smooth val="0"/>
        </c:ser>
        <c:ser>
          <c:idx val="1"/>
          <c:order val="1"/>
          <c:tx>
            <c:strRef>
              <c:f>'do textu'!$A$45</c:f>
              <c:strCache>
                <c:ptCount val="1"/>
                <c:pt idx="0">
                  <c:v>Skutočnosť rok 2011</c:v>
                </c:pt>
              </c:strCache>
            </c:strRef>
          </c:tx>
          <c:spPr>
            <a:ln>
              <a:solidFill>
                <a:schemeClr val="accent6">
                  <a:lumMod val="75000"/>
                </a:schemeClr>
              </a:solidFill>
              <a:prstDash val="sysDash"/>
            </a:ln>
          </c:spPr>
          <c:marker>
            <c:spPr>
              <a:solidFill>
                <a:schemeClr val="accent6">
                  <a:lumMod val="60000"/>
                  <a:lumOff val="40000"/>
                </a:schemeClr>
              </a:solidFill>
            </c:spPr>
          </c:marker>
          <c:dLbls>
            <c:delete val="1"/>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textu'!$B$45:$M$45</c:f>
              <c:numCache>
                <c:formatCode>#,##0</c:formatCode>
                <c:ptCount val="12"/>
                <c:pt idx="0">
                  <c:v>31332</c:v>
                </c:pt>
                <c:pt idx="1">
                  <c:v>34696</c:v>
                </c:pt>
                <c:pt idx="2">
                  <c:v>34035</c:v>
                </c:pt>
                <c:pt idx="3">
                  <c:v>35469</c:v>
                </c:pt>
                <c:pt idx="4">
                  <c:v>31556</c:v>
                </c:pt>
                <c:pt idx="5">
                  <c:v>31542</c:v>
                </c:pt>
                <c:pt idx="6">
                  <c:v>29519</c:v>
                </c:pt>
                <c:pt idx="7">
                  <c:v>30216</c:v>
                </c:pt>
                <c:pt idx="8">
                  <c:v>29540</c:v>
                </c:pt>
                <c:pt idx="9">
                  <c:v>29045</c:v>
                </c:pt>
                <c:pt idx="10">
                  <c:v>32115</c:v>
                </c:pt>
                <c:pt idx="11">
                  <c:v>32371</c:v>
                </c:pt>
              </c:numCache>
            </c:numRef>
          </c:val>
          <c:smooth val="0"/>
        </c:ser>
        <c:ser>
          <c:idx val="2"/>
          <c:order val="2"/>
          <c:tx>
            <c:strRef>
              <c:f>'do textu'!$A$46</c:f>
              <c:strCache>
                <c:ptCount val="1"/>
                <c:pt idx="0">
                  <c:v>Skutočnosť rok 2012</c:v>
                </c:pt>
              </c:strCache>
            </c:strRef>
          </c:tx>
          <c:spPr>
            <a:ln>
              <a:prstDash val="lgDash"/>
            </a:ln>
          </c:spPr>
          <c:dLbls>
            <c:delete val="1"/>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textu'!$B$46:$M$46</c:f>
              <c:numCache>
                <c:formatCode>#,##0</c:formatCode>
                <c:ptCount val="12"/>
                <c:pt idx="0">
                  <c:v>36253</c:v>
                </c:pt>
                <c:pt idx="1">
                  <c:v>39972</c:v>
                </c:pt>
                <c:pt idx="2">
                  <c:v>40288</c:v>
                </c:pt>
                <c:pt idx="3">
                  <c:v>39837</c:v>
                </c:pt>
                <c:pt idx="4">
                  <c:v>35139</c:v>
                </c:pt>
                <c:pt idx="5">
                  <c:v>34492</c:v>
                </c:pt>
                <c:pt idx="6">
                  <c:v>32434</c:v>
                </c:pt>
                <c:pt idx="7">
                  <c:v>32937</c:v>
                </c:pt>
                <c:pt idx="8">
                  <c:v>32886</c:v>
                </c:pt>
                <c:pt idx="9">
                  <c:v>32465</c:v>
                </c:pt>
                <c:pt idx="10">
                  <c:v>35534</c:v>
                </c:pt>
                <c:pt idx="11">
                  <c:v>35923</c:v>
                </c:pt>
              </c:numCache>
            </c:numRef>
          </c:val>
          <c:smooth val="0"/>
        </c:ser>
        <c:ser>
          <c:idx val="3"/>
          <c:order val="3"/>
          <c:tx>
            <c:strRef>
              <c:f>'do textu'!$A$47</c:f>
              <c:strCache>
                <c:ptCount val="1"/>
                <c:pt idx="0">
                  <c:v>Skutočnosť rok 2013</c:v>
                </c:pt>
              </c:strCache>
            </c:strRef>
          </c:tx>
          <c:spPr>
            <a:ln w="25400">
              <a:solidFill>
                <a:srgbClr val="00B050"/>
              </a:solidFill>
              <a:prstDash val="lgDashDotDot"/>
            </a:ln>
          </c:spPr>
          <c:marker>
            <c:symbol val="x"/>
            <c:size val="7"/>
            <c:spPr>
              <a:ln w="12700">
                <a:solidFill>
                  <a:srgbClr val="00B050"/>
                </a:solidFill>
              </a:ln>
            </c:spPr>
          </c:marker>
          <c:dLbls>
            <c:delete val="1"/>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textu'!$B$47:$M$47</c:f>
              <c:numCache>
                <c:formatCode>#,##0</c:formatCode>
                <c:ptCount val="12"/>
                <c:pt idx="0">
                  <c:v>37511</c:v>
                </c:pt>
                <c:pt idx="1">
                  <c:v>38233</c:v>
                </c:pt>
                <c:pt idx="2">
                  <c:v>37459</c:v>
                </c:pt>
                <c:pt idx="3">
                  <c:v>38246</c:v>
                </c:pt>
                <c:pt idx="4">
                  <c:v>33533</c:v>
                </c:pt>
                <c:pt idx="5">
                  <c:v>32425</c:v>
                </c:pt>
                <c:pt idx="6">
                  <c:v>30458</c:v>
                </c:pt>
                <c:pt idx="7">
                  <c:v>30799</c:v>
                </c:pt>
                <c:pt idx="8">
                  <c:v>30112</c:v>
                </c:pt>
                <c:pt idx="9">
                  <c:v>29109</c:v>
                </c:pt>
                <c:pt idx="10">
                  <c:v>31343</c:v>
                </c:pt>
                <c:pt idx="11">
                  <c:v>30206</c:v>
                </c:pt>
              </c:numCache>
            </c:numRef>
          </c:val>
          <c:smooth val="0"/>
        </c:ser>
        <c:ser>
          <c:idx val="4"/>
          <c:order val="4"/>
          <c:tx>
            <c:strRef>
              <c:f>'do textu'!$A$48</c:f>
              <c:strCache>
                <c:ptCount val="1"/>
                <c:pt idx="0">
                  <c:v>Skutočnosť rok 2014</c:v>
                </c:pt>
              </c:strCache>
            </c:strRef>
          </c:tx>
          <c:spPr>
            <a:ln w="25400" cmpd="dbl">
              <a:solidFill>
                <a:srgbClr val="7030A0"/>
              </a:solidFill>
              <a:prstDash val="sysDash"/>
            </a:ln>
          </c:spPr>
          <c:marker>
            <c:spPr>
              <a:ln>
                <a:solidFill>
                  <a:schemeClr val="accent4">
                    <a:lumMod val="75000"/>
                  </a:schemeClr>
                </a:solidFill>
              </a:ln>
            </c:spPr>
          </c:marker>
          <c:dLbls>
            <c:delete val="1"/>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textu'!$B$48:$M$48</c:f>
              <c:numCache>
                <c:formatCode>#,##0</c:formatCode>
                <c:ptCount val="12"/>
                <c:pt idx="0">
                  <c:v>32752</c:v>
                </c:pt>
                <c:pt idx="1">
                  <c:v>32998</c:v>
                </c:pt>
                <c:pt idx="2">
                  <c:v>31981</c:v>
                </c:pt>
                <c:pt idx="3">
                  <c:v>34009</c:v>
                </c:pt>
                <c:pt idx="4">
                  <c:v>31455</c:v>
                </c:pt>
                <c:pt idx="5">
                  <c:v>31486</c:v>
                </c:pt>
                <c:pt idx="6">
                  <c:v>30536</c:v>
                </c:pt>
                <c:pt idx="7">
                  <c:v>30837</c:v>
                </c:pt>
                <c:pt idx="8">
                  <c:v>30254</c:v>
                </c:pt>
                <c:pt idx="9">
                  <c:v>29617</c:v>
                </c:pt>
                <c:pt idx="10">
                  <c:v>32597</c:v>
                </c:pt>
                <c:pt idx="11">
                  <c:v>32290</c:v>
                </c:pt>
              </c:numCache>
            </c:numRef>
          </c:val>
          <c:smooth val="0"/>
        </c:ser>
        <c:ser>
          <c:idx val="5"/>
          <c:order val="5"/>
          <c:tx>
            <c:strRef>
              <c:f>'do textu'!$A$49</c:f>
              <c:strCache>
                <c:ptCount val="1"/>
                <c:pt idx="0">
                  <c:v>Skutočnosť rok 2015</c:v>
                </c:pt>
              </c:strCache>
            </c:strRef>
          </c:tx>
          <c:spPr>
            <a:ln w="34925">
              <a:solidFill>
                <a:srgbClr val="FF0000"/>
              </a:solidFill>
            </a:ln>
          </c:spPr>
          <c:marker>
            <c:spPr>
              <a:solidFill>
                <a:srgbClr val="FF0000"/>
              </a:solidFill>
              <a:ln>
                <a:solidFill>
                  <a:srgbClr val="FF0000"/>
                </a:solidFill>
              </a:ln>
            </c:spPr>
          </c:marker>
          <c:dLbls>
            <c:dLbl>
              <c:idx val="0"/>
              <c:layout>
                <c:manualLayout>
                  <c:x val="-2.9964893628802728E-2"/>
                  <c:y val="2.4060940102751491E-2"/>
                </c:manualLayout>
              </c:layout>
              <c:dLblPos val="r"/>
              <c:showLegendKey val="0"/>
              <c:showVal val="1"/>
              <c:showCatName val="0"/>
              <c:showSerName val="0"/>
              <c:showPercent val="0"/>
              <c:showBubbleSize val="0"/>
            </c:dLbl>
            <c:dLbl>
              <c:idx val="1"/>
              <c:layout>
                <c:manualLayout>
                  <c:x val="-3.7237455612166126E-2"/>
                  <c:y val="-4.1269315019833046E-2"/>
                </c:manualLayout>
              </c:layout>
              <c:dLblPos val="r"/>
              <c:showLegendKey val="0"/>
              <c:showVal val="1"/>
              <c:showCatName val="0"/>
              <c:showSerName val="0"/>
              <c:showPercent val="0"/>
              <c:showBubbleSize val="0"/>
            </c:dLbl>
            <c:dLbl>
              <c:idx val="2"/>
              <c:layout>
                <c:manualLayout>
                  <c:x val="-4.2104678091709091E-2"/>
                  <c:y val="2.9999934218748973E-2"/>
                </c:manualLayout>
              </c:layout>
              <c:dLblPos val="r"/>
              <c:showLegendKey val="0"/>
              <c:showVal val="1"/>
              <c:showCatName val="0"/>
              <c:showSerName val="0"/>
              <c:showPercent val="0"/>
              <c:showBubbleSize val="0"/>
            </c:dLbl>
            <c:dLbl>
              <c:idx val="3"/>
              <c:layout>
                <c:manualLayout>
                  <c:x val="-3.0645823683804231E-2"/>
                  <c:y val="-3.3477131148080173E-2"/>
                </c:manualLayout>
              </c:layout>
              <c:dLblPos val="r"/>
              <c:showLegendKey val="0"/>
              <c:showVal val="1"/>
              <c:showCatName val="0"/>
              <c:showSerName val="0"/>
              <c:showPercent val="0"/>
              <c:showBubbleSize val="0"/>
            </c:dLbl>
            <c:dLbl>
              <c:idx val="4"/>
              <c:layout>
                <c:manualLayout>
                  <c:x val="-1.4519221861973136E-2"/>
                  <c:y val="3.3728678652010603E-2"/>
                </c:manualLayout>
              </c:layout>
              <c:dLblPos val="r"/>
              <c:showLegendKey val="0"/>
              <c:showVal val="1"/>
              <c:showCatName val="0"/>
              <c:showSerName val="0"/>
              <c:showPercent val="0"/>
              <c:showBubbleSize val="0"/>
            </c:dLbl>
            <c:dLbl>
              <c:idx val="5"/>
              <c:layout>
                <c:manualLayout>
                  <c:x val="-7.6115485564304459E-4"/>
                  <c:y val="-2.9026371703537057E-2"/>
                </c:manualLayout>
              </c:layout>
              <c:dLblPos val="r"/>
              <c:showLegendKey val="0"/>
              <c:showVal val="1"/>
              <c:showCatName val="0"/>
              <c:showSerName val="0"/>
              <c:showPercent val="0"/>
              <c:showBubbleSize val="0"/>
            </c:dLbl>
            <c:txPr>
              <a:bodyPr/>
              <a:lstStyle/>
              <a:p>
                <a:pPr>
                  <a:defRPr b="1">
                    <a:solidFill>
                      <a:srgbClr val="FF0000"/>
                    </a:solidFill>
                  </a:defRPr>
                </a:pPr>
                <a:endParaRPr lang="sk-SK"/>
              </a:p>
            </c:txPr>
            <c:dLblPos val="b"/>
            <c:showLegendKey val="0"/>
            <c:showVal val="1"/>
            <c:showCatName val="0"/>
            <c:showSerName val="0"/>
            <c:showPercent val="0"/>
            <c:showBubbleSize val="0"/>
            <c:showLeaderLines val="0"/>
          </c:dLbls>
          <c:cat>
            <c:strRef>
              <c:f>'do textu'!$B$43:$M$43</c:f>
              <c:strCache>
                <c:ptCount val="12"/>
                <c:pt idx="0">
                  <c:v>január</c:v>
                </c:pt>
                <c:pt idx="1">
                  <c:v>február</c:v>
                </c:pt>
                <c:pt idx="2">
                  <c:v>marec</c:v>
                </c:pt>
                <c:pt idx="3">
                  <c:v>apríl</c:v>
                </c:pt>
                <c:pt idx="4">
                  <c:v>máj</c:v>
                </c:pt>
                <c:pt idx="5">
                  <c:v>jún</c:v>
                </c:pt>
                <c:pt idx="6">
                  <c:v>júl</c:v>
                </c:pt>
                <c:pt idx="7">
                  <c:v>august</c:v>
                </c:pt>
                <c:pt idx="8">
                  <c:v>september</c:v>
                </c:pt>
                <c:pt idx="9">
                  <c:v>október</c:v>
                </c:pt>
                <c:pt idx="10">
                  <c:v>november</c:v>
                </c:pt>
                <c:pt idx="11">
                  <c:v>december</c:v>
                </c:pt>
              </c:strCache>
            </c:strRef>
          </c:cat>
          <c:val>
            <c:numRef>
              <c:f>'do textu'!$B$49:$M$49</c:f>
              <c:numCache>
                <c:formatCode>#,##0</c:formatCode>
                <c:ptCount val="12"/>
                <c:pt idx="0">
                  <c:v>34662</c:v>
                </c:pt>
                <c:pt idx="1">
                  <c:v>35273</c:v>
                </c:pt>
                <c:pt idx="2">
                  <c:v>35760</c:v>
                </c:pt>
                <c:pt idx="3">
                  <c:v>38168</c:v>
                </c:pt>
                <c:pt idx="4">
                  <c:v>33821</c:v>
                </c:pt>
                <c:pt idx="5">
                  <c:v>34158</c:v>
                </c:pt>
              </c:numCache>
            </c:numRef>
          </c:val>
          <c:smooth val="0"/>
        </c:ser>
        <c:dLbls>
          <c:dLblPos val="b"/>
          <c:showLegendKey val="0"/>
          <c:showVal val="1"/>
          <c:showCatName val="0"/>
          <c:showSerName val="0"/>
          <c:showPercent val="0"/>
          <c:showBubbleSize val="0"/>
        </c:dLbls>
        <c:marker val="1"/>
        <c:smooth val="0"/>
        <c:axId val="165494144"/>
        <c:axId val="165550336"/>
      </c:lineChart>
      <c:catAx>
        <c:axId val="165494144"/>
        <c:scaling>
          <c:orientation val="minMax"/>
        </c:scaling>
        <c:delete val="0"/>
        <c:axPos val="b"/>
        <c:majorTickMark val="out"/>
        <c:minorTickMark val="none"/>
        <c:tickLblPos val="nextTo"/>
        <c:txPr>
          <a:bodyPr rot="-1260000"/>
          <a:lstStyle/>
          <a:p>
            <a:pPr>
              <a:defRPr/>
            </a:pPr>
            <a:endParaRPr lang="sk-SK"/>
          </a:p>
        </c:txPr>
        <c:crossAx val="165550336"/>
        <c:crosses val="autoZero"/>
        <c:auto val="1"/>
        <c:lblAlgn val="ctr"/>
        <c:lblOffset val="100"/>
        <c:noMultiLvlLbl val="0"/>
      </c:catAx>
      <c:valAx>
        <c:axId val="165550336"/>
        <c:scaling>
          <c:orientation val="minMax"/>
          <c:min val="25000"/>
        </c:scaling>
        <c:delete val="0"/>
        <c:axPos val="l"/>
        <c:title>
          <c:tx>
            <c:rich>
              <a:bodyPr rot="-5400000" vert="horz"/>
              <a:lstStyle/>
              <a:p>
                <a:pPr>
                  <a:defRPr b="0"/>
                </a:pPr>
                <a:r>
                  <a:rPr lang="sk-SK" b="0"/>
                  <a:t>v tis. Eur</a:t>
                </a:r>
              </a:p>
            </c:rich>
          </c:tx>
          <c:layout>
            <c:manualLayout>
              <c:xMode val="edge"/>
              <c:yMode val="edge"/>
              <c:x val="1.2909174734900875E-2"/>
              <c:y val="0.2862843499984189"/>
            </c:manualLayout>
          </c:layout>
          <c:overlay val="0"/>
        </c:title>
        <c:numFmt formatCode="#,##0" sourceLinked="0"/>
        <c:majorTickMark val="out"/>
        <c:minorTickMark val="none"/>
        <c:tickLblPos val="nextTo"/>
        <c:crossAx val="165494144"/>
        <c:crosses val="autoZero"/>
        <c:crossBetween val="between"/>
      </c:valAx>
    </c:plotArea>
    <c:legend>
      <c:legendPos val="b"/>
      <c:layout>
        <c:manualLayout>
          <c:xMode val="edge"/>
          <c:yMode val="edge"/>
          <c:x val="6.453614184302911E-2"/>
          <c:y val="0.89062639099937069"/>
          <c:w val="0.88905035604726612"/>
          <c:h val="8.3449217970560693E-2"/>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5"/>
      <c:rotY val="0"/>
      <c:rAngAx val="0"/>
      <c:perspective val="0"/>
    </c:view3D>
    <c:floor>
      <c:thickness val="0"/>
    </c:floor>
    <c:sideWall>
      <c:thickness val="0"/>
    </c:sideWall>
    <c:backWall>
      <c:thickness val="0"/>
    </c:backWall>
    <c:plotArea>
      <c:layout>
        <c:manualLayout>
          <c:layoutTarget val="inner"/>
          <c:xMode val="edge"/>
          <c:yMode val="edge"/>
          <c:x val="0.22649023794305503"/>
          <c:y val="0.2200005163289015"/>
          <c:w val="0.55775117376814642"/>
          <c:h val="0.56222344232517862"/>
        </c:manualLayout>
      </c:layout>
      <c:pie3DChart>
        <c:varyColors val="1"/>
        <c:ser>
          <c:idx val="0"/>
          <c:order val="0"/>
          <c:spPr>
            <a:solidFill>
              <a:srgbClr val="9999FF"/>
            </a:solidFill>
            <a:ln w="12700">
              <a:solidFill>
                <a:srgbClr val="000000"/>
              </a:solidFill>
              <a:prstDash val="solid"/>
            </a:ln>
          </c:spPr>
          <c:explosion val="16"/>
          <c:dPt>
            <c:idx val="0"/>
            <c:bubble3D val="0"/>
            <c:explosion val="8"/>
            <c:spPr>
              <a:pattFill prst="pct70">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0">
                <a:solidFill>
                  <a:srgbClr val="000000"/>
                </a:solidFill>
                <a:prstDash val="solid"/>
              </a:ln>
            </c:spPr>
          </c:dPt>
          <c:dPt>
            <c:idx val="1"/>
            <c:bubble3D val="0"/>
            <c:explosion val="2"/>
            <c:spPr>
              <a:pattFill prst="smConfetti">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explosion val="27"/>
            <c:spPr>
              <a:solidFill>
                <a:srgbClr val="FFFFFF"/>
              </a:solidFill>
              <a:ln w="12700">
                <a:solidFill>
                  <a:srgbClr val="000000"/>
                </a:solidFill>
                <a:prstDash val="solid"/>
              </a:ln>
            </c:spPr>
          </c:dPt>
          <c:dPt>
            <c:idx val="3"/>
            <c:bubble3D val="0"/>
            <c:spPr>
              <a:pattFill prst="pct60">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700">
                <a:solidFill>
                  <a:srgbClr val="000000"/>
                </a:solidFill>
                <a:prstDash val="solid"/>
              </a:ln>
            </c:spPr>
          </c:dPt>
          <c:dPt>
            <c:idx val="4"/>
            <c:bubble3D val="0"/>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5"/>
            <c:bubble3D val="0"/>
            <c:spPr>
              <a:solidFill>
                <a:srgbClr val="FFFFFF"/>
              </a:solidFill>
              <a:ln w="12700">
                <a:solidFill>
                  <a:srgbClr val="000000"/>
                </a:solidFill>
                <a:prstDash val="solid"/>
              </a:ln>
            </c:spPr>
          </c:dPt>
          <c:dLbls>
            <c:dLbl>
              <c:idx val="0"/>
              <c:layout>
                <c:manualLayout>
                  <c:x val="8.2482121029475469E-2"/>
                  <c:y val="7.4342531725760524E-2"/>
                </c:manualLayout>
              </c:layout>
              <c:tx>
                <c:rich>
                  <a:bodyPr/>
                  <a:lstStyle/>
                  <a:p>
                    <a:r>
                      <a:rPr lang="en-US"/>
                      <a:t>starobné 
7</a:t>
                    </a:r>
                    <a:r>
                      <a:rPr lang="sk-SK"/>
                      <a:t>5</a:t>
                    </a:r>
                    <a:r>
                      <a:rPr lang="en-US"/>
                      <a:t>,</a:t>
                    </a:r>
                    <a:r>
                      <a:rPr lang="sk-SK"/>
                      <a:t>87</a:t>
                    </a:r>
                    <a:r>
                      <a:rPr lang="en-US"/>
                      <a:t>%</a:t>
                    </a:r>
                  </a:p>
                </c:rich>
              </c:tx>
              <c:dLblPos val="bestFit"/>
              <c:showLegendKey val="0"/>
              <c:showVal val="0"/>
              <c:showCatName val="1"/>
              <c:showSerName val="0"/>
              <c:showPercent val="1"/>
              <c:showBubbleSize val="0"/>
            </c:dLbl>
            <c:dLbl>
              <c:idx val="1"/>
              <c:layout>
                <c:manualLayout>
                  <c:x val="-0.10861320027923835"/>
                  <c:y val="3.075591540877979E-3"/>
                </c:manualLayout>
              </c:layout>
              <c:tx>
                <c:rich>
                  <a:bodyPr/>
                  <a:lstStyle/>
                  <a:p>
                    <a:pPr>
                      <a:defRPr sz="800" b="0" i="0" u="none" strike="noStrike" baseline="0">
                        <a:solidFill>
                          <a:srgbClr val="000000"/>
                        </a:solidFill>
                        <a:latin typeface="Arial"/>
                        <a:ea typeface="Arial"/>
                        <a:cs typeface="Arial"/>
                      </a:defRPr>
                    </a:pPr>
                    <a:r>
                      <a:rPr lang="sk-SK"/>
                      <a:t>predčasné star.
1,67%</a:t>
                    </a:r>
                  </a:p>
                </c:rich>
              </c:tx>
              <c:spPr>
                <a:noFill/>
                <a:ln w="25400">
                  <a:noFill/>
                </a:ln>
              </c:spPr>
              <c:dLblPos val="bestFit"/>
              <c:showLegendKey val="0"/>
              <c:showVal val="0"/>
              <c:showCatName val="0"/>
              <c:showSerName val="0"/>
              <c:showPercent val="0"/>
              <c:showBubbleSize val="0"/>
            </c:dLbl>
            <c:dLbl>
              <c:idx val="2"/>
              <c:layout>
                <c:manualLayout>
                  <c:x val="-8.5241728203663658E-2"/>
                  <c:y val="-0.10186584054042425"/>
                </c:manualLayout>
              </c:layout>
              <c:tx>
                <c:rich>
                  <a:bodyPr/>
                  <a:lstStyle/>
                  <a:p>
                    <a:pPr>
                      <a:defRPr sz="800" b="0" i="0" u="none" strike="noStrike" baseline="0">
                        <a:solidFill>
                          <a:srgbClr val="000000"/>
                        </a:solidFill>
                        <a:latin typeface="Arial"/>
                        <a:ea typeface="Arial"/>
                        <a:cs typeface="Arial"/>
                      </a:defRPr>
                    </a:pPr>
                    <a:r>
                      <a:rPr lang="sk-SK"/>
                      <a:t>vdovecké
0,88%</a:t>
                    </a:r>
                  </a:p>
                </c:rich>
              </c:tx>
              <c:spPr>
                <a:noFill/>
                <a:ln w="25400">
                  <a:noFill/>
                </a:ln>
              </c:spPr>
              <c:dLblPos val="bestFit"/>
              <c:showLegendKey val="0"/>
              <c:showVal val="0"/>
              <c:showCatName val="0"/>
              <c:showSerName val="0"/>
              <c:showPercent val="0"/>
              <c:showBubbleSize val="0"/>
            </c:dLbl>
            <c:dLbl>
              <c:idx val="3"/>
              <c:layout>
                <c:manualLayout>
                  <c:x val="-1.2358118156578743E-2"/>
                  <c:y val="-0.14467362311418389"/>
                </c:manualLayout>
              </c:layout>
              <c:dLblPos val="bestFit"/>
              <c:showLegendKey val="0"/>
              <c:showVal val="0"/>
              <c:showCatName val="1"/>
              <c:showSerName val="0"/>
              <c:showPercent val="1"/>
              <c:showBubbleSize val="0"/>
            </c:dLbl>
            <c:dLbl>
              <c:idx val="4"/>
              <c:layout>
                <c:manualLayout>
                  <c:x val="-2.2717156563455319E-2"/>
                  <c:y val="-0.12752293819677032"/>
                </c:manualLayout>
              </c:layout>
              <c:tx>
                <c:rich>
                  <a:bodyPr/>
                  <a:lstStyle/>
                  <a:p>
                    <a:pPr>
                      <a:defRPr sz="800" b="0" i="0" u="none" strike="noStrike" baseline="0">
                        <a:solidFill>
                          <a:srgbClr val="000000"/>
                        </a:solidFill>
                        <a:latin typeface="Arial"/>
                        <a:ea typeface="Arial"/>
                        <a:cs typeface="Arial"/>
                      </a:defRPr>
                    </a:pPr>
                    <a:r>
                      <a:rPr lang="sk-SK"/>
                      <a:t>invalidné
11,97%</a:t>
                    </a:r>
                  </a:p>
                </c:rich>
              </c:tx>
              <c:spPr>
                <a:noFill/>
                <a:ln w="25400">
                  <a:noFill/>
                </a:ln>
              </c:spPr>
              <c:dLblPos val="bestFit"/>
              <c:showLegendKey val="0"/>
              <c:showVal val="0"/>
              <c:showCatName val="0"/>
              <c:showSerName val="0"/>
              <c:showPercent val="0"/>
              <c:showBubbleSize val="0"/>
            </c:dLbl>
            <c:dLbl>
              <c:idx val="5"/>
              <c:layout>
                <c:manualLayout>
                  <c:x val="7.9262171920881849E-3"/>
                  <c:y val="-0.16670439924921993"/>
                </c:manualLayout>
              </c:layout>
              <c:tx>
                <c:rich>
                  <a:bodyPr/>
                  <a:lstStyle/>
                  <a:p>
                    <a:r>
                      <a:rPr lang="en-US"/>
                      <a:t>sirotské
0,</a:t>
                    </a:r>
                    <a:r>
                      <a:rPr lang="sk-SK"/>
                      <a:t>65</a:t>
                    </a:r>
                    <a:r>
                      <a:rPr lang="en-US"/>
                      <a:t>%</a:t>
                    </a:r>
                  </a:p>
                </c:rich>
              </c:tx>
              <c:dLblPos val="bestFit"/>
              <c:showLegendKey val="0"/>
              <c:showVal val="0"/>
              <c:showCatName val="1"/>
              <c:showSerName val="0"/>
              <c:showPercent val="1"/>
              <c:showBubbleSize val="0"/>
            </c:dLbl>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k-SK"/>
              </a:p>
            </c:txPr>
            <c:showLegendKey val="0"/>
            <c:showVal val="0"/>
            <c:showCatName val="1"/>
            <c:showSerName val="0"/>
            <c:showPercent val="1"/>
            <c:showBubbleSize val="0"/>
            <c:showLeaderLines val="1"/>
          </c:dLbls>
          <c:cat>
            <c:strRef>
              <c:f>'Grafy (2015)'!$B$47:$G$47</c:f>
              <c:strCache>
                <c:ptCount val="6"/>
                <c:pt idx="0">
                  <c:v>starobné </c:v>
                </c:pt>
                <c:pt idx="1">
                  <c:v>predčasné starobné</c:v>
                </c:pt>
                <c:pt idx="2">
                  <c:v>vdovecké</c:v>
                </c:pt>
                <c:pt idx="3">
                  <c:v>vdovské</c:v>
                </c:pt>
                <c:pt idx="4">
                  <c:v>invalidné</c:v>
                </c:pt>
                <c:pt idx="5">
                  <c:v>sirotské</c:v>
                </c:pt>
              </c:strCache>
            </c:strRef>
          </c:cat>
          <c:val>
            <c:numRef>
              <c:f>'Grafy (2015)'!$B$48:$G$48</c:f>
              <c:numCache>
                <c:formatCode>0.00</c:formatCode>
                <c:ptCount val="6"/>
                <c:pt idx="0">
                  <c:v>75.87</c:v>
                </c:pt>
                <c:pt idx="1">
                  <c:v>1.67</c:v>
                </c:pt>
                <c:pt idx="2">
                  <c:v>0.88</c:v>
                </c:pt>
                <c:pt idx="3">
                  <c:v>8.9600000000000009</c:v>
                </c:pt>
                <c:pt idx="4">
                  <c:v>11.97</c:v>
                </c:pt>
                <c:pt idx="5">
                  <c:v>0.65</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1075" b="0" i="0" u="none" strike="noStrike" baseline="0">
          <a:solidFill>
            <a:srgbClr val="000000"/>
          </a:solidFill>
          <a:latin typeface="Arial"/>
          <a:ea typeface="Arial"/>
          <a:cs typeface="Arial"/>
        </a:defRPr>
      </a:pPr>
      <a:endParaRPr lang="sk-S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35728211799622"/>
          <c:y val="0.14345128907395996"/>
          <c:w val="0.72498204495108942"/>
          <c:h val="0.63708349843038403"/>
        </c:manualLayout>
      </c:layout>
      <c:lineChart>
        <c:grouping val="standard"/>
        <c:varyColors val="0"/>
        <c:ser>
          <c:idx val="0"/>
          <c:order val="0"/>
          <c:tx>
            <c:strRef>
              <c:f>'Grafy (2015)'!$A$5</c:f>
              <c:strCache>
                <c:ptCount val="1"/>
                <c:pt idx="0">
                  <c:v>počet</c:v>
                </c:pt>
              </c:strCache>
            </c:strRef>
          </c:tx>
          <c:spPr>
            <a:ln w="12700">
              <a:solidFill>
                <a:srgbClr val="000080"/>
              </a:solidFill>
              <a:prstDash val="solid"/>
            </a:ln>
          </c:spPr>
          <c:marker>
            <c:symbol val="diamond"/>
            <c:size val="5"/>
            <c:spPr>
              <a:pattFill prst="dash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a:solidFill>
                  <a:srgbClr val="000080"/>
                </a:solidFill>
                <a:prstDash val="solid"/>
              </a:ln>
            </c:spPr>
          </c:marker>
          <c:dLbls>
            <c:dLbl>
              <c:idx val="0"/>
              <c:layout>
                <c:manualLayout>
                  <c:x val="-1.8626022953565122E-2"/>
                  <c:y val="-9.1362326937514185E-2"/>
                </c:manualLayout>
              </c:layout>
              <c:dLblPos val="r"/>
              <c:showLegendKey val="0"/>
              <c:showVal val="1"/>
              <c:showCatName val="0"/>
              <c:showSerName val="0"/>
              <c:showPercent val="0"/>
              <c:showBubbleSize val="0"/>
            </c:dLbl>
            <c:dLbl>
              <c:idx val="1"/>
              <c:layout>
                <c:manualLayout>
                  <c:x val="-2.2489145961312476E-2"/>
                  <c:y val="-8.4261396372016698E-2"/>
                </c:manualLayout>
              </c:layout>
              <c:dLblPos val="r"/>
              <c:showLegendKey val="0"/>
              <c:showVal val="1"/>
              <c:showCatName val="0"/>
              <c:showSerName val="0"/>
              <c:showPercent val="0"/>
              <c:showBubbleSize val="0"/>
            </c:dLbl>
            <c:dLbl>
              <c:idx val="2"/>
              <c:layout>
                <c:manualLayout>
                  <c:x val="-2.2192621364688664E-2"/>
                  <c:y val="-8.1070121223760561E-2"/>
                </c:manualLayout>
              </c:layout>
              <c:dLblPos val="r"/>
              <c:showLegendKey val="0"/>
              <c:showVal val="1"/>
              <c:showCatName val="0"/>
              <c:showSerName val="0"/>
              <c:showPercent val="0"/>
              <c:showBubbleSize val="0"/>
            </c:dLbl>
            <c:dLbl>
              <c:idx val="3"/>
              <c:layout>
                <c:manualLayout>
                  <c:x val="-2.4268575007212571E-2"/>
                  <c:y val="-8.3210130884415506E-2"/>
                </c:manualLayout>
              </c:layout>
              <c:dLblPos val="r"/>
              <c:showLegendKey val="0"/>
              <c:showVal val="1"/>
              <c:showCatName val="0"/>
              <c:showSerName val="0"/>
              <c:showPercent val="0"/>
              <c:showBubbleSize val="0"/>
            </c:dLbl>
            <c:dLbl>
              <c:idx val="4"/>
              <c:layout>
                <c:manualLayout>
                  <c:x val="-1.8040714079640849E-2"/>
                  <c:y val="-9.0398123737858715E-2"/>
                </c:manualLayout>
              </c:layout>
              <c:dLblPos val="r"/>
              <c:showLegendKey val="0"/>
              <c:showVal val="1"/>
              <c:showCatName val="0"/>
              <c:showSerName val="0"/>
              <c:showPercent val="0"/>
              <c:showBubbleSize val="0"/>
            </c:dLbl>
            <c:dLbl>
              <c:idx val="5"/>
              <c:layout>
                <c:manualLayout>
                  <c:x val="-1.7744330216095641E-2"/>
                  <c:y val="-9.2597959623118065E-2"/>
                </c:manualLayout>
              </c:layout>
              <c:dLblPos val="r"/>
              <c:showLegendKey val="0"/>
              <c:showVal val="1"/>
              <c:showCatName val="0"/>
              <c:showSerName val="0"/>
              <c:showPercent val="0"/>
              <c:showBubbleSize val="0"/>
            </c:dLbl>
            <c:dLbl>
              <c:idx val="6"/>
              <c:layout>
                <c:manualLayout>
                  <c:x val="-2.5735435885527715E-2"/>
                  <c:y val="-8.9192287771123951E-2"/>
                </c:manualLayout>
              </c:layout>
              <c:dLblPos val="r"/>
              <c:showLegendKey val="0"/>
              <c:showVal val="1"/>
              <c:showCatName val="0"/>
              <c:showSerName val="0"/>
              <c:showPercent val="0"/>
              <c:showBubbleSize val="0"/>
            </c:dLbl>
            <c:dLbl>
              <c:idx val="7"/>
              <c:layout>
                <c:manualLayout>
                  <c:x val="-2.1279122951454125E-2"/>
                  <c:y val="-8.0317754072315242E-2"/>
                </c:manualLayout>
              </c:layout>
              <c:dLblPos val="r"/>
              <c:showLegendKey val="0"/>
              <c:showVal val="1"/>
              <c:showCatName val="0"/>
              <c:showSerName val="0"/>
              <c:showPercent val="0"/>
              <c:showBubbleSize val="0"/>
            </c:dLbl>
            <c:dLbl>
              <c:idx val="8"/>
              <c:layout>
                <c:manualLayout>
                  <c:x val="-2.6328485078775339E-2"/>
                  <c:y val="-8.3839819357391862E-2"/>
                </c:manualLayout>
              </c:layout>
              <c:dLblPos val="r"/>
              <c:showLegendKey val="0"/>
              <c:showVal val="1"/>
              <c:showCatName val="0"/>
              <c:showSerName val="0"/>
              <c:showPercent val="0"/>
              <c:showBubbleSize val="0"/>
            </c:dLbl>
            <c:dLbl>
              <c:idx val="9"/>
              <c:layout>
                <c:manualLayout>
                  <c:x val="-2.6047863320034056E-2"/>
                  <c:y val="-8.6624183063591556E-2"/>
                </c:manualLayout>
              </c:layout>
              <c:dLblPos val="r"/>
              <c:showLegendKey val="0"/>
              <c:showVal val="1"/>
              <c:showCatName val="0"/>
              <c:showSerName val="0"/>
              <c:showPercent val="0"/>
              <c:showBubbleSize val="0"/>
            </c:dLbl>
            <c:dLbl>
              <c:idx val="10"/>
              <c:layout>
                <c:manualLayout>
                  <c:x val="-2.8123816962557963E-2"/>
                  <c:y val="-9.0713782728378461E-2"/>
                </c:manualLayout>
              </c:layout>
              <c:dLblPos val="r"/>
              <c:showLegendKey val="0"/>
              <c:showVal val="1"/>
              <c:showCatName val="0"/>
              <c:showSerName val="0"/>
              <c:showPercent val="0"/>
              <c:showBubbleSize val="0"/>
            </c:dLbl>
            <c:dLbl>
              <c:idx val="11"/>
              <c:layout>
                <c:manualLayout>
                  <c:x val="-2.3082335887638711E-2"/>
                  <c:y val="-8.1413714638220114E-2"/>
                </c:manualLayout>
              </c:layout>
              <c:dLblPos val="r"/>
              <c:showLegendKey val="0"/>
              <c:showVal val="1"/>
              <c:showCatName val="0"/>
              <c:showSerName val="0"/>
              <c:showPercent val="0"/>
              <c:showBubbleSize val="0"/>
            </c:dLbl>
            <c:dLbl>
              <c:idx val="12"/>
              <c:layout>
                <c:manualLayout>
                  <c:x val="-2.2785811291014896E-2"/>
                  <c:y val="-9.128085153435643E-2"/>
                </c:manualLayout>
              </c:layout>
              <c:dLblPos val="r"/>
              <c:showLegendKey val="0"/>
              <c:showVal val="1"/>
              <c:showCatName val="0"/>
              <c:showSerName val="0"/>
              <c:showPercent val="0"/>
              <c:showBubbleSize val="0"/>
            </c:dLbl>
            <c:dLbl>
              <c:idx val="13"/>
              <c:layout>
                <c:manualLayout>
                  <c:x val="-1.6510241849795586E-2"/>
                  <c:y val="-8.7275287928255091E-2"/>
                </c:manualLayout>
              </c:layout>
              <c:dLblPos val="r"/>
              <c:showLegendKey val="0"/>
              <c:showVal val="1"/>
              <c:showCatName val="0"/>
              <c:showSerName val="0"/>
              <c:showPercent val="0"/>
              <c:showBubbleSize val="0"/>
            </c:dLbl>
            <c:dLbl>
              <c:idx val="14"/>
              <c:layout>
                <c:manualLayout>
                  <c:x val="-1.9851948801306002E-2"/>
                  <c:y val="-9.444256275060961E-2"/>
                </c:manualLayout>
              </c:layout>
              <c:dLblPos val="r"/>
              <c:showLegendKey val="0"/>
              <c:showVal val="1"/>
              <c:showCatName val="0"/>
              <c:showSerName val="0"/>
              <c:showPercent val="0"/>
              <c:showBubbleSize val="0"/>
            </c:dLbl>
            <c:dLbl>
              <c:idx val="15"/>
              <c:layout>
                <c:manualLayout>
                  <c:x val="-2.4268434274133964E-2"/>
                  <c:y val="-8.2617455523159383E-2"/>
                </c:manualLayout>
              </c:layout>
              <c:dLblPos val="r"/>
              <c:showLegendKey val="0"/>
              <c:showVal val="1"/>
              <c:showCatName val="0"/>
              <c:showSerName val="0"/>
              <c:showPercent val="0"/>
              <c:showBubbleSize val="0"/>
            </c:dLbl>
            <c:dLbl>
              <c:idx val="16"/>
              <c:layout>
                <c:manualLayout>
                  <c:x val="-2.0515223800778255E-2"/>
                  <c:y val="-9.3818693949287379E-2"/>
                </c:manualLayout>
              </c:layout>
              <c:dLblPos val="r"/>
              <c:showLegendKey val="0"/>
              <c:showVal val="1"/>
              <c:showCatName val="0"/>
              <c:showSerName val="0"/>
              <c:showPercent val="0"/>
              <c:showBubbleSize val="0"/>
            </c:dLbl>
            <c:dLbl>
              <c:idx val="17"/>
              <c:layout>
                <c:manualLayout>
                  <c:x val="-1.9000091476501096E-2"/>
                  <c:y val="-0.1020730834366325"/>
                </c:manualLayout>
              </c:layout>
              <c:dLblPos val="r"/>
              <c:showLegendKey val="0"/>
              <c:showVal val="1"/>
              <c:showCatName val="0"/>
              <c:showSerName val="0"/>
              <c:showPercent val="0"/>
              <c:showBubbleSize val="0"/>
            </c:dLbl>
            <c:dLbl>
              <c:idx val="18"/>
              <c:layout>
                <c:manualLayout>
                  <c:x val="-2.6794311568962725E-2"/>
                  <c:y val="-9.7790270672928628E-2"/>
                </c:manualLayout>
              </c:layout>
              <c:dLblPos val="r"/>
              <c:showLegendKey val="0"/>
              <c:showVal val="1"/>
              <c:showCatName val="0"/>
              <c:showSerName val="0"/>
              <c:showPercent val="0"/>
              <c:showBubbleSize val="0"/>
            </c:dLbl>
            <c:dLbl>
              <c:idx val="19"/>
              <c:layout>
                <c:manualLayout>
                  <c:x val="-2.6238221192804917E-2"/>
                  <c:y val="-9.6678480600124544E-2"/>
                </c:manualLayout>
              </c:layout>
              <c:dLblPos val="r"/>
              <c:showLegendKey val="0"/>
              <c:showVal val="1"/>
              <c:showCatName val="0"/>
              <c:showSerName val="0"/>
              <c:showPercent val="0"/>
              <c:showBubbleSize val="0"/>
            </c:dLbl>
            <c:dLbl>
              <c:idx val="20"/>
              <c:layout>
                <c:manualLayout>
                  <c:x val="-2.8653228018884536E-2"/>
                  <c:y val="-9.8674842964296544E-2"/>
                </c:manualLayout>
              </c:layout>
              <c:dLblPos val="r"/>
              <c:showLegendKey val="0"/>
              <c:showVal val="1"/>
              <c:showCatName val="0"/>
              <c:showSerName val="0"/>
              <c:showPercent val="0"/>
              <c:showBubbleSize val="0"/>
            </c:dLbl>
            <c:dLbl>
              <c:idx val="21"/>
              <c:layout>
                <c:manualLayout>
                  <c:x val="-1.8626266775467866E-2"/>
                  <c:y val="-9.6423811768540021E-2"/>
                </c:manualLayout>
              </c:layout>
              <c:dLblPos val="r"/>
              <c:showLegendKey val="0"/>
              <c:showVal val="1"/>
              <c:showCatName val="0"/>
              <c:showSerName val="0"/>
              <c:showPercent val="0"/>
              <c:showBubbleSize val="0"/>
            </c:dLbl>
            <c:dLbl>
              <c:idx val="22"/>
              <c:layout>
                <c:manualLayout>
                  <c:x val="-2.0512077176000426E-2"/>
                  <c:y val="-7.2868568255320246E-2"/>
                </c:manualLayout>
              </c:layout>
              <c:dLblPos val="r"/>
              <c:showLegendKey val="0"/>
              <c:showVal val="1"/>
              <c:showCatName val="0"/>
              <c:showSerName val="0"/>
              <c:showPercent val="0"/>
              <c:showBubbleSize val="0"/>
            </c:dLbl>
            <c:dLbl>
              <c:idx val="23"/>
              <c:layout>
                <c:manualLayout>
                  <c:x val="-2.0909094631501795E-2"/>
                  <c:y val="-8.2251185981457087E-2"/>
                </c:manualLayout>
              </c:layout>
              <c:dLblPos val="r"/>
              <c:showLegendKey val="0"/>
              <c:showVal val="1"/>
              <c:showCatName val="0"/>
              <c:showSerName val="0"/>
              <c:showPercent val="0"/>
              <c:showBubbleSize val="0"/>
            </c:dLbl>
            <c:numFmt formatCode="#,##0" sourceLinked="0"/>
            <c:spPr>
              <a:noFill/>
              <a:ln w="25400">
                <a:noFill/>
              </a:ln>
            </c:spPr>
            <c:txPr>
              <a:bodyPr rot="-5400000" vert="horz"/>
              <a:lstStyle/>
              <a:p>
                <a:pPr algn="ctr" rtl="0">
                  <a:defRPr/>
                </a:pPr>
                <a:endParaRPr lang="sk-SK"/>
              </a:p>
            </c:txPr>
            <c:showLegendKey val="0"/>
            <c:showVal val="1"/>
            <c:showCatName val="0"/>
            <c:showSerName val="0"/>
            <c:showPercent val="0"/>
            <c:showBubbleSize val="0"/>
            <c:showLeaderLines val="0"/>
          </c:dLbls>
          <c:cat>
            <c:strRef>
              <c:f>'Grafy (2015)'!$B$4:$T$4</c:f>
              <c:strCache>
                <c:ptCount val="19"/>
                <c:pt idx="0">
                  <c:v>k 31.12.2013</c:v>
                </c:pt>
                <c:pt idx="1">
                  <c:v>k 31.1.2014</c:v>
                </c:pt>
                <c:pt idx="2">
                  <c:v>k 28.2.2014</c:v>
                </c:pt>
                <c:pt idx="3">
                  <c:v>k 31.3.2014</c:v>
                </c:pt>
                <c:pt idx="4">
                  <c:v>k 30.4.2014</c:v>
                </c:pt>
                <c:pt idx="5">
                  <c:v>k 31.5.2014</c:v>
                </c:pt>
                <c:pt idx="6">
                  <c:v>k 30.6.2014</c:v>
                </c:pt>
                <c:pt idx="7">
                  <c:v>k 31.7.2014</c:v>
                </c:pt>
                <c:pt idx="8">
                  <c:v>k 31.8.2014</c:v>
                </c:pt>
                <c:pt idx="9">
                  <c:v>k 30.9.2014</c:v>
                </c:pt>
                <c:pt idx="10">
                  <c:v>k 31.10.2014</c:v>
                </c:pt>
                <c:pt idx="11">
                  <c:v>k 30.11.2014</c:v>
                </c:pt>
                <c:pt idx="12">
                  <c:v>k 31.12.2014</c:v>
                </c:pt>
                <c:pt idx="13">
                  <c:v>k 31.1.2015</c:v>
                </c:pt>
                <c:pt idx="14">
                  <c:v>k 28.2.2015</c:v>
                </c:pt>
                <c:pt idx="15">
                  <c:v>k 31.3.2015</c:v>
                </c:pt>
                <c:pt idx="16">
                  <c:v>k 30.4.2015</c:v>
                </c:pt>
                <c:pt idx="17">
                  <c:v>k 31.5.2015</c:v>
                </c:pt>
                <c:pt idx="18">
                  <c:v>k 30.6.2015</c:v>
                </c:pt>
              </c:strCache>
            </c:strRef>
          </c:cat>
          <c:val>
            <c:numRef>
              <c:f>'Grafy (2015)'!$B$5:$T$5</c:f>
              <c:numCache>
                <c:formatCode>0</c:formatCode>
                <c:ptCount val="19"/>
                <c:pt idx="0">
                  <c:v>1623364</c:v>
                </c:pt>
                <c:pt idx="1">
                  <c:v>1625685</c:v>
                </c:pt>
                <c:pt idx="2">
                  <c:v>1624837</c:v>
                </c:pt>
                <c:pt idx="3">
                  <c:v>1627715</c:v>
                </c:pt>
                <c:pt idx="4">
                  <c:v>1631808</c:v>
                </c:pt>
                <c:pt idx="5">
                  <c:v>1633704</c:v>
                </c:pt>
                <c:pt idx="6">
                  <c:v>1636334</c:v>
                </c:pt>
                <c:pt idx="7">
                  <c:v>1639611</c:v>
                </c:pt>
                <c:pt idx="8">
                  <c:v>1643263</c:v>
                </c:pt>
                <c:pt idx="9">
                  <c:v>1643634</c:v>
                </c:pt>
                <c:pt idx="10">
                  <c:v>1645310</c:v>
                </c:pt>
                <c:pt idx="11">
                  <c:v>1652496</c:v>
                </c:pt>
                <c:pt idx="12">
                  <c:v>1655419</c:v>
                </c:pt>
                <c:pt idx="13">
                  <c:v>1656056</c:v>
                </c:pt>
                <c:pt idx="14">
                  <c:v>1652116</c:v>
                </c:pt>
                <c:pt idx="15">
                  <c:v>1652897</c:v>
                </c:pt>
                <c:pt idx="16">
                  <c:v>1654371</c:v>
                </c:pt>
                <c:pt idx="17">
                  <c:v>1651000</c:v>
                </c:pt>
                <c:pt idx="18">
                  <c:v>1652468</c:v>
                </c:pt>
              </c:numCache>
            </c:numRef>
          </c:val>
          <c:smooth val="0"/>
        </c:ser>
        <c:dLbls>
          <c:showLegendKey val="0"/>
          <c:showVal val="0"/>
          <c:showCatName val="0"/>
          <c:showSerName val="0"/>
          <c:showPercent val="0"/>
          <c:showBubbleSize val="0"/>
        </c:dLbls>
        <c:dropLines>
          <c:spPr>
            <a:ln w="3175">
              <a:solidFill>
                <a:srgbClr val="000000"/>
              </a:solidFill>
              <a:prstDash val="solid"/>
            </a:ln>
          </c:spPr>
        </c:dropLines>
        <c:marker val="1"/>
        <c:smooth val="0"/>
        <c:axId val="147419904"/>
        <c:axId val="147421440"/>
      </c:lineChart>
      <c:catAx>
        <c:axId val="147419904"/>
        <c:scaling>
          <c:orientation val="minMax"/>
        </c:scaling>
        <c:delete val="0"/>
        <c:axPos val="b"/>
        <c:numFmt formatCode="General" sourceLinked="1"/>
        <c:majorTickMark val="out"/>
        <c:minorTickMark val="none"/>
        <c:tickLblPos val="nextTo"/>
        <c:spPr>
          <a:ln w="3175">
            <a:solidFill>
              <a:srgbClr val="000000"/>
            </a:solidFill>
            <a:prstDash val="solid"/>
          </a:ln>
        </c:spPr>
        <c:txPr>
          <a:bodyPr rot="-3600000" vert="horz"/>
          <a:lstStyle/>
          <a:p>
            <a:pPr>
              <a:defRPr/>
            </a:pPr>
            <a:endParaRPr lang="sk-SK"/>
          </a:p>
        </c:txPr>
        <c:crossAx val="147421440"/>
        <c:crosses val="autoZero"/>
        <c:auto val="1"/>
        <c:lblAlgn val="ctr"/>
        <c:lblOffset val="100"/>
        <c:tickLblSkip val="1"/>
        <c:tickMarkSkip val="1"/>
        <c:noMultiLvlLbl val="0"/>
      </c:catAx>
      <c:valAx>
        <c:axId val="147421440"/>
        <c:scaling>
          <c:orientation val="minMax"/>
          <c:max val="1660000.0000000002"/>
          <c:min val="1590000"/>
        </c:scaling>
        <c:delete val="0"/>
        <c:axPos val="l"/>
        <c:title>
          <c:tx>
            <c:rich>
              <a:bodyPr/>
              <a:lstStyle/>
              <a:p>
                <a:pPr>
                  <a:defRPr/>
                </a:pPr>
                <a:r>
                  <a:rPr lang="sk-SK"/>
                  <a:t>počty</a:t>
                </a:r>
              </a:p>
            </c:rich>
          </c:tx>
          <c:layout>
            <c:manualLayout>
              <c:xMode val="edge"/>
              <c:yMode val="edge"/>
              <c:x val="6.6178578639208563E-2"/>
              <c:y val="0.4352396806712658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a:pPr>
            <a:endParaRPr lang="sk-SK"/>
          </a:p>
        </c:txPr>
        <c:crossAx val="147419904"/>
        <c:crosses val="autoZero"/>
        <c:crossBetween val="between"/>
        <c:majorUnit val="10000"/>
      </c:valAx>
      <c:spPr>
        <a:solidFill>
          <a:srgbClr val="FFFFFF"/>
        </a:solidFill>
        <a:ln w="25400">
          <a:noFill/>
        </a:ln>
      </c:spPr>
    </c:plotArea>
    <c:plotVisOnly val="1"/>
    <c:dispBlanksAs val="gap"/>
    <c:showDLblsOverMax val="0"/>
  </c:chart>
  <c:spPr>
    <a:ln w="9525">
      <a:noFill/>
    </a:ln>
  </c:spPr>
  <c:txPr>
    <a:bodyPr/>
    <a:lstStyle/>
    <a:p>
      <a:pPr>
        <a:defRPr sz="800" b="0" i="0" u="none" strike="noStrike" baseline="0">
          <a:solidFill>
            <a:srgbClr val="000000"/>
          </a:solidFill>
          <a:latin typeface="Arial CE"/>
          <a:ea typeface="Arial CE"/>
          <a:cs typeface="Arial CE"/>
        </a:defRPr>
      </a:pPr>
      <a:endParaRPr lang="sk-SK"/>
    </a:p>
  </c:txPr>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47EB-501D-462F-96D0-891D0637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6631</Words>
  <Characters>37800</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Socialna poistovna</Company>
  <LinksUpToDate>false</LinksUpToDate>
  <CharactersWithSpaces>44343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farkasova_k</dc:creator>
  <cp:keywords/>
  <dc:description/>
  <cp:lastModifiedBy>SP</cp:lastModifiedBy>
  <cp:revision>41</cp:revision>
  <cp:lastPrinted>2015-08-04T10:44:00Z</cp:lastPrinted>
  <dcterms:created xsi:type="dcterms:W3CDTF">2013-11-25T12:56:00Z</dcterms:created>
  <dcterms:modified xsi:type="dcterms:W3CDTF">2015-08-04T10:44:00Z</dcterms:modified>
</cp:coreProperties>
</file>