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8A" w:rsidRDefault="001E1B8A" w:rsidP="001E1B8A">
      <w:pPr>
        <w:tabs>
          <w:tab w:val="left" w:pos="567"/>
          <w:tab w:val="left" w:pos="5387"/>
        </w:tabs>
        <w:jc w:val="both"/>
      </w:pPr>
    </w:p>
    <w:p w:rsidR="000A730F" w:rsidRPr="00657CB2" w:rsidRDefault="000A730F" w:rsidP="000A730F">
      <w:pPr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Materiál predkladaný na </w:t>
      </w:r>
      <w:r>
        <w:rPr>
          <w:rFonts w:ascii="Arial" w:hAnsi="Arial" w:cs="Arial"/>
        </w:rPr>
        <w:t>4/12</w:t>
      </w:r>
      <w:r w:rsidRPr="00657CB2">
        <w:rPr>
          <w:rFonts w:ascii="Arial" w:hAnsi="Arial" w:cs="Arial"/>
        </w:rPr>
        <w:t xml:space="preserve"> zasadnutie</w:t>
      </w:r>
    </w:p>
    <w:p w:rsidR="000A730F" w:rsidRPr="00657CB2" w:rsidRDefault="000A730F" w:rsidP="000A730F">
      <w:pPr>
        <w:rPr>
          <w:rFonts w:ascii="Arial" w:hAnsi="Arial" w:cs="Arial"/>
        </w:rPr>
      </w:pPr>
      <w:r w:rsidRPr="00657CB2">
        <w:rPr>
          <w:rFonts w:ascii="Arial" w:hAnsi="Arial" w:cs="Arial"/>
        </w:rPr>
        <w:t>Dozornej rady Sociálnej poisťovne</w:t>
      </w:r>
    </w:p>
    <w:p w:rsidR="000A730F" w:rsidRPr="00657CB2" w:rsidRDefault="000A730F" w:rsidP="000A730F">
      <w:pPr>
        <w:rPr>
          <w:rFonts w:ascii="Arial" w:hAnsi="Arial" w:cs="Arial"/>
        </w:rPr>
      </w:pPr>
      <w:r w:rsidRPr="00BB78CA">
        <w:rPr>
          <w:rFonts w:ascii="Arial" w:hAnsi="Arial" w:cs="Arial"/>
        </w:rPr>
        <w:t>konané dňa</w:t>
      </w:r>
      <w:r>
        <w:rPr>
          <w:rFonts w:ascii="Arial" w:hAnsi="Arial" w:cs="Arial"/>
        </w:rPr>
        <w:t xml:space="preserve"> </w:t>
      </w:r>
      <w:r w:rsidR="00BB78CA">
        <w:rPr>
          <w:rFonts w:ascii="Arial" w:hAnsi="Arial" w:cs="Arial"/>
        </w:rPr>
        <w:t>21. augusta 2012</w:t>
      </w:r>
    </w:p>
    <w:p w:rsidR="000A730F" w:rsidRPr="00657CB2" w:rsidRDefault="000A730F" w:rsidP="000A730F">
      <w:pPr>
        <w:rPr>
          <w:rFonts w:ascii="Arial" w:hAnsi="Arial" w:cs="Arial"/>
        </w:rPr>
      </w:pPr>
    </w:p>
    <w:p w:rsidR="000A730F" w:rsidRPr="005D0790" w:rsidRDefault="000A730F" w:rsidP="000A730F">
      <w:pPr>
        <w:rPr>
          <w:rFonts w:cs="Arial"/>
        </w:rPr>
      </w:pPr>
    </w:p>
    <w:p w:rsidR="000A730F" w:rsidRPr="005D0790" w:rsidRDefault="000A730F" w:rsidP="000A730F">
      <w:pPr>
        <w:rPr>
          <w:rFonts w:cs="Arial"/>
        </w:rPr>
      </w:pPr>
    </w:p>
    <w:p w:rsidR="000A730F" w:rsidRPr="00D960B4" w:rsidRDefault="000A730F" w:rsidP="000A730F">
      <w:pPr>
        <w:jc w:val="center"/>
        <w:rPr>
          <w:rFonts w:ascii="Arial Black" w:hAnsi="Arial Black"/>
          <w:sz w:val="52"/>
          <w:szCs w:val="52"/>
        </w:rPr>
      </w:pPr>
      <w:bookmarkStart w:id="0" w:name="_GoBack"/>
      <w:bookmarkEnd w:id="0"/>
    </w:p>
    <w:p w:rsidR="000A730F" w:rsidRPr="00B1538A" w:rsidRDefault="000A730F" w:rsidP="000A730F">
      <w:pPr>
        <w:rPr>
          <w:rFonts w:cs="Arial"/>
        </w:rPr>
      </w:pPr>
    </w:p>
    <w:p w:rsidR="000A730F" w:rsidRPr="00B1538A" w:rsidRDefault="000A730F" w:rsidP="000A730F">
      <w:pPr>
        <w:pStyle w:val="Zkladntext"/>
        <w:jc w:val="center"/>
        <w:rPr>
          <w:rFonts w:cs="Arial"/>
          <w:b/>
          <w:caps/>
          <w:sz w:val="28"/>
        </w:rPr>
      </w:pPr>
      <w:r w:rsidRPr="00B1538A">
        <w:rPr>
          <w:rFonts w:cs="Arial"/>
          <w:b/>
          <w:caps/>
          <w:sz w:val="28"/>
        </w:rPr>
        <w:t xml:space="preserve">správa o hospodárení sociálnej poisťovne </w:t>
      </w:r>
      <w:r w:rsidRPr="00B1538A">
        <w:rPr>
          <w:rFonts w:cs="Arial"/>
          <w:b/>
          <w:caps/>
          <w:sz w:val="28"/>
        </w:rPr>
        <w:br/>
      </w:r>
      <w:r>
        <w:rPr>
          <w:rFonts w:cs="Arial"/>
          <w:b/>
          <w:caps/>
          <w:sz w:val="28"/>
        </w:rPr>
        <w:t>v mesiacoch január až jún 2012</w:t>
      </w:r>
      <w:r w:rsidRPr="00B1538A">
        <w:rPr>
          <w:rFonts w:cs="Arial"/>
          <w:b/>
          <w:caps/>
          <w:sz w:val="28"/>
        </w:rPr>
        <w:t xml:space="preserve"> </w:t>
      </w:r>
    </w:p>
    <w:p w:rsidR="000A730F" w:rsidRDefault="000A730F" w:rsidP="000A730F">
      <w:pPr>
        <w:jc w:val="both"/>
      </w:pPr>
    </w:p>
    <w:p w:rsidR="000A730F" w:rsidRDefault="000A730F" w:rsidP="000A730F">
      <w:pPr>
        <w:jc w:val="both"/>
      </w:pPr>
    </w:p>
    <w:p w:rsidR="000A730F" w:rsidRPr="00657CB2" w:rsidRDefault="000A730F" w:rsidP="000A730F">
      <w:pPr>
        <w:jc w:val="both"/>
        <w:rPr>
          <w:rFonts w:ascii="Arial" w:hAnsi="Arial" w:cs="Arial"/>
        </w:rPr>
      </w:pPr>
    </w:p>
    <w:p w:rsidR="000A730F" w:rsidRPr="00657CB2" w:rsidRDefault="000A730F" w:rsidP="000A730F">
      <w:pPr>
        <w:tabs>
          <w:tab w:val="left" w:pos="4860"/>
        </w:tabs>
        <w:rPr>
          <w:rFonts w:ascii="Arial" w:hAnsi="Arial" w:cs="Arial"/>
          <w:b/>
        </w:rPr>
      </w:pPr>
      <w:r w:rsidRPr="00657CB2">
        <w:rPr>
          <w:rFonts w:ascii="Arial" w:hAnsi="Arial" w:cs="Arial"/>
          <w:b/>
        </w:rPr>
        <w:t>Dôvod predloženia:</w:t>
      </w:r>
      <w:r w:rsidRPr="00657CB2">
        <w:rPr>
          <w:rFonts w:ascii="Arial" w:hAnsi="Arial" w:cs="Arial"/>
          <w:b/>
        </w:rPr>
        <w:tab/>
        <w:t>Materiál obsahuje:</w:t>
      </w:r>
    </w:p>
    <w:p w:rsidR="000A730F" w:rsidRPr="00657CB2" w:rsidRDefault="000A730F" w:rsidP="000A730F">
      <w:pPr>
        <w:tabs>
          <w:tab w:val="left" w:pos="5760"/>
        </w:tabs>
        <w:ind w:left="5760" w:hanging="5760"/>
        <w:rPr>
          <w:rFonts w:ascii="Arial" w:hAnsi="Arial" w:cs="Arial"/>
          <w:b/>
        </w:rPr>
      </w:pP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realizácia vecného a časového plánu </w:t>
      </w:r>
      <w:r w:rsidRPr="00657CB2">
        <w:rPr>
          <w:rFonts w:ascii="Arial" w:hAnsi="Arial" w:cs="Arial"/>
        </w:rPr>
        <w:tab/>
        <w:t xml:space="preserve">1. </w:t>
      </w:r>
      <w:r w:rsidRPr="00657CB2">
        <w:rPr>
          <w:rFonts w:ascii="Arial" w:hAnsi="Arial" w:cs="Arial"/>
        </w:rPr>
        <w:tab/>
        <w:t>Návrh uznesenia Dozornej rady</w:t>
      </w: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konania zasadnutí Dozornej rady</w:t>
      </w:r>
      <w:r w:rsidRPr="00657CB2">
        <w:rPr>
          <w:rFonts w:ascii="Arial" w:hAnsi="Arial" w:cs="Arial"/>
        </w:rPr>
        <w:tab/>
      </w:r>
      <w:r w:rsidRPr="00657CB2">
        <w:rPr>
          <w:rFonts w:ascii="Arial" w:hAnsi="Arial" w:cs="Arial"/>
        </w:rPr>
        <w:tab/>
        <w:t>Sociálnej poisťovne</w:t>
      </w: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Sociálnej poisťovne v r</w:t>
      </w:r>
      <w:r>
        <w:rPr>
          <w:rFonts w:ascii="Arial" w:hAnsi="Arial" w:cs="Arial"/>
        </w:rPr>
        <w:t>oku 2012</w:t>
      </w:r>
      <w:r w:rsidRPr="00657CB2">
        <w:rPr>
          <w:rFonts w:ascii="Arial" w:hAnsi="Arial" w:cs="Arial"/>
        </w:rPr>
        <w:tab/>
      </w: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  <w:t xml:space="preserve">2. </w:t>
      </w:r>
      <w:r w:rsidRPr="00657CB2">
        <w:rPr>
          <w:rFonts w:ascii="Arial" w:hAnsi="Arial" w:cs="Arial"/>
        </w:rPr>
        <w:tab/>
        <w:t>Predkladaciu správu</w:t>
      </w: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</w:r>
    </w:p>
    <w:p w:rsidR="000A730F" w:rsidRPr="00657CB2" w:rsidRDefault="000A730F" w:rsidP="000A730F">
      <w:pPr>
        <w:numPr>
          <w:ilvl w:val="0"/>
          <w:numId w:val="2"/>
        </w:numPr>
        <w:tabs>
          <w:tab w:val="left" w:pos="486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>Správu o</w:t>
      </w:r>
      <w:r>
        <w:rPr>
          <w:rFonts w:ascii="Arial" w:hAnsi="Arial" w:cs="Arial"/>
        </w:rPr>
        <w:t> </w:t>
      </w:r>
      <w:r w:rsidRPr="00657CB2">
        <w:rPr>
          <w:rFonts w:ascii="Arial" w:hAnsi="Arial" w:cs="Arial"/>
        </w:rPr>
        <w:t>hospodárení</w:t>
      </w:r>
      <w:r>
        <w:rPr>
          <w:rFonts w:ascii="Arial" w:hAnsi="Arial" w:cs="Arial"/>
        </w:rPr>
        <w:t xml:space="preserve"> </w:t>
      </w:r>
      <w:r w:rsidRPr="00657CB2">
        <w:rPr>
          <w:rFonts w:ascii="Arial" w:hAnsi="Arial" w:cs="Arial"/>
        </w:rPr>
        <w:t>Sociálnej poisťovne</w:t>
      </w:r>
      <w:r>
        <w:rPr>
          <w:rFonts w:ascii="Arial" w:hAnsi="Arial" w:cs="Arial"/>
        </w:rPr>
        <w:t xml:space="preserve"> mesiacoch január až jún 2012  </w:t>
      </w:r>
      <w:r w:rsidRPr="00657CB2">
        <w:rPr>
          <w:rFonts w:ascii="Arial" w:hAnsi="Arial" w:cs="Arial"/>
        </w:rPr>
        <w:t xml:space="preserve"> </w:t>
      </w:r>
    </w:p>
    <w:p w:rsidR="000A730F" w:rsidRPr="00657CB2" w:rsidRDefault="000A730F" w:rsidP="000A730F">
      <w:pPr>
        <w:tabs>
          <w:tab w:val="left" w:pos="4860"/>
          <w:tab w:val="left" w:pos="5220"/>
        </w:tabs>
        <w:rPr>
          <w:rFonts w:ascii="Arial" w:hAnsi="Arial" w:cs="Arial"/>
        </w:rPr>
      </w:pPr>
      <w:r w:rsidRPr="00657CB2">
        <w:rPr>
          <w:rFonts w:ascii="Arial" w:hAnsi="Arial" w:cs="Arial"/>
        </w:rPr>
        <w:tab/>
      </w:r>
    </w:p>
    <w:p w:rsidR="000A730F" w:rsidRDefault="000A730F" w:rsidP="000A730F">
      <w:pPr>
        <w:rPr>
          <w:rFonts w:ascii="Arial" w:hAnsi="Arial" w:cs="Arial"/>
        </w:rPr>
      </w:pPr>
    </w:p>
    <w:p w:rsidR="000A730F" w:rsidRDefault="000A730F" w:rsidP="000A730F">
      <w:pPr>
        <w:rPr>
          <w:rFonts w:ascii="Arial" w:hAnsi="Arial" w:cs="Arial"/>
        </w:rPr>
      </w:pPr>
    </w:p>
    <w:p w:rsidR="000A730F" w:rsidRPr="00657CB2" w:rsidRDefault="000A730F" w:rsidP="000A730F">
      <w:pPr>
        <w:rPr>
          <w:rFonts w:ascii="Arial" w:hAnsi="Arial" w:cs="Arial"/>
        </w:rPr>
      </w:pPr>
    </w:p>
    <w:p w:rsidR="000A730F" w:rsidRPr="00657CB2" w:rsidRDefault="000A730F" w:rsidP="000A730F">
      <w:pPr>
        <w:rPr>
          <w:rFonts w:ascii="Arial" w:hAnsi="Arial" w:cs="Arial"/>
        </w:rPr>
      </w:pPr>
    </w:p>
    <w:p w:rsidR="000A730F" w:rsidRPr="00657CB2" w:rsidRDefault="000A730F" w:rsidP="000A730F">
      <w:pPr>
        <w:rPr>
          <w:rFonts w:ascii="Arial" w:hAnsi="Arial" w:cs="Arial"/>
        </w:rPr>
      </w:pPr>
    </w:p>
    <w:p w:rsidR="000A730F" w:rsidRPr="00657CB2" w:rsidRDefault="000A730F" w:rsidP="000A730F">
      <w:pPr>
        <w:rPr>
          <w:rFonts w:ascii="Arial" w:hAnsi="Arial" w:cs="Arial"/>
          <w:b/>
        </w:rPr>
      </w:pPr>
      <w:r w:rsidRPr="00657CB2">
        <w:rPr>
          <w:rFonts w:ascii="Arial" w:hAnsi="Arial" w:cs="Arial"/>
          <w:b/>
        </w:rPr>
        <w:t>Materiál predkladá:</w:t>
      </w:r>
    </w:p>
    <w:p w:rsidR="000A730F" w:rsidRPr="00657CB2" w:rsidRDefault="000A730F" w:rsidP="000A730F">
      <w:pPr>
        <w:rPr>
          <w:rFonts w:ascii="Arial" w:hAnsi="Arial" w:cs="Arial"/>
        </w:rPr>
      </w:pPr>
    </w:p>
    <w:p w:rsidR="000A730F" w:rsidRPr="00657CB2" w:rsidRDefault="000A730F" w:rsidP="000A730F">
      <w:pPr>
        <w:rPr>
          <w:rFonts w:ascii="Arial" w:hAnsi="Arial" w:cs="Arial"/>
        </w:rPr>
      </w:pPr>
      <w:r w:rsidRPr="00657CB2">
        <w:rPr>
          <w:rFonts w:ascii="Arial" w:hAnsi="Arial" w:cs="Arial"/>
        </w:rPr>
        <w:t xml:space="preserve">Ing. </w:t>
      </w:r>
      <w:r w:rsidR="007476CE">
        <w:rPr>
          <w:rFonts w:ascii="Arial" w:hAnsi="Arial" w:cs="Arial"/>
        </w:rPr>
        <w:t xml:space="preserve">Dušan </w:t>
      </w:r>
      <w:proofErr w:type="spellStart"/>
      <w:r w:rsidR="007476CE">
        <w:rPr>
          <w:rFonts w:ascii="Arial" w:hAnsi="Arial" w:cs="Arial"/>
        </w:rPr>
        <w:t>Muňko</w:t>
      </w:r>
      <w:proofErr w:type="spellEnd"/>
    </w:p>
    <w:p w:rsidR="000A730F" w:rsidRPr="00657CB2" w:rsidRDefault="000A730F" w:rsidP="000A730F">
      <w:pPr>
        <w:rPr>
          <w:rFonts w:ascii="Arial" w:hAnsi="Arial" w:cs="Arial"/>
        </w:rPr>
      </w:pPr>
      <w:r w:rsidRPr="00657CB2">
        <w:rPr>
          <w:rFonts w:ascii="Arial" w:hAnsi="Arial" w:cs="Arial"/>
        </w:rPr>
        <w:t>generálny riaditeľ Sociálnej poisťovne</w:t>
      </w:r>
    </w:p>
    <w:p w:rsidR="00657CB2" w:rsidRDefault="00657CB2" w:rsidP="00657CB2">
      <w:pPr>
        <w:pStyle w:val="Pta"/>
        <w:rPr>
          <w:rFonts w:ascii="Arial" w:hAnsi="Arial" w:cs="Arial"/>
        </w:rPr>
      </w:pPr>
    </w:p>
    <w:p w:rsidR="00657CB2" w:rsidRDefault="00657CB2" w:rsidP="00657CB2">
      <w:pPr>
        <w:pStyle w:val="Pta"/>
        <w:rPr>
          <w:rFonts w:ascii="Arial" w:hAnsi="Arial" w:cs="Arial"/>
        </w:rPr>
        <w:sectPr w:rsidR="00657CB2" w:rsidSect="00506E81">
          <w:headerReference w:type="default" r:id="rId9"/>
          <w:footerReference w:type="default" r:id="rId10"/>
          <w:pgSz w:w="11906" w:h="16838" w:code="9"/>
          <w:pgMar w:top="2835" w:right="1418" w:bottom="1418" w:left="1418" w:header="709" w:footer="709" w:gutter="0"/>
          <w:cols w:space="708"/>
          <w:docGrid w:linePitch="360"/>
        </w:sectPr>
      </w:pPr>
    </w:p>
    <w:p w:rsidR="00657CB2" w:rsidRPr="00657CB2" w:rsidRDefault="00657CB2" w:rsidP="00657CB2">
      <w:pPr>
        <w:pStyle w:val="Nadpis4"/>
        <w:spacing w:line="360" w:lineRule="auto"/>
        <w:jc w:val="center"/>
        <w:rPr>
          <w:rFonts w:cs="Arial"/>
          <w:b/>
          <w:szCs w:val="24"/>
        </w:rPr>
      </w:pPr>
      <w:r w:rsidRPr="00657CB2">
        <w:rPr>
          <w:rFonts w:cs="Arial"/>
          <w:b/>
          <w:szCs w:val="24"/>
        </w:rPr>
        <w:lastRenderedPageBreak/>
        <w:t xml:space="preserve">Návrh uznesenia </w:t>
      </w:r>
      <w:r w:rsidRPr="00657CB2">
        <w:rPr>
          <w:rFonts w:cs="Arial"/>
          <w:b/>
          <w:szCs w:val="24"/>
        </w:rPr>
        <w:br/>
        <w:t>Dozornej rady Sociálnej poisťovne</w:t>
      </w:r>
    </w:p>
    <w:p w:rsidR="00657CB2" w:rsidRDefault="00657CB2" w:rsidP="00657CB2">
      <w:pPr>
        <w:jc w:val="both"/>
      </w:pPr>
    </w:p>
    <w:p w:rsidR="00657CB2" w:rsidRDefault="00657CB2" w:rsidP="00657CB2">
      <w:pPr>
        <w:jc w:val="both"/>
      </w:pPr>
    </w:p>
    <w:p w:rsidR="00657CB2" w:rsidRDefault="00657CB2" w:rsidP="00657CB2">
      <w:pPr>
        <w:jc w:val="both"/>
      </w:pPr>
    </w:p>
    <w:p w:rsidR="00657CB2" w:rsidRPr="00C675A7" w:rsidRDefault="00657CB2" w:rsidP="00657CB2">
      <w:pPr>
        <w:pStyle w:val="Zkladntext2"/>
        <w:spacing w:after="0" w:line="240" w:lineRule="auto"/>
        <w:rPr>
          <w:b/>
        </w:rPr>
      </w:pPr>
      <w:r w:rsidRPr="00C675A7">
        <w:rPr>
          <w:b/>
        </w:rPr>
        <w:t>Dozorná rada Sociálnej poisťovne</w:t>
      </w: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657CB2" w:rsidRPr="00AF30AF" w:rsidRDefault="00657CB2" w:rsidP="00657CB2">
      <w:pPr>
        <w:pStyle w:val="Zkladntext2"/>
        <w:spacing w:after="0" w:line="240" w:lineRule="auto"/>
        <w:rPr>
          <w:rFonts w:cs="Arial"/>
          <w:szCs w:val="24"/>
        </w:rPr>
      </w:pPr>
    </w:p>
    <w:p w:rsidR="00415F50" w:rsidRPr="00415F50" w:rsidRDefault="00D10434" w:rsidP="00657CB2">
      <w:pPr>
        <w:pStyle w:val="Zkladntext3"/>
        <w:tabs>
          <w:tab w:val="left" w:pos="5103"/>
        </w:tabs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berie na vedomie </w:t>
      </w:r>
    </w:p>
    <w:p w:rsidR="00657CB2" w:rsidRPr="000B5A7C" w:rsidRDefault="00657CB2" w:rsidP="00657CB2">
      <w:pPr>
        <w:pStyle w:val="Zkladntext3"/>
        <w:tabs>
          <w:tab w:val="left" w:pos="5103"/>
        </w:tabs>
        <w:spacing w:after="0"/>
        <w:rPr>
          <w:rFonts w:cs="Arial"/>
          <w:sz w:val="24"/>
          <w:szCs w:val="24"/>
        </w:rPr>
      </w:pPr>
      <w:r w:rsidRPr="000B5A7C">
        <w:rPr>
          <w:rFonts w:cs="Arial"/>
          <w:sz w:val="24"/>
          <w:szCs w:val="24"/>
        </w:rPr>
        <w:t xml:space="preserve">správu o hospodárení Sociálnej poisťovne </w:t>
      </w:r>
      <w:r w:rsidR="000B5A7C" w:rsidRPr="000B5A7C">
        <w:rPr>
          <w:rFonts w:cs="Arial"/>
          <w:sz w:val="24"/>
          <w:szCs w:val="24"/>
        </w:rPr>
        <w:t>v</w:t>
      </w:r>
      <w:r w:rsidR="00E017F9">
        <w:rPr>
          <w:rFonts w:cs="Arial"/>
          <w:sz w:val="24"/>
          <w:szCs w:val="24"/>
        </w:rPr>
        <w:t xml:space="preserve"> mesiacoch január až </w:t>
      </w:r>
      <w:r w:rsidR="000A730F">
        <w:rPr>
          <w:rFonts w:cs="Arial"/>
          <w:sz w:val="24"/>
          <w:szCs w:val="24"/>
        </w:rPr>
        <w:t>jún</w:t>
      </w:r>
      <w:r w:rsidR="00E017F9">
        <w:rPr>
          <w:rFonts w:cs="Arial"/>
          <w:sz w:val="24"/>
          <w:szCs w:val="24"/>
        </w:rPr>
        <w:t xml:space="preserve"> 2012</w:t>
      </w:r>
      <w:r w:rsidR="005F5757">
        <w:rPr>
          <w:rFonts w:cs="Arial"/>
          <w:sz w:val="24"/>
          <w:szCs w:val="24"/>
        </w:rPr>
        <w:t>.</w:t>
      </w:r>
    </w:p>
    <w:p w:rsidR="00657CB2" w:rsidRPr="00D06742" w:rsidRDefault="00657CB2" w:rsidP="00657CB2">
      <w:pPr>
        <w:pStyle w:val="Zarkazkladnhotextu"/>
        <w:jc w:val="left"/>
        <w:rPr>
          <w:szCs w:val="24"/>
        </w:rPr>
      </w:pPr>
    </w:p>
    <w:p w:rsidR="005910A7" w:rsidRPr="005910A7" w:rsidRDefault="00657CB2" w:rsidP="005910A7">
      <w:pPr>
        <w:spacing w:before="240" w:after="120"/>
        <w:jc w:val="center"/>
        <w:rPr>
          <w:rFonts w:ascii="Arial" w:hAnsi="Arial" w:cs="Arial"/>
          <w:b/>
        </w:rPr>
      </w:pPr>
      <w:r>
        <w:br w:type="page"/>
      </w:r>
      <w:r w:rsidR="005910A7" w:rsidRPr="005910A7">
        <w:rPr>
          <w:rFonts w:ascii="Arial" w:hAnsi="Arial" w:cs="Arial"/>
          <w:b/>
        </w:rPr>
        <w:lastRenderedPageBreak/>
        <w:t>Predkladacia správa</w:t>
      </w:r>
    </w:p>
    <w:p w:rsidR="005910A7" w:rsidRPr="005910A7" w:rsidRDefault="005910A7" w:rsidP="005910A7">
      <w:pPr>
        <w:spacing w:before="240" w:after="120"/>
        <w:ind w:firstLine="720"/>
        <w:jc w:val="both"/>
        <w:rPr>
          <w:rFonts w:ascii="Arial" w:hAnsi="Arial" w:cs="Arial"/>
        </w:rPr>
      </w:pPr>
      <w:r w:rsidRPr="005910A7">
        <w:rPr>
          <w:rFonts w:ascii="Arial" w:hAnsi="Arial" w:cs="Arial"/>
        </w:rPr>
        <w:t>Správa o hospodárení Sociálnej poisťovne v</w:t>
      </w:r>
      <w:r w:rsidR="00E017F9">
        <w:rPr>
          <w:rFonts w:ascii="Arial" w:hAnsi="Arial" w:cs="Arial"/>
        </w:rPr>
        <w:t xml:space="preserve"> mesiacoch január až </w:t>
      </w:r>
      <w:r w:rsidR="000A730F">
        <w:rPr>
          <w:rFonts w:ascii="Arial" w:hAnsi="Arial" w:cs="Arial"/>
        </w:rPr>
        <w:t>jún</w:t>
      </w:r>
      <w:r w:rsidR="00E017F9">
        <w:rPr>
          <w:rFonts w:ascii="Arial" w:hAnsi="Arial" w:cs="Arial"/>
        </w:rPr>
        <w:t xml:space="preserve"> 2012</w:t>
      </w:r>
      <w:r w:rsidR="000A730F">
        <w:rPr>
          <w:rFonts w:ascii="Arial" w:hAnsi="Arial" w:cs="Arial"/>
        </w:rPr>
        <w:t xml:space="preserve"> sa predkladá na 4</w:t>
      </w:r>
      <w:r w:rsidRPr="005910A7">
        <w:rPr>
          <w:rFonts w:ascii="Arial" w:hAnsi="Arial" w:cs="Arial"/>
        </w:rPr>
        <w:t>/1</w:t>
      </w:r>
      <w:r w:rsidR="00040C67">
        <w:rPr>
          <w:rFonts w:ascii="Arial" w:hAnsi="Arial" w:cs="Arial"/>
        </w:rPr>
        <w:t>2</w:t>
      </w:r>
      <w:r w:rsidRPr="005910A7">
        <w:rPr>
          <w:rFonts w:ascii="Arial" w:hAnsi="Arial" w:cs="Arial"/>
        </w:rPr>
        <w:t xml:space="preserve"> zasadnutie Doz</w:t>
      </w:r>
      <w:r w:rsidR="00231012">
        <w:rPr>
          <w:rFonts w:ascii="Arial" w:hAnsi="Arial" w:cs="Arial"/>
        </w:rPr>
        <w:t xml:space="preserve">ornej rady Sociálnej poisťovne </w:t>
      </w:r>
      <w:r w:rsidRPr="005910A7">
        <w:rPr>
          <w:rFonts w:ascii="Arial" w:hAnsi="Arial" w:cs="Arial"/>
        </w:rPr>
        <w:t>v nadväznosti na vecný a časový plán konania zasadnutí Dozornej rady Sociálnej poisťovne v roku 201</w:t>
      </w:r>
      <w:r w:rsidR="00040C67">
        <w:rPr>
          <w:rFonts w:ascii="Arial" w:hAnsi="Arial" w:cs="Arial"/>
        </w:rPr>
        <w:t>2</w:t>
      </w:r>
      <w:r w:rsidRPr="005910A7">
        <w:rPr>
          <w:rFonts w:ascii="Arial" w:hAnsi="Arial" w:cs="Arial"/>
        </w:rPr>
        <w:t>.</w:t>
      </w:r>
    </w:p>
    <w:p w:rsidR="00A02473" w:rsidRPr="00A02473" w:rsidRDefault="00A02473" w:rsidP="00A76E58">
      <w:pPr>
        <w:spacing w:before="240" w:after="120"/>
        <w:jc w:val="center"/>
        <w:rPr>
          <w:rFonts w:cs="Arial"/>
        </w:rPr>
      </w:pPr>
    </w:p>
    <w:p w:rsidR="0045503B" w:rsidRPr="0045503B" w:rsidRDefault="00485707" w:rsidP="0045503B">
      <w:pPr>
        <w:pStyle w:val="Zarkazkladnhotextu"/>
        <w:ind w:left="0"/>
        <w:jc w:val="center"/>
        <w:rPr>
          <w:b/>
          <w:sz w:val="28"/>
          <w:szCs w:val="28"/>
        </w:rPr>
      </w:pPr>
      <w:r w:rsidRPr="00A02473">
        <w:br w:type="page"/>
      </w:r>
      <w:r w:rsidR="0045503B" w:rsidRPr="0045503B">
        <w:rPr>
          <w:b/>
          <w:sz w:val="28"/>
          <w:szCs w:val="28"/>
        </w:rPr>
        <w:lastRenderedPageBreak/>
        <w:t xml:space="preserve">Správa o hospodárení Sociálnej poisťovne </w:t>
      </w:r>
      <w:r w:rsidR="0045503B" w:rsidRPr="0045503B">
        <w:rPr>
          <w:b/>
          <w:sz w:val="28"/>
          <w:szCs w:val="28"/>
        </w:rPr>
        <w:br/>
        <w:t>v mesiacoch január až jún 2012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Návrh rozpočtu Sociálnej poisťovne na rok 2012 schválila Národná rada Slovenskej republiky (NR SR) uznesením č. 755 z 8. decembra 2011. Schválený rozpočet Sociálnej poisťovne na rok 2012 (ďalej len „schválený rozpočet“) je zostavený v podmienkach zákona č. 461/2003 Z. z. o sociálnom poistení v znení neskorších predpisov (ďalej len „zákon o sociálnom poistení“) účinných k termínu spracovávania materiálu. Zohľadňuje očakávané výsledky hospodárenia Sociálnej poisťovne v roku 2011, vplyv makroekonomických ukazovateľov zverejnených Inštitútom finančnej politiky Ministerstva financií Slovenskej republiky dňa 2. novembra 2011 a Ministerstvom financií Slovenskej republiky navrhovanú výšku príjmov a výdavkov.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  <w:szCs w:val="20"/>
        </w:rPr>
        <w:t>Do ostatných príjmov Sociálnej poisťovne v roku 2012 bol zapracovaný transfer finančných prostriedkov zo</w:t>
      </w:r>
      <w:r w:rsidRPr="0045503B">
        <w:rPr>
          <w:rFonts w:ascii="Arial" w:hAnsi="Arial" w:cs="Arial"/>
        </w:rPr>
        <w:t xml:space="preserve"> štátneho rozpočtu Slovenskej republiky (ŠR SR) vo výške 1 780 000 tis. Eur na krytie deficitu vzniknutého dôsledkom zavedenia II. piliera a ako finančná výpomoc z dôvodu platobnej neschopnosti základného fondu starobného poistenia, v zmysle § 157 ods. 4 zákona o sociálnom poistení v znení neskorších predpisov a o zmene a doplnení niektorých zákonov.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</w:rPr>
        <w:t xml:space="preserve">Dňa 2. decembra 2011 bol schválený zákon NR SR č. 521/2011 Z. z., ktorým sa mení a dopĺňa zákon č. 461/2003 Z. z. o sociálnom poistení v znení neskorších predpisov s účinnosťou od 1. januára 2012, resp. 1. februára 2012. </w:t>
      </w:r>
      <w:r w:rsidRPr="0045503B">
        <w:rPr>
          <w:rFonts w:ascii="Arial" w:hAnsi="Arial" w:cs="Arial"/>
          <w:szCs w:val="20"/>
        </w:rPr>
        <w:t xml:space="preserve">Vplyv tohto zákona, v porovnaní so schváleným rozpočtom, </w:t>
      </w:r>
      <w:r w:rsidRPr="0045503B">
        <w:rPr>
          <w:rFonts w:ascii="Arial" w:hAnsi="Arial" w:cs="Arial"/>
        </w:rPr>
        <w:t xml:space="preserve">zlepšuje bilanciu </w:t>
      </w:r>
      <w:r w:rsidRPr="0045503B">
        <w:rPr>
          <w:rFonts w:ascii="Arial" w:hAnsi="Arial" w:cs="Arial"/>
          <w:szCs w:val="20"/>
        </w:rPr>
        <w:t>Sociálnej poisťovne</w:t>
      </w:r>
      <w:r w:rsidRPr="0045503B">
        <w:rPr>
          <w:rFonts w:ascii="Arial" w:hAnsi="Arial" w:cs="Arial"/>
        </w:rPr>
        <w:t xml:space="preserve"> v bežnom roku o 227 tis. Eur (zníženie príjmov o 9 397 tis. Eur a  zníženie výdavkov Sociálnej poisťovne o 9 624 tis. Eur).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Dopady zmien vyplývajúcich z novely zákona o sociálnom poistení na hospodárenie Sociálnej poisťovne v roku 2012 sa premietajú v bilancii Sociálnej poisťovne uvedenej v prílohe súhrnná bilancia v stĺpci 3 – upravený rozpočet na rok 2012 (ďalej len „upravený rozpočet“). 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Pri tvorbe správneho fondu sa vychádzalo zo zákonom stanovenej tvorby správneho fondu najviac vo výške 2,4 % z príjmov z poistného, 0,5 % z príspevkov na starobné dôchodkové sporenie (SDS) a ďalších ustanovených príjmov v § 168 ods. 2 zákona o sociálnom poistení.</w:t>
      </w:r>
    </w:p>
    <w:p w:rsidR="0045503B" w:rsidRPr="0045503B" w:rsidRDefault="0045503B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Príjmy Sociálnej poisťovne v mesiacoch január až jún 2012 (bez prevodu z minulých rokov) dosiahli výšku 3 245 978 tis. Eur, čo je 49,75 %-né plnenie upraveného rozpočtu a 102,83 %-né plnenie časového rozpisu rozpočtu na január až jún 2012 (ďalej len „časový rozpis“). V príjmoch je zahrnutých 890 000 tis. Eur zo ŠR SR na krytie deficitu v dôsledku zavedenia II. piliera</w:t>
      </w:r>
      <w:r w:rsidRPr="0045503B">
        <w:rPr>
          <w:rFonts w:ascii="Arial" w:hAnsi="Arial" w:cs="Arial"/>
        </w:rPr>
        <w:t xml:space="preserve"> a ako finančná výpomoc z dôvodu platobnej neschopnosti základného fondu starobného poistenia, v zmysle § 157 ods. 4 zákona o sociálnom poistení v znení neskorších predpisov a o zmene a doplnení niektorých zákonov.</w:t>
      </w:r>
      <w:r w:rsidRPr="0045503B">
        <w:rPr>
          <w:rFonts w:ascii="Arial" w:hAnsi="Arial"/>
          <w:szCs w:val="20"/>
        </w:rPr>
        <w:t xml:space="preserve"> </w:t>
      </w:r>
    </w:p>
    <w:p w:rsidR="0045503B" w:rsidRPr="0045503B" w:rsidRDefault="0045503B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Zdroje Sociálnej poisťovne, vrátane prevodu prostriedkov z minulého roka </w:t>
      </w:r>
      <w:r w:rsidRPr="0045503B">
        <w:rPr>
          <w:rFonts w:ascii="Arial" w:hAnsi="Arial"/>
          <w:szCs w:val="20"/>
        </w:rPr>
        <w:br/>
        <w:t>(v súlade so schválenou účtovnou závierkou Sociálnej poisťovne za rok 2011 uznesením NR SR č. 56 z 26. júna 2012), v hodnotenom období predstavovali 3 802 859 tis. Eur.</w:t>
      </w:r>
    </w:p>
    <w:p w:rsidR="0045503B" w:rsidRPr="0045503B" w:rsidRDefault="0045503B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lastRenderedPageBreak/>
        <w:t xml:space="preserve">Výdavky (náklady) Sociálnej poisťovne v mesiacoch január až jún 2012 dosiahli výšku 3 215 155 tis. Eur, čo je 49,47 %-né plnenie upraveného rozpočtu a 98,94 %-né plnenie časového rozpisu. </w:t>
      </w:r>
    </w:p>
    <w:p w:rsidR="0045503B" w:rsidRPr="0045503B" w:rsidRDefault="0045503B" w:rsidP="0045503B">
      <w:pPr>
        <w:widowControl w:val="0"/>
        <w:tabs>
          <w:tab w:val="decimal" w:pos="828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Z porovnania príjmov a výdavkov vyplýva bilančný rozdiel v bežnom roku v sume 30 823 tis. Eur. Hospodárenie Sociálnej poisťovne k 30. júnu 2012 (vrátane prevodu z minulých rokov) skončilo bilančným rozdielom 587 704 tis. Eur.</w:t>
      </w:r>
    </w:p>
    <w:p w:rsidR="0045503B" w:rsidRPr="0045503B" w:rsidRDefault="0045503B" w:rsidP="0045503B">
      <w:pPr>
        <w:spacing w:before="24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Vplyv zavedenia II. piliera na hospodárenie Sociálnej poisťovne sa prejavil v základných fondoch za hodnotené obdobie nasledovne: </w:t>
      </w:r>
    </w:p>
    <w:p w:rsidR="0045503B" w:rsidRPr="0045503B" w:rsidRDefault="0045503B" w:rsidP="0045503B">
      <w:pPr>
        <w:numPr>
          <w:ilvl w:val="0"/>
          <w:numId w:val="3"/>
        </w:numPr>
        <w:tabs>
          <w:tab w:val="num" w:pos="720"/>
        </w:tabs>
        <w:ind w:left="720" w:hanging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dôchodkovým správcovským spoločnostiam (DSS) boli postúpené príspevky na SDS vo výške 439 324 tis. Eur,</w:t>
      </w:r>
    </w:p>
    <w:p w:rsidR="0045503B" w:rsidRPr="0045503B" w:rsidRDefault="0045503B" w:rsidP="0045503B">
      <w:pPr>
        <w:numPr>
          <w:ilvl w:val="0"/>
          <w:numId w:val="3"/>
        </w:numPr>
        <w:tabs>
          <w:tab w:val="num" w:pos="720"/>
        </w:tabs>
        <w:spacing w:after="120"/>
        <w:ind w:left="720" w:hanging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na vykrytie deficitu boli poskytnuté finančné prostriedky zo ŠR SR v sume 890 000 tis. Eur.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</w:rPr>
      </w:pPr>
      <w:r w:rsidRPr="0045503B">
        <w:rPr>
          <w:rFonts w:ascii="Arial" w:hAnsi="Arial"/>
          <w:szCs w:val="20"/>
        </w:rPr>
        <w:t>Prehľady o vývoji príjmov, výdavkov a počtoch zamestnancov Sociálnej poisťovne k 30. júnu 2012 sú v prílohách – ústredie Sociálnej poisťovne, pobočky Sociálnej poisťovne a zamestnanci Sociálnej poisťovne.</w:t>
      </w:r>
    </w:p>
    <w:p w:rsidR="0045503B" w:rsidRPr="0045503B" w:rsidRDefault="0045503B" w:rsidP="0045503B">
      <w:pPr>
        <w:tabs>
          <w:tab w:val="left" w:pos="720"/>
          <w:tab w:val="decimal" w:pos="8280"/>
        </w:tabs>
        <w:spacing w:before="240" w:after="120"/>
        <w:jc w:val="both"/>
        <w:rPr>
          <w:rFonts w:ascii="Arial" w:hAnsi="Arial" w:cs="Arial"/>
        </w:rPr>
      </w:pPr>
      <w:r w:rsidRPr="0045503B">
        <w:rPr>
          <w:rFonts w:ascii="Arial" w:hAnsi="Arial" w:cs="Arial"/>
          <w:b/>
        </w:rPr>
        <w:t>1.</w:t>
      </w:r>
      <w:r w:rsidRPr="0045503B">
        <w:rPr>
          <w:rFonts w:ascii="Arial" w:hAnsi="Arial" w:cs="Arial"/>
          <w:b/>
        </w:rPr>
        <w:tab/>
        <w:t>Príjmy Sociálnej poisťovne</w:t>
      </w:r>
      <w:r w:rsidRPr="0045503B">
        <w:rPr>
          <w:rFonts w:ascii="Arial" w:hAnsi="Arial" w:cs="Arial"/>
        </w:rPr>
        <w:t xml:space="preserve">, t. j. finančné prostriedky z poistného, pokút a penále a ostatné príjmy, vrátane finančných prostriedkov zo ŠR SR, v mesiacoch január až jún 2012 predstavovali </w:t>
      </w:r>
      <w:r w:rsidRPr="0045503B">
        <w:rPr>
          <w:rFonts w:ascii="Arial" w:hAnsi="Arial" w:cs="Arial"/>
        </w:rPr>
        <w:tab/>
      </w:r>
      <w:r w:rsidRPr="0045503B">
        <w:rPr>
          <w:rFonts w:ascii="Arial" w:hAnsi="Arial" w:cs="Arial"/>
          <w:b/>
        </w:rPr>
        <w:t>3 245 978 tis. Eur,</w:t>
      </w:r>
      <w:r w:rsidRPr="0045503B">
        <w:rPr>
          <w:rFonts w:ascii="Arial" w:hAnsi="Arial" w:cs="Arial"/>
          <w:b/>
        </w:rPr>
        <w:br/>
      </w:r>
      <w:r w:rsidRPr="0045503B">
        <w:rPr>
          <w:rFonts w:ascii="Arial" w:hAnsi="Arial" w:cs="Arial"/>
        </w:rPr>
        <w:t>čo je 49,75 %-né plnenie upraveného rozpočtu v sume</w:t>
      </w:r>
      <w:r w:rsidRPr="0045503B">
        <w:rPr>
          <w:rFonts w:ascii="Arial" w:hAnsi="Arial" w:cs="Arial"/>
        </w:rPr>
        <w:tab/>
        <w:t>6 525 214 tis. Eur</w:t>
      </w:r>
      <w:r w:rsidRPr="0045503B">
        <w:rPr>
          <w:rFonts w:ascii="Arial" w:hAnsi="Arial" w:cs="Arial"/>
        </w:rPr>
        <w:br/>
        <w:t>a 102,83 %-né plnenie časového rozpisu vo výške</w:t>
      </w:r>
      <w:r w:rsidRPr="0045503B">
        <w:rPr>
          <w:rFonts w:ascii="Arial" w:hAnsi="Arial" w:cs="Arial"/>
        </w:rPr>
        <w:tab/>
        <w:t>3 156 709 tis. Eur.</w:t>
      </w:r>
    </w:p>
    <w:p w:rsidR="0045503B" w:rsidRPr="0045503B" w:rsidRDefault="0045503B" w:rsidP="0045503B">
      <w:pPr>
        <w:tabs>
          <w:tab w:val="left" w:pos="4680"/>
          <w:tab w:val="decimal" w:pos="8080"/>
        </w:tabs>
        <w:spacing w:before="24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Štruktúra skutočných príjmov Sociálnej poisťovne a ich porovnanie s časovým rozpisom je takáto:</w:t>
      </w:r>
    </w:p>
    <w:tbl>
      <w:tblPr>
        <w:tblW w:w="0" w:type="auto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7"/>
        <w:gridCol w:w="1120"/>
        <w:gridCol w:w="1273"/>
        <w:gridCol w:w="1388"/>
        <w:gridCol w:w="1196"/>
      </w:tblGrid>
      <w:tr w:rsidR="0045503B" w:rsidRPr="0045503B" w:rsidTr="00610F11">
        <w:tc>
          <w:tcPr>
            <w:tcW w:w="97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v tis. Eur</w:t>
            </w:r>
          </w:p>
        </w:tc>
      </w:tr>
      <w:tr w:rsidR="0045503B" w:rsidRPr="0045503B" w:rsidTr="00610F11">
        <w:trPr>
          <w:trHeight w:val="207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Ukazovateľ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Skutočnosť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Rozdiel  (2-1)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% plnenia (2/1)</w:t>
            </w:r>
          </w:p>
        </w:tc>
      </w:tr>
      <w:tr w:rsidR="0045503B" w:rsidRPr="0045503B" w:rsidTr="00610F11">
        <w:trPr>
          <w:trHeight w:val="207"/>
        </w:trPr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celkom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3 156 709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3 245 978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89 269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102,83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v tom: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z bežného poistného od ekonomicky aktívneho obyvateľstva (EAO)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2 089 461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2 109 537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20 076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100,96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príjmy z dlžného poistného 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71 628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122 949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51 321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171,65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zo sankcií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2 128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7 205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5 077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338,58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z poistného od štátu vrátane 0,5 % z príspevkov na SDS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82 316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96 891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14 575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117,71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od Sociálnej poisťovne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1 045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-86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91,77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ostatné príjmy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895 168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896 573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1 405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100,16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5503B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 z toho príjmy zo ŠR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5503B">
              <w:rPr>
                <w:rFonts w:ascii="Arial" w:hAnsi="Arial" w:cs="Arial"/>
                <w:i/>
                <w:iCs/>
                <w:sz w:val="18"/>
                <w:szCs w:val="18"/>
              </w:rPr>
              <w:t>889 998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5503B">
              <w:rPr>
                <w:rFonts w:ascii="Arial" w:hAnsi="Arial" w:cs="Arial"/>
                <w:i/>
                <w:iCs/>
                <w:sz w:val="18"/>
                <w:szCs w:val="18"/>
              </w:rPr>
              <w:t>890 000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5503B">
              <w:rPr>
                <w:rFonts w:ascii="Arial" w:hAnsi="Arial" w:cs="Arial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5503B">
              <w:rPr>
                <w:rFonts w:ascii="Arial" w:hAnsi="Arial" w:cs="Arial"/>
                <w:i/>
                <w:iCs/>
                <w:sz w:val="18"/>
                <w:szCs w:val="18"/>
              </w:rPr>
              <w:t>100,00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príspevky na SDS zaplatené zamestnávateľom po uplynutí 60 dní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12 958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9 821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-3 137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75,79</w:t>
            </w:r>
          </w:p>
        </w:tc>
      </w:tr>
      <w:tr w:rsidR="0045503B" w:rsidRPr="0045503B" w:rsidTr="00610F11"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správneho fondu z príspevkov na SDS (EAO)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2 005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2 043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101,90</w:t>
            </w:r>
          </w:p>
        </w:tc>
      </w:tr>
    </w:tbl>
    <w:p w:rsidR="0045503B" w:rsidRPr="0045503B" w:rsidRDefault="0045503B" w:rsidP="0045503B">
      <w:pPr>
        <w:tabs>
          <w:tab w:val="left" w:pos="4680"/>
          <w:tab w:val="decimal" w:pos="8080"/>
        </w:tabs>
        <w:jc w:val="both"/>
        <w:rPr>
          <w:rFonts w:ascii="Arial" w:hAnsi="Arial" w:cs="Arial"/>
        </w:rPr>
      </w:pPr>
    </w:p>
    <w:p w:rsidR="0045503B" w:rsidRPr="0045503B" w:rsidRDefault="0045503B" w:rsidP="0045503B">
      <w:pPr>
        <w:tabs>
          <w:tab w:val="decimal" w:pos="8280"/>
          <w:tab w:val="right" w:pos="8820"/>
          <w:tab w:val="right" w:pos="9000"/>
        </w:tabs>
        <w:spacing w:after="12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  <w:b/>
          <w:bCs/>
        </w:rPr>
        <w:t xml:space="preserve">V absolútnom vyjadrení je plnenie príjmov celkom oproti časovému rozpisu vyššie o 89 269 tis. Eur. </w:t>
      </w:r>
      <w:r w:rsidRPr="0045503B">
        <w:rPr>
          <w:rFonts w:ascii="Arial" w:hAnsi="Arial" w:cs="Arial"/>
        </w:rPr>
        <w:t>Na túto skutočnosť malo v</w:t>
      </w:r>
      <w:r w:rsidRPr="0045503B">
        <w:rPr>
          <w:rFonts w:ascii="Arial" w:hAnsi="Arial" w:cs="Arial"/>
          <w:b/>
          <w:bCs/>
        </w:rPr>
        <w:t xml:space="preserve"> </w:t>
      </w:r>
      <w:r w:rsidRPr="0045503B">
        <w:rPr>
          <w:rFonts w:ascii="Arial" w:hAnsi="Arial" w:cs="Arial"/>
        </w:rPr>
        <w:t> rozhodujúcej miere vplyv plnenie</w:t>
      </w:r>
      <w:r w:rsidRPr="0045503B">
        <w:rPr>
          <w:rFonts w:ascii="Arial" w:hAnsi="Arial" w:cs="Arial"/>
          <w:b/>
          <w:bCs/>
        </w:rPr>
        <w:t xml:space="preserve"> </w:t>
      </w:r>
      <w:r w:rsidRPr="0045503B">
        <w:rPr>
          <w:rFonts w:ascii="Arial" w:hAnsi="Arial" w:cs="Arial"/>
        </w:rPr>
        <w:t>príjmov z </w:t>
      </w:r>
      <w:r w:rsidRPr="0045503B">
        <w:rPr>
          <w:rFonts w:ascii="Arial" w:hAnsi="Arial" w:cs="Arial"/>
          <w:b/>
          <w:bCs/>
        </w:rPr>
        <w:t>dlžného poistného</w:t>
      </w:r>
      <w:r w:rsidRPr="0045503B">
        <w:rPr>
          <w:rFonts w:ascii="Arial" w:hAnsi="Arial" w:cs="Arial"/>
        </w:rPr>
        <w:t xml:space="preserve">, keď v porovnaní s časovým rozpisom sú tieto </w:t>
      </w:r>
      <w:r w:rsidRPr="0045503B">
        <w:rPr>
          <w:rFonts w:ascii="Arial" w:hAnsi="Arial" w:cs="Arial"/>
          <w:b/>
          <w:bCs/>
        </w:rPr>
        <w:t xml:space="preserve">vyššie o 51 321 tis. Eur. </w:t>
      </w:r>
      <w:r w:rsidRPr="0045503B">
        <w:rPr>
          <w:rFonts w:ascii="Arial" w:hAnsi="Arial" w:cs="Arial"/>
          <w:szCs w:val="20"/>
        </w:rPr>
        <w:t xml:space="preserve">Plnenie príjmov od </w:t>
      </w:r>
      <w:r w:rsidRPr="0045503B">
        <w:rPr>
          <w:rFonts w:ascii="Arial" w:hAnsi="Arial" w:cs="Arial"/>
          <w:b/>
          <w:szCs w:val="20"/>
        </w:rPr>
        <w:t>EAO z bežného poistného</w:t>
      </w:r>
      <w:r w:rsidRPr="0045503B">
        <w:rPr>
          <w:rFonts w:ascii="Arial" w:hAnsi="Arial" w:cs="Arial"/>
          <w:szCs w:val="20"/>
        </w:rPr>
        <w:t xml:space="preserve"> je, </w:t>
      </w:r>
      <w:r w:rsidRPr="0045503B">
        <w:rPr>
          <w:rFonts w:ascii="Arial" w:hAnsi="Arial" w:cs="Arial"/>
        </w:rPr>
        <w:t>v porovnaní s časovým rozpisom,</w:t>
      </w:r>
      <w:r w:rsidRPr="0045503B">
        <w:rPr>
          <w:rFonts w:ascii="Arial" w:hAnsi="Arial" w:cs="Arial"/>
          <w:szCs w:val="20"/>
        </w:rPr>
        <w:t xml:space="preserve"> vyššie </w:t>
      </w:r>
      <w:r w:rsidRPr="0045503B">
        <w:rPr>
          <w:rFonts w:ascii="Arial" w:hAnsi="Arial" w:cs="Arial"/>
          <w:b/>
          <w:szCs w:val="20"/>
        </w:rPr>
        <w:t>o 20 076 tis. Eur.</w:t>
      </w:r>
    </w:p>
    <w:p w:rsidR="0045503B" w:rsidRDefault="0045503B" w:rsidP="0045503B">
      <w:pPr>
        <w:tabs>
          <w:tab w:val="decimal" w:pos="8280"/>
          <w:tab w:val="right" w:pos="8820"/>
          <w:tab w:val="right" w:pos="900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Podľa jednotlivých druhov poistenia boli príjmy z bežného poistného od EAO v mesiacoch január až jún 2012 nasledovné:</w:t>
      </w:r>
    </w:p>
    <w:p w:rsidR="0045503B" w:rsidRPr="0045503B" w:rsidRDefault="0045503B" w:rsidP="0045503B">
      <w:pPr>
        <w:tabs>
          <w:tab w:val="decimal" w:pos="8280"/>
          <w:tab w:val="right" w:pos="8820"/>
          <w:tab w:val="right" w:pos="9000"/>
        </w:tabs>
        <w:ind w:firstLine="709"/>
        <w:jc w:val="both"/>
        <w:rPr>
          <w:rFonts w:ascii="Arial" w:hAnsi="Arial" w:cs="Arial"/>
          <w:szCs w:val="20"/>
        </w:rPr>
      </w:pP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160"/>
        <w:gridCol w:w="1320"/>
        <w:gridCol w:w="1440"/>
        <w:gridCol w:w="1240"/>
      </w:tblGrid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45503B" w:rsidRPr="0045503B" w:rsidTr="00610F11">
        <w:trPr>
          <w:trHeight w:val="450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z bežného poistného od EAO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Skutočnosť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Rozdiel  (2-1)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% plnenia (2/1)</w:t>
            </w:r>
          </w:p>
        </w:tc>
      </w:tr>
      <w:tr w:rsidR="0045503B" w:rsidRPr="0045503B" w:rsidTr="00610F11">
        <w:trPr>
          <w:trHeight w:val="207"/>
        </w:trPr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nemocenského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192 125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191 206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-919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99,52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starobného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923 862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924 617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100,08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invalidného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417 236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430 573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13 337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103,20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úrazového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59 515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62 768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3 253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105,47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garančného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13 534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13 134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-400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97,04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Základný fond poistenia v nezamestnanosti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133 545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135 217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1 672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101,25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349 644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352 022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2 378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100,68</w:t>
            </w:r>
          </w:p>
        </w:tc>
      </w:tr>
      <w:tr w:rsidR="0045503B" w:rsidRPr="0045503B" w:rsidTr="00610F11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2 089 461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2 109 537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20 076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100,96</w:t>
            </w:r>
          </w:p>
        </w:tc>
      </w:tr>
    </w:tbl>
    <w:p w:rsidR="0045503B" w:rsidRPr="0045503B" w:rsidRDefault="0045503B" w:rsidP="0045503B">
      <w:pPr>
        <w:tabs>
          <w:tab w:val="left" w:pos="709"/>
          <w:tab w:val="decimal" w:pos="8280"/>
        </w:tabs>
        <w:spacing w:before="24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 w:cs="Arial"/>
          <w:szCs w:val="20"/>
        </w:rPr>
        <w:t>V príjmoch od EAO sú zahrnuté príjmy poistného od zamestnancov, zamestnávateľov, samostatne zárobkovo činných osôb a dobrovoľne poistených osôb</w:t>
      </w:r>
      <w:r w:rsidRPr="0045503B">
        <w:rPr>
          <w:rFonts w:ascii="Arial" w:hAnsi="Arial" w:cs="Arial"/>
        </w:rPr>
        <w:t>.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eastAsia="Calibri" w:hAnsi="Arial" w:cs="Arial"/>
        </w:rPr>
      </w:pPr>
      <w:r w:rsidRPr="0045503B">
        <w:rPr>
          <w:rFonts w:ascii="Arial" w:eastAsia="Calibri" w:hAnsi="Arial" w:cs="Arial"/>
        </w:rPr>
        <w:t>Počty SZČO, ktoré platili v mesiacoch január až jún 2012 na sociálne poistenie z minimálneho vymeriavacieho základu v triedení podľa jednotlivých druhov poistenia sú v nasledovné:</w:t>
      </w:r>
    </w:p>
    <w:tbl>
      <w:tblPr>
        <w:tblW w:w="7796" w:type="dxa"/>
        <w:tblInd w:w="7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469"/>
        <w:gridCol w:w="2641"/>
      </w:tblGrid>
      <w:tr w:rsidR="0045503B" w:rsidRPr="0045503B" w:rsidTr="0045503B">
        <w:trPr>
          <w:trHeight w:val="510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Fond</w:t>
            </w:r>
          </w:p>
        </w:tc>
        <w:tc>
          <w:tcPr>
            <w:tcW w:w="14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Počet SZČO</w:t>
            </w:r>
          </w:p>
        </w:tc>
        <w:tc>
          <w:tcPr>
            <w:tcW w:w="26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%-</w:t>
            </w:r>
            <w:proofErr w:type="spellStart"/>
            <w:r w:rsidRPr="0045503B">
              <w:rPr>
                <w:rFonts w:ascii="Arial" w:eastAsia="Calibri" w:hAnsi="Arial" w:cs="Arial"/>
                <w:sz w:val="20"/>
                <w:szCs w:val="20"/>
              </w:rPr>
              <w:t>ny</w:t>
            </w:r>
            <w:proofErr w:type="spellEnd"/>
            <w:r w:rsidRPr="0045503B">
              <w:rPr>
                <w:rFonts w:ascii="Arial" w:eastAsia="Calibri" w:hAnsi="Arial" w:cs="Arial"/>
                <w:sz w:val="20"/>
                <w:szCs w:val="20"/>
              </w:rPr>
              <w:t xml:space="preserve"> podiel z celkového počtu SZČO</w:t>
            </w:r>
          </w:p>
        </w:tc>
      </w:tr>
      <w:tr w:rsidR="0045503B" w:rsidRPr="0045503B" w:rsidTr="0045503B">
        <w:trPr>
          <w:trHeight w:val="25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188 296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86,88%</w:t>
            </w:r>
          </w:p>
        </w:tc>
      </w:tr>
      <w:tr w:rsidR="0045503B" w:rsidRPr="0045503B" w:rsidTr="0045503B">
        <w:trPr>
          <w:trHeight w:val="25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188 809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86,82%</w:t>
            </w:r>
          </w:p>
        </w:tc>
      </w:tr>
      <w:tr w:rsidR="0045503B" w:rsidRPr="0045503B" w:rsidTr="0045503B">
        <w:trPr>
          <w:trHeight w:val="25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180 383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87,21%</w:t>
            </w:r>
          </w:p>
        </w:tc>
      </w:tr>
      <w:tr w:rsidR="0045503B" w:rsidRPr="0045503B" w:rsidTr="0045503B">
        <w:trPr>
          <w:trHeight w:val="255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Rezervný fond solidarity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188 924</w:t>
            </w:r>
          </w:p>
        </w:tc>
        <w:tc>
          <w:tcPr>
            <w:tcW w:w="2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eastAsia="Calibri" w:hAnsi="Arial" w:cs="Arial"/>
              </w:rPr>
            </w:pPr>
            <w:r w:rsidRPr="0045503B">
              <w:rPr>
                <w:rFonts w:ascii="Arial" w:eastAsia="Calibri" w:hAnsi="Arial" w:cs="Arial"/>
                <w:sz w:val="20"/>
                <w:szCs w:val="20"/>
              </w:rPr>
              <w:t>86,80%</w:t>
            </w:r>
          </w:p>
        </w:tc>
      </w:tr>
    </w:tbl>
    <w:p w:rsidR="0045503B" w:rsidRPr="0045503B" w:rsidRDefault="0045503B" w:rsidP="0045503B">
      <w:pPr>
        <w:tabs>
          <w:tab w:val="left" w:pos="709"/>
          <w:tab w:val="decimal" w:pos="8280"/>
        </w:tabs>
        <w:spacing w:before="36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 w:cs="Arial"/>
          <w:b/>
          <w:szCs w:val="20"/>
        </w:rPr>
        <w:t>Ukazovateľ úspešnosti výberu poistného a príspevkov na SDS</w:t>
      </w:r>
      <w:r w:rsidRPr="0045503B">
        <w:rPr>
          <w:rFonts w:ascii="Arial" w:hAnsi="Arial" w:cs="Arial"/>
          <w:szCs w:val="20"/>
        </w:rPr>
        <w:t xml:space="preserve"> (ďalej len "úspešnosť výberu poistného") vyjadruje platobnú disciplínu odvádzateľov (právnických a fyzických osôb) voči Sociálnej poisťovni, ako aj úroveň vzájomnej komunikácie odvádzateľov poistného a pobočiek Sociálnej poisťovne (ďalej len „pobočky“), vrátane kvality práce pobočiek s pohľadávkami súvisiacimi s nezaplateným poistným. </w:t>
      </w:r>
      <w:r w:rsidRPr="0045503B">
        <w:rPr>
          <w:rFonts w:ascii="Arial" w:hAnsi="Arial" w:cs="Arial"/>
          <w:b/>
          <w:szCs w:val="20"/>
        </w:rPr>
        <w:t xml:space="preserve">Ukazovateľ úspešnosti výberu poistného </w:t>
      </w:r>
      <w:r w:rsidRPr="0045503B">
        <w:rPr>
          <w:rFonts w:ascii="Arial" w:hAnsi="Arial" w:cs="Arial"/>
          <w:szCs w:val="20"/>
        </w:rPr>
        <w:t>je stanovený ako pomer uhradeného predpísaného poistného a príspevkov na SDS, pokút a penále a ich predpisu. V mesiacoch január až jún 2012 je jeho hodnota 96,59 </w:t>
      </w:r>
      <w:r w:rsidRPr="0045503B">
        <w:rPr>
          <w:rFonts w:ascii="Arial" w:hAnsi="Arial" w:cs="Arial"/>
          <w:b/>
          <w:szCs w:val="20"/>
        </w:rPr>
        <w:t>%.</w:t>
      </w:r>
    </w:p>
    <w:p w:rsidR="0045503B" w:rsidRPr="0045503B" w:rsidRDefault="0045503B" w:rsidP="0045503B">
      <w:pPr>
        <w:tabs>
          <w:tab w:val="left" w:pos="709"/>
          <w:tab w:val="decimal" w:pos="828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1.1.</w:t>
      </w:r>
      <w:r w:rsidRPr="0045503B">
        <w:rPr>
          <w:rFonts w:ascii="Arial" w:hAnsi="Arial"/>
          <w:b/>
          <w:szCs w:val="20"/>
        </w:rPr>
        <w:tab/>
        <w:t xml:space="preserve">Poistné štátu </w:t>
      </w:r>
      <w:r w:rsidRPr="0045503B">
        <w:rPr>
          <w:rFonts w:ascii="Arial" w:hAnsi="Arial"/>
          <w:szCs w:val="20"/>
        </w:rPr>
        <w:t>(vrátane príjmov správneho fondu vo výške 0,5 % z príspevkov na SDS za sporiteľov štátu)</w:t>
      </w:r>
      <w:r w:rsidRPr="0045503B">
        <w:rPr>
          <w:rFonts w:ascii="Arial" w:hAnsi="Arial"/>
          <w:b/>
          <w:szCs w:val="20"/>
        </w:rPr>
        <w:t xml:space="preserve"> </w:t>
      </w:r>
      <w:r w:rsidRPr="0045503B">
        <w:rPr>
          <w:rFonts w:ascii="Arial" w:hAnsi="Arial"/>
          <w:szCs w:val="20"/>
        </w:rPr>
        <w:t xml:space="preserve">bolo vo výške </w:t>
      </w:r>
      <w:r w:rsidRPr="0045503B">
        <w:rPr>
          <w:rFonts w:ascii="Arial" w:hAnsi="Arial"/>
          <w:szCs w:val="20"/>
        </w:rPr>
        <w:tab/>
      </w:r>
      <w:r w:rsidRPr="0045503B">
        <w:rPr>
          <w:rFonts w:ascii="Arial" w:hAnsi="Arial"/>
          <w:b/>
          <w:szCs w:val="20"/>
        </w:rPr>
        <w:t xml:space="preserve">96 891 tis. Eur, </w:t>
      </w:r>
      <w:r w:rsidRPr="0045503B">
        <w:rPr>
          <w:rFonts w:ascii="Arial" w:hAnsi="Arial"/>
          <w:b/>
          <w:szCs w:val="20"/>
        </w:rPr>
        <w:br/>
      </w:r>
      <w:r w:rsidRPr="0045503B">
        <w:rPr>
          <w:rFonts w:ascii="Arial" w:hAnsi="Arial"/>
          <w:szCs w:val="20"/>
        </w:rPr>
        <w:t>čo je 55,60 % - né plnenie upraveného rozpočtu vo výške</w:t>
      </w:r>
      <w:r w:rsidRPr="0045503B">
        <w:rPr>
          <w:rFonts w:ascii="Arial" w:hAnsi="Arial"/>
          <w:szCs w:val="20"/>
        </w:rPr>
        <w:tab/>
        <w:t>174 251 tis. Eur</w:t>
      </w:r>
      <w:r w:rsidRPr="0045503B">
        <w:rPr>
          <w:rFonts w:ascii="Arial" w:hAnsi="Arial"/>
          <w:szCs w:val="20"/>
        </w:rPr>
        <w:br/>
      </w:r>
      <w:r w:rsidRPr="0045503B">
        <w:rPr>
          <w:rFonts w:ascii="Arial" w:hAnsi="Arial" w:cs="Arial"/>
        </w:rPr>
        <w:t>a 117,71 %- né plnenie časového rozpisu vo výške</w:t>
      </w:r>
      <w:r w:rsidRPr="0045503B">
        <w:rPr>
          <w:rFonts w:ascii="Arial" w:hAnsi="Arial" w:cs="Arial"/>
        </w:rPr>
        <w:tab/>
        <w:t>82 316 tis. Eur</w:t>
      </w:r>
      <w:r w:rsidRPr="0045503B">
        <w:rPr>
          <w:rFonts w:ascii="Arial" w:hAnsi="Arial"/>
          <w:szCs w:val="20"/>
        </w:rPr>
        <w:t>.</w:t>
      </w:r>
    </w:p>
    <w:p w:rsidR="0045503B" w:rsidRPr="0045503B" w:rsidRDefault="0045503B" w:rsidP="0045503B">
      <w:pPr>
        <w:tabs>
          <w:tab w:val="left" w:pos="709"/>
          <w:tab w:val="left" w:pos="5025"/>
        </w:tabs>
        <w:spacing w:before="240" w:after="120"/>
        <w:ind w:firstLine="720"/>
        <w:rPr>
          <w:rFonts w:ascii="Arial" w:hAnsi="Arial"/>
        </w:rPr>
      </w:pPr>
      <w:r w:rsidRPr="0045503B">
        <w:rPr>
          <w:rFonts w:ascii="Arial" w:hAnsi="Arial"/>
        </w:rPr>
        <w:t>Plnenie rozpočtu v tis. Eur:</w:t>
      </w: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440"/>
        <w:gridCol w:w="1080"/>
        <w:gridCol w:w="1260"/>
      </w:tblGrid>
      <w:tr w:rsidR="0045503B" w:rsidRPr="0045503B" w:rsidTr="00610F11">
        <w:trPr>
          <w:trHeight w:val="238"/>
        </w:trPr>
        <w:tc>
          <w:tcPr>
            <w:tcW w:w="5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Príjmy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Časový rozpis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Skutočnosť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Rozdiel (2-1) 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Starobné poistenie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46 576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57 943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11 367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Invalidné poistenie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26 686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29 183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2 497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8 887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9 621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734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Príjmy správneho fondu  z príspevkov na SDS za poistencov štátu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-23</w:t>
            </w:r>
          </w:p>
        </w:tc>
      </w:tr>
      <w:tr w:rsidR="0045503B" w:rsidRPr="0045503B" w:rsidTr="00610F11">
        <w:trPr>
          <w:trHeight w:val="238"/>
        </w:trPr>
        <w:tc>
          <w:tcPr>
            <w:tcW w:w="5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82 316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96 891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14 575</w:t>
            </w:r>
          </w:p>
        </w:tc>
      </w:tr>
    </w:tbl>
    <w:p w:rsidR="0045503B" w:rsidRPr="0045503B" w:rsidRDefault="0045503B" w:rsidP="0045503B">
      <w:pPr>
        <w:tabs>
          <w:tab w:val="left" w:pos="684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lastRenderedPageBreak/>
        <w:t>Príjmy z poistného plateného štátom predstavujú finančné prostriedky, ktoré v hodnotenom období poukázalo Ministerstvo práce, sociálnych vecí a rodiny SR (MPSVR SR), znížené o  príspevky na SDS, ktoré Sociálna poisťovňa poukázala na príslušné účty DSS.</w:t>
      </w:r>
    </w:p>
    <w:p w:rsidR="0045503B" w:rsidRPr="0045503B" w:rsidRDefault="0045503B" w:rsidP="0045503B">
      <w:pPr>
        <w:tabs>
          <w:tab w:val="left" w:pos="720"/>
          <w:tab w:val="decimal" w:pos="8280"/>
        </w:tabs>
        <w:spacing w:before="240" w:after="120"/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1.2.</w:t>
      </w:r>
      <w:r w:rsidRPr="0045503B">
        <w:rPr>
          <w:rFonts w:ascii="Arial" w:hAnsi="Arial"/>
          <w:b/>
          <w:szCs w:val="20"/>
        </w:rPr>
        <w:tab/>
        <w:t xml:space="preserve">Sociálna poisťovňa </w:t>
      </w:r>
      <w:r w:rsidRPr="0045503B">
        <w:rPr>
          <w:rFonts w:ascii="Arial" w:hAnsi="Arial"/>
          <w:szCs w:val="20"/>
        </w:rPr>
        <w:t xml:space="preserve">zaplatila poistné v sume </w:t>
      </w:r>
      <w:r w:rsidRPr="0045503B">
        <w:rPr>
          <w:rFonts w:ascii="Arial" w:hAnsi="Arial"/>
          <w:szCs w:val="20"/>
        </w:rPr>
        <w:tab/>
      </w:r>
      <w:r w:rsidRPr="0045503B">
        <w:rPr>
          <w:rFonts w:ascii="Arial" w:hAnsi="Arial"/>
          <w:b/>
          <w:szCs w:val="20"/>
        </w:rPr>
        <w:t>959 tis. Eur,</w:t>
      </w:r>
      <w:r w:rsidRPr="0045503B">
        <w:rPr>
          <w:rFonts w:ascii="Arial" w:hAnsi="Arial"/>
          <w:szCs w:val="20"/>
        </w:rPr>
        <w:br/>
        <w:t>čo je 45,89 % - né plnenie upraveného rozpočtu v sume</w:t>
      </w:r>
      <w:r w:rsidRPr="0045503B">
        <w:rPr>
          <w:rFonts w:ascii="Arial" w:hAnsi="Arial"/>
          <w:szCs w:val="20"/>
        </w:rPr>
        <w:tab/>
        <w:t>2 090 tis. Eur</w:t>
      </w:r>
      <w:r w:rsidRPr="0045503B">
        <w:rPr>
          <w:rFonts w:ascii="Arial" w:hAnsi="Arial"/>
          <w:szCs w:val="20"/>
        </w:rPr>
        <w:br/>
      </w:r>
      <w:r w:rsidRPr="0045503B">
        <w:rPr>
          <w:rFonts w:ascii="Arial" w:hAnsi="Arial" w:cs="Arial"/>
        </w:rPr>
        <w:t>a 91,77 % - né plnenie časového rozpisu v sume</w:t>
      </w:r>
      <w:r w:rsidRPr="0045503B">
        <w:rPr>
          <w:rFonts w:ascii="Arial" w:hAnsi="Arial" w:cs="Arial"/>
        </w:rPr>
        <w:tab/>
        <w:t>1 045 tis. Eur</w:t>
      </w:r>
      <w:r w:rsidRPr="0045503B">
        <w:rPr>
          <w:rFonts w:ascii="Arial" w:hAnsi="Arial"/>
          <w:szCs w:val="20"/>
        </w:rPr>
        <w:t>.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Uvedená suma predstavuje poistné uhradené zo základného fondu úrazového poistenia do základného fondu starobného poistenia.</w:t>
      </w:r>
    </w:p>
    <w:p w:rsidR="0045503B" w:rsidRPr="0045503B" w:rsidRDefault="0045503B" w:rsidP="0045503B">
      <w:pPr>
        <w:tabs>
          <w:tab w:val="left" w:pos="720"/>
          <w:tab w:val="decimal" w:pos="8280"/>
        </w:tabs>
        <w:spacing w:before="240" w:after="120"/>
        <w:rPr>
          <w:rFonts w:ascii="Arial" w:hAnsi="Arial" w:cs="Arial"/>
        </w:rPr>
      </w:pPr>
      <w:r w:rsidRPr="0045503B">
        <w:rPr>
          <w:rFonts w:ascii="Arial" w:hAnsi="Arial" w:cs="Arial"/>
          <w:b/>
        </w:rPr>
        <w:t xml:space="preserve">1.3. </w:t>
      </w:r>
      <w:r w:rsidRPr="0045503B">
        <w:rPr>
          <w:rFonts w:ascii="Arial" w:hAnsi="Arial" w:cs="Arial"/>
          <w:b/>
        </w:rPr>
        <w:tab/>
        <w:t xml:space="preserve">Ostatné príjmy </w:t>
      </w:r>
      <w:r w:rsidRPr="0045503B">
        <w:rPr>
          <w:rFonts w:ascii="Arial" w:hAnsi="Arial" w:cs="Arial"/>
        </w:rPr>
        <w:t xml:space="preserve">(vrátane prostriedkov zo ŠR SR) dosiahli </w:t>
      </w:r>
      <w:r w:rsidRPr="0045503B">
        <w:rPr>
          <w:rFonts w:ascii="Arial" w:hAnsi="Arial" w:cs="Arial"/>
        </w:rPr>
        <w:tab/>
      </w:r>
      <w:r w:rsidRPr="0045503B">
        <w:rPr>
          <w:rFonts w:ascii="Arial" w:hAnsi="Arial" w:cs="Arial"/>
        </w:rPr>
        <w:br/>
        <w:t xml:space="preserve">výšku </w:t>
      </w:r>
      <w:r w:rsidRPr="0045503B">
        <w:rPr>
          <w:rFonts w:ascii="Arial" w:hAnsi="Arial" w:cs="Arial"/>
        </w:rPr>
        <w:tab/>
      </w:r>
      <w:r w:rsidRPr="0045503B">
        <w:rPr>
          <w:rFonts w:ascii="Arial" w:hAnsi="Arial" w:cs="Arial"/>
        </w:rPr>
        <w:tab/>
      </w:r>
      <w:r w:rsidRPr="0045503B">
        <w:rPr>
          <w:rFonts w:ascii="Arial" w:hAnsi="Arial" w:cs="Arial"/>
          <w:b/>
        </w:rPr>
        <w:t>896 573 tis. Eur</w:t>
      </w:r>
      <w:r w:rsidRPr="0045503B">
        <w:rPr>
          <w:rFonts w:ascii="Arial" w:hAnsi="Arial" w:cs="Arial"/>
          <w:b/>
        </w:rPr>
        <w:br/>
      </w:r>
      <w:r w:rsidRPr="0045503B">
        <w:rPr>
          <w:rFonts w:ascii="Arial" w:hAnsi="Arial" w:cs="Arial"/>
        </w:rPr>
        <w:t>čo je 50,07 %- né plnenie upraveného rozpočtu vo výške</w:t>
      </w:r>
      <w:r w:rsidRPr="0045503B">
        <w:rPr>
          <w:rFonts w:ascii="Arial" w:hAnsi="Arial" w:cs="Arial"/>
        </w:rPr>
        <w:tab/>
        <w:t>1 790 783 tis. Eur</w:t>
      </w:r>
      <w:r w:rsidRPr="0045503B">
        <w:rPr>
          <w:rFonts w:ascii="Arial" w:hAnsi="Arial" w:cs="Arial"/>
        </w:rPr>
        <w:br/>
        <w:t>a 100,16 %- né plnenie časového rozpisu vo výške</w:t>
      </w:r>
      <w:r w:rsidRPr="0045503B">
        <w:rPr>
          <w:rFonts w:ascii="Arial" w:hAnsi="Arial" w:cs="Arial"/>
        </w:rPr>
        <w:tab/>
        <w:t>895 168 tis. Eur.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Na celkovej výške ostatných príjmov sa, okrem príjmov zo ŠR SR vo výške 890 000 tis. Eur, podieľajú: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úrokov na bežných účtoch a termínovaných vkladoch</w:t>
      </w:r>
      <w:r w:rsidRPr="0045503B">
        <w:rPr>
          <w:rFonts w:ascii="Arial" w:hAnsi="Arial" w:cs="Arial"/>
        </w:rPr>
        <w:tab/>
        <w:t>606 tis. Eur,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majetku Sociálnej poisťovne (najmä z prenájmu)</w:t>
      </w:r>
      <w:r w:rsidRPr="0045503B">
        <w:rPr>
          <w:rFonts w:ascii="Arial" w:hAnsi="Arial" w:cs="Arial"/>
        </w:rPr>
        <w:tab/>
        <w:t>457 tis. Eur,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úhrad preplatkov na dávkach a regresných náhrad</w:t>
      </w:r>
      <w:r w:rsidRPr="0045503B">
        <w:rPr>
          <w:rFonts w:ascii="Arial" w:hAnsi="Arial" w:cs="Arial"/>
        </w:rPr>
        <w:tab/>
        <w:t>3</w:t>
      </w:r>
      <w:r w:rsidRPr="0045503B">
        <w:rPr>
          <w:rFonts w:ascii="Arial" w:hAnsi="Arial"/>
          <w:szCs w:val="20"/>
        </w:rPr>
        <w:t> 362 </w:t>
      </w:r>
      <w:r w:rsidRPr="0045503B">
        <w:rPr>
          <w:rFonts w:ascii="Arial" w:hAnsi="Arial" w:cs="Arial"/>
        </w:rPr>
        <w:t>tis. Eur,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úhrad preplatkov na zaniknutých dôchodkoch</w:t>
      </w:r>
      <w:r w:rsidRPr="0045503B">
        <w:rPr>
          <w:rFonts w:ascii="Arial" w:hAnsi="Arial" w:cs="Arial"/>
        </w:rPr>
        <w:tab/>
        <w:t>82 tis. Eur,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úhrad poistného bez právneho titulu</w:t>
      </w:r>
      <w:r w:rsidRPr="0045503B">
        <w:rPr>
          <w:rFonts w:ascii="Arial" w:hAnsi="Arial" w:cs="Arial"/>
        </w:rPr>
        <w:tab/>
        <w:t>229 tis. Eur,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pokút za porušovanie povinností</w:t>
      </w:r>
      <w:r w:rsidRPr="0045503B">
        <w:rPr>
          <w:rFonts w:ascii="Arial" w:hAnsi="Arial" w:cs="Arial"/>
        </w:rPr>
        <w:tab/>
        <w:t>94 tis. Eur</w:t>
      </w:r>
    </w:p>
    <w:p w:rsidR="0045503B" w:rsidRPr="0045503B" w:rsidRDefault="0045503B" w:rsidP="0045503B">
      <w:pPr>
        <w:numPr>
          <w:ilvl w:val="0"/>
          <w:numId w:val="10"/>
        </w:numPr>
        <w:tabs>
          <w:tab w:val="decimal" w:pos="8280"/>
        </w:tabs>
        <w:spacing w:after="120"/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príjmy z úhrad administratívnych preplatkov a iné</w:t>
      </w:r>
      <w:r w:rsidRPr="0045503B">
        <w:rPr>
          <w:rFonts w:ascii="Arial" w:hAnsi="Arial" w:cs="Arial"/>
        </w:rPr>
        <w:tab/>
        <w:t>1 743 tis. Eur.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 w:cs="Arial"/>
        </w:rPr>
        <w:t>Okrem príjmov zo ŠR SR boli ostatné príjmy pripisované do jednotlivých fondov podľa vecnej príslušnosti. Úroky z bežných účtov pobočiek sa rozdelili do fondov percentuálne, zodpovedajúc podielu príjmov konkrétneho základného fondu a rezervného fondu solidarity na celkových príjmoch z poistného.</w:t>
      </w:r>
      <w:r w:rsidRPr="0045503B">
        <w:rPr>
          <w:rFonts w:ascii="Arial" w:hAnsi="Arial"/>
          <w:szCs w:val="20"/>
        </w:rPr>
        <w:t xml:space="preserve"> </w:t>
      </w:r>
    </w:p>
    <w:p w:rsidR="0045503B" w:rsidRPr="0045503B" w:rsidRDefault="0045503B" w:rsidP="0045503B">
      <w:pPr>
        <w:spacing w:before="240" w:after="120"/>
        <w:jc w:val="both"/>
        <w:rPr>
          <w:rFonts w:ascii="Arial" w:hAnsi="Arial" w:cs="Arial"/>
          <w:b/>
          <w:szCs w:val="20"/>
        </w:rPr>
      </w:pPr>
      <w:r w:rsidRPr="0045503B">
        <w:rPr>
          <w:rFonts w:ascii="Arial" w:hAnsi="Arial" w:cs="Arial"/>
          <w:b/>
          <w:szCs w:val="20"/>
        </w:rPr>
        <w:t>1.4.</w:t>
      </w:r>
      <w:r w:rsidRPr="0045503B">
        <w:rPr>
          <w:rFonts w:ascii="Arial" w:hAnsi="Arial" w:cs="Arial"/>
          <w:b/>
          <w:szCs w:val="20"/>
        </w:rPr>
        <w:tab/>
        <w:t>Tvorba fondov</w:t>
      </w:r>
    </w:p>
    <w:p w:rsidR="0045503B" w:rsidRPr="0045503B" w:rsidRDefault="0045503B" w:rsidP="0045503B">
      <w:pPr>
        <w:spacing w:before="24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Z príjmov poistného, pokút, penále a ostatných príjmov v mesiacoch január až jún 2012 boli vytvorené jednotlivé fondy takto:</w:t>
      </w:r>
    </w:p>
    <w:tbl>
      <w:tblPr>
        <w:tblW w:w="8553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1340"/>
        <w:gridCol w:w="1560"/>
        <w:gridCol w:w="1400"/>
      </w:tblGrid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45503B" w:rsidRPr="0045503B" w:rsidTr="00610F11">
        <w:trPr>
          <w:trHeight w:val="55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Fond  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Tvorba fondu v bežnom roku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Prevod zostatku z roku 2011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Tvorba fondu celkom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197 533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46 289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243 822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1 919 685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267 428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2 187 113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472 627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68 819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541 446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64 568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26 287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90 855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23 546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49 398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72 944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140 013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38 735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178 748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Rezervný fond solidarity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370 671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16 399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387 070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57 335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43 526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100 861</w:t>
            </w:r>
          </w:p>
        </w:tc>
      </w:tr>
      <w:tr w:rsidR="0045503B" w:rsidRPr="0045503B" w:rsidTr="00610F11">
        <w:trPr>
          <w:trHeight w:val="25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Spolu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3 245 978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556 881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3 802 859</w:t>
            </w:r>
          </w:p>
        </w:tc>
      </w:tr>
    </w:tbl>
    <w:p w:rsidR="0045503B" w:rsidRPr="0045503B" w:rsidRDefault="0045503B" w:rsidP="0045503B">
      <w:pPr>
        <w:ind w:firstLine="709"/>
        <w:jc w:val="both"/>
        <w:rPr>
          <w:rFonts w:ascii="Arial" w:hAnsi="Arial" w:cs="Arial"/>
        </w:rPr>
      </w:pPr>
    </w:p>
    <w:p w:rsidR="0045503B" w:rsidRPr="0045503B" w:rsidRDefault="0045503B" w:rsidP="0045503B">
      <w:pPr>
        <w:numPr>
          <w:ilvl w:val="0"/>
          <w:numId w:val="7"/>
        </w:numPr>
        <w:spacing w:before="240" w:after="120"/>
        <w:ind w:left="0" w:firstLine="0"/>
        <w:jc w:val="both"/>
        <w:rPr>
          <w:rFonts w:ascii="Arial" w:hAnsi="Arial"/>
          <w:b/>
          <w:sz w:val="28"/>
          <w:szCs w:val="28"/>
        </w:rPr>
      </w:pPr>
      <w:r w:rsidRPr="0045503B">
        <w:rPr>
          <w:rFonts w:ascii="Arial" w:hAnsi="Arial"/>
          <w:b/>
          <w:sz w:val="28"/>
          <w:szCs w:val="28"/>
        </w:rPr>
        <w:lastRenderedPageBreak/>
        <w:t>Pohľadávky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Pohľadávky podľa § 148 zákona č. 461/2003 Z. z. o sociálnom poistení v znení neskorších predpisov (ďalej len „pohľadávky“) evidované Sociálnou poisťovňou k 30. júnu 2012 dosiahli výšku 661 576 tis. Eur a oproti stavu k 31. decembru 2011 vzrástli o 97 815 tis. Eur (nárast o 17,4 %). Podiel pohľadávok predpísaných na základe právoplatného rozhodnutia k 30. júnu 2012 predstavoval 92,8 % z celkových pohľadávok. Z celkového stavu pohľadávok predstavujú pohľadávky na poistnom predpísaným právoplatným rozhodnutím 432 146 tis. Eur (65,3 %), pohľadávky na penále 160 423 tis. Eur (24,2%), nepredpísané pohľadávky 47 279 tis. Eur (7,2 %) a ostatné pohľadávky 21 728 tis. Eur (3,3 %). V rámci uvedených pohľadávok Sociálna poisťovňa eviduje k 30. júnu 2012 pohľadávky z roku 1993 (pohľadávky štátu) v celkovom objeme 27 764 tis. Eur (4,2 % z celkového objemu pohľadávok) a pohľadávky zo zúčtovania poistného z roku 1994 na zdravotnom fonde v celkovom objeme 6 751 tis. Eur (1,0 %). Vývoj pohľadávok Sociálnej poisťovne podľa druhov a podľa fondov mesačne v roku 2012 je uvedený v prílohe.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Podľa stavu vymáhaných pohľadávok Sociálnej poisťovne bolo k 30. júnu 2012 z predpísaných pohľadávok uplatnených niektorým zo spôsobov vymáhania 70,6%. To predstavuje celkovú uplatnenú sumu 466 881 tis. Eur. Najväčší objem pohľadávok je uplatnený v exekučnom konaní (387 567 tis. Eur, čo predstavuje 58,6 % z celkových pohľadávok). Neuplatnené predpísané pohľadávky predstavujú 22,3 % (147 415 tis. Eur) z celkových pohľadávok. Sú to pohľadávky, kde bola ukončená mandátna správa, boli ukončené exekučné konania, ukončené súdne výkony rozhodnutia, ukončené alebo zastavené konkurzné konania a právoplatné rozhodnutia zatiaľ neuplatnené. Štruktúra pohľadávok Sociálnej poisťovne podľa najvýznamnejších spôsobov vymáhania je uvedená v prílohe.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Sociálna poisťovňa od začiatku roka 2012 podala návrhy na vykonanie exekúcie v celkovom objeme 87 597 tis. Eur. Z toho v mesiaci jún 2012 12 044 tis. Eur. Týmto spôsobom bolo od začiatku roka 2012 vymáhaných spolu 137 684 rozhodnutí. </w:t>
      </w:r>
      <w:r w:rsidRPr="0045503B">
        <w:rPr>
          <w:rFonts w:ascii="Arial" w:hAnsi="Arial" w:cs="Arial"/>
          <w:color w:val="000000"/>
          <w:szCs w:val="20"/>
        </w:rPr>
        <w:t>Podrobnejší prehľad je uvedený v prílohe</w:t>
      </w:r>
      <w:r w:rsidRPr="0045503B">
        <w:rPr>
          <w:rFonts w:ascii="Arial" w:hAnsi="Arial" w:cs="Arial"/>
          <w:szCs w:val="20"/>
        </w:rPr>
        <w:t>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Prehľad pohľadávok vymáhaných prostredníctvom </w:t>
      </w:r>
      <w:r w:rsidRPr="0045503B">
        <w:rPr>
          <w:rFonts w:ascii="Arial" w:hAnsi="Arial" w:cs="Arial"/>
          <w:i/>
          <w:szCs w:val="20"/>
        </w:rPr>
        <w:t>mandátnej správy</w:t>
      </w:r>
      <w:r w:rsidRPr="0045503B">
        <w:rPr>
          <w:rFonts w:ascii="Arial" w:hAnsi="Arial" w:cs="Arial"/>
          <w:szCs w:val="20"/>
        </w:rPr>
        <w:t xml:space="preserve"> spoločnosťou </w:t>
      </w:r>
      <w:proofErr w:type="spellStart"/>
      <w:r w:rsidRPr="0045503B">
        <w:rPr>
          <w:rFonts w:ascii="Arial" w:hAnsi="Arial" w:cs="Arial"/>
          <w:szCs w:val="20"/>
        </w:rPr>
        <w:t>General</w:t>
      </w:r>
      <w:proofErr w:type="spellEnd"/>
      <w:r w:rsidRPr="0045503B">
        <w:rPr>
          <w:rFonts w:ascii="Arial" w:hAnsi="Arial" w:cs="Arial"/>
          <w:szCs w:val="20"/>
        </w:rPr>
        <w:t xml:space="preserve"> </w:t>
      </w:r>
      <w:proofErr w:type="spellStart"/>
      <w:r w:rsidRPr="0045503B">
        <w:rPr>
          <w:rFonts w:ascii="Arial" w:hAnsi="Arial" w:cs="Arial"/>
          <w:szCs w:val="20"/>
        </w:rPr>
        <w:t>Factoring</w:t>
      </w:r>
      <w:proofErr w:type="spellEnd"/>
      <w:r w:rsidRPr="0045503B">
        <w:rPr>
          <w:rFonts w:ascii="Arial" w:hAnsi="Arial" w:cs="Arial"/>
          <w:szCs w:val="20"/>
        </w:rPr>
        <w:t xml:space="preserve"> a. s. je uvedený v prílohách. V roku 2012 Sociálna poisťovňa previedla do mandátnej správy spolu 823 pohľadávok v sume 676 tis. Eur. K 30. júnu 2012 bolo spolu akceptovaných úhrad v objeme 549 tis. Eur. 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Od 1. januára 2012 do 30. júna 2012 vydala Sociálna poisťovňa spolu 1 091 rozhodnutí o </w:t>
      </w:r>
      <w:r w:rsidRPr="0045503B">
        <w:rPr>
          <w:rFonts w:ascii="Arial" w:hAnsi="Arial" w:cs="Arial"/>
          <w:i/>
          <w:szCs w:val="20"/>
        </w:rPr>
        <w:t>povolení splátok dlžných súm</w:t>
      </w:r>
      <w:r w:rsidRPr="0045503B">
        <w:rPr>
          <w:rFonts w:ascii="Arial" w:hAnsi="Arial" w:cs="Arial"/>
          <w:szCs w:val="20"/>
        </w:rPr>
        <w:t xml:space="preserve"> v celkovom objeme 3 313 tis. Eur. Z toho úspešne ukončených splátkových kalendárov (100 % úhrada) bolo 102 s uhradenou sumou 168 tis. Eur. K zrušeniu splátkových kalendárov z dôvodov ich nedodržania došlo v 343 prípadoch na celkovú sumu 561 tis. Eur. Ku dňu zrušenia rozhodnutia bolo uhradené zo sumy povolenej na splácanie v zmysle schváleného splátkového kalendára 123 tis. Eur. Naďalej aktívnych splátkových kalendárov je 646 na celkový objem pohľadávok 2 584 tis. Eur. Z nich bolo od 1. januára 2011 do 30. júna 2012 uhradených 859 tis.  Prehľad vývoja splátok dlžných súm v roku 2012 je uvedený v prílohe.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color w:val="000000"/>
          <w:szCs w:val="20"/>
        </w:rPr>
      </w:pPr>
      <w:r w:rsidRPr="0045503B">
        <w:rPr>
          <w:rFonts w:ascii="Arial" w:hAnsi="Arial" w:cs="Arial"/>
          <w:color w:val="000000"/>
          <w:szCs w:val="20"/>
        </w:rPr>
        <w:lastRenderedPageBreak/>
        <w:t xml:space="preserve">Celkový objem pohľadávok na neuhradenom poistnom (ďalej len "pohľadávka") Sociálnej poisťovne evidovaných </w:t>
      </w:r>
      <w:r w:rsidRPr="0045503B">
        <w:rPr>
          <w:rFonts w:ascii="Arial" w:hAnsi="Arial" w:cs="Arial"/>
          <w:i/>
          <w:color w:val="000000"/>
          <w:szCs w:val="20"/>
        </w:rPr>
        <w:t>voči sledovaným zdravotníckym zariadeniam v pôsobnosti MZ SR a transformovaným zdravotníckym zariadeniam</w:t>
      </w:r>
      <w:r w:rsidRPr="0045503B">
        <w:rPr>
          <w:rFonts w:ascii="Arial" w:hAnsi="Arial" w:cs="Arial"/>
          <w:color w:val="000000"/>
          <w:szCs w:val="20"/>
        </w:rPr>
        <w:t xml:space="preserve"> dosiahol k 30. júnu 2012 sumu 38 504 tis. Eur. Objem pohľadávok evidovaný k 30. júnu 2012 v porovnaní s objemom pohľadávok k 31. decembru 2011 zaznamenal nárast o 19 693 tis. Eur, z toho za mesiac jún o 2 201 tis. Eur. </w:t>
      </w:r>
      <w:r w:rsidRPr="0045503B">
        <w:rPr>
          <w:rFonts w:ascii="Arial" w:hAnsi="Arial" w:cs="Arial"/>
          <w:szCs w:val="20"/>
        </w:rPr>
        <w:t>Vývoj pohľadávok voči zdravotníckym zariadeniam je uvedený v prílohe</w:t>
      </w:r>
      <w:r w:rsidRPr="0045503B">
        <w:rPr>
          <w:rFonts w:ascii="Arial" w:hAnsi="Arial" w:cs="Arial"/>
          <w:color w:val="000000"/>
          <w:szCs w:val="20"/>
        </w:rPr>
        <w:t xml:space="preserve">. 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color w:val="000000"/>
          <w:szCs w:val="20"/>
        </w:rPr>
      </w:pPr>
      <w:r w:rsidRPr="0045503B">
        <w:rPr>
          <w:rFonts w:ascii="Arial" w:hAnsi="Arial" w:cs="Arial"/>
          <w:color w:val="000000"/>
          <w:szCs w:val="20"/>
        </w:rPr>
        <w:t xml:space="preserve">Pohľadávky voči </w:t>
      </w:r>
      <w:r w:rsidRPr="0045503B">
        <w:rPr>
          <w:rFonts w:ascii="Arial" w:hAnsi="Arial" w:cs="Arial"/>
          <w:i/>
          <w:color w:val="000000"/>
          <w:szCs w:val="20"/>
        </w:rPr>
        <w:t>zdravotníckym zariadeniam v pôsobnosti MZ SR</w:t>
      </w:r>
      <w:r w:rsidRPr="0045503B">
        <w:rPr>
          <w:rFonts w:ascii="Arial" w:hAnsi="Arial" w:cs="Arial"/>
          <w:color w:val="000000"/>
          <w:szCs w:val="20"/>
        </w:rPr>
        <w:t xml:space="preserve"> dosiahli k 30. júnu 2012 výšku 19 614 tis. Eur, čo predstavuje 50,9 % z celkového objemu pohľadávok voči všetkým sledovaným zdravotníckym zariadeniam. V porovnaní so stavom k 31. decembru 2011 sa pohľadávky voči týmto zdravotníckym zariadeniam zvýšili o 17 092 tis. Eur, z toho za mesiac jún o 2 259 tis. Eur. Nárast pohľadávok z titulu neplatenia mesačných odvodov v súčasnosti evidujeme pri 4 zdravotníckych zariadeniach v pôsobnosti MZ SR a to Univerzitnej nemocnici Bratislava, Detskej fakultnej nemocnici s poliklinikou Bratislava, Fakultnej nemocnici Trnava a Národnej transfúznej službe SR, Bratislava. 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  <w:color w:val="000000"/>
          <w:szCs w:val="20"/>
        </w:rPr>
      </w:pPr>
      <w:r w:rsidRPr="0045503B">
        <w:rPr>
          <w:rFonts w:ascii="Arial" w:hAnsi="Arial" w:cs="Arial"/>
          <w:color w:val="000000"/>
          <w:szCs w:val="20"/>
        </w:rPr>
        <w:t xml:space="preserve">Voči </w:t>
      </w:r>
      <w:r w:rsidRPr="0045503B">
        <w:rPr>
          <w:rFonts w:ascii="Arial" w:hAnsi="Arial" w:cs="Arial"/>
          <w:i/>
          <w:color w:val="000000"/>
          <w:szCs w:val="20"/>
        </w:rPr>
        <w:t>transformovaným zdravotníckym zariadeniam</w:t>
      </w:r>
      <w:r w:rsidRPr="0045503B">
        <w:rPr>
          <w:rFonts w:ascii="Arial" w:hAnsi="Arial" w:cs="Arial"/>
          <w:color w:val="000000"/>
          <w:szCs w:val="20"/>
        </w:rPr>
        <w:t xml:space="preserve"> eviduje Sociálna poisťovňa k 30. júnu 2012 pohľadávky vo výške 18 889 tis. Eur, čo predstavuje 49,1 % z celkového objemu pohľadávok voči všetkým sledovaným zdravotníckym zariadeniam. V porovnaní so stavom pohľadávok k 31. decembru 2011 sa pohľadávky voči týmto zdravotníckym zariadeniam zvýšili o 2 601 tis. Eur, z toho za mesiac jún sa znížili o 58 tis. Eur. Nárast pohľadávok z titulu neplatenia mesačných odvodov v súčasnosti evidujeme pri 3 transformovaných zdravotníckych zariadeniach a to Dolnooravskej nemocnici s poliklinikou MUDr. L. N. </w:t>
      </w:r>
      <w:proofErr w:type="spellStart"/>
      <w:r w:rsidRPr="0045503B">
        <w:rPr>
          <w:rFonts w:ascii="Arial" w:hAnsi="Arial" w:cs="Arial"/>
          <w:color w:val="000000"/>
          <w:szCs w:val="20"/>
        </w:rPr>
        <w:t>Jégého</w:t>
      </w:r>
      <w:proofErr w:type="spellEnd"/>
      <w:r w:rsidRPr="0045503B">
        <w:rPr>
          <w:rFonts w:ascii="Arial" w:hAnsi="Arial" w:cs="Arial"/>
          <w:color w:val="000000"/>
          <w:szCs w:val="20"/>
        </w:rPr>
        <w:t xml:space="preserve"> Dolný Kubín, Kysuckej nemocnici s poliklinikou Čadca a Sanatóriu Tatranská Kotlina </w:t>
      </w:r>
      <w:proofErr w:type="spellStart"/>
      <w:r w:rsidRPr="0045503B">
        <w:rPr>
          <w:rFonts w:ascii="Arial" w:hAnsi="Arial" w:cs="Arial"/>
          <w:color w:val="000000"/>
          <w:szCs w:val="20"/>
        </w:rPr>
        <w:t>n.o</w:t>
      </w:r>
      <w:proofErr w:type="spellEnd"/>
      <w:r w:rsidRPr="0045503B">
        <w:rPr>
          <w:rFonts w:ascii="Arial" w:hAnsi="Arial" w:cs="Arial"/>
          <w:color w:val="000000"/>
          <w:szCs w:val="20"/>
        </w:rPr>
        <w:t>.</w:t>
      </w:r>
    </w:p>
    <w:p w:rsidR="0045503B" w:rsidRPr="0045503B" w:rsidRDefault="0045503B" w:rsidP="0045503B">
      <w:pPr>
        <w:tabs>
          <w:tab w:val="left" w:pos="5760"/>
        </w:tabs>
        <w:spacing w:before="240" w:after="120"/>
        <w:ind w:firstLine="709"/>
        <w:jc w:val="both"/>
        <w:rPr>
          <w:rFonts w:ascii="Arial" w:hAnsi="Arial" w:cs="Arial"/>
          <w:color w:val="000000"/>
          <w:szCs w:val="20"/>
        </w:rPr>
      </w:pPr>
      <w:r w:rsidRPr="0045503B">
        <w:rPr>
          <w:rFonts w:ascii="Arial" w:hAnsi="Arial" w:cs="Arial"/>
          <w:color w:val="000000"/>
          <w:szCs w:val="20"/>
        </w:rPr>
        <w:t xml:space="preserve">Sociálna poisťovňa eviduje k 30. júnu 2012 celkovo 22 sledovaných zdravotníckych zariadení s pohľadávkou, z toho je 6 zdravotníckych zariadení v pôsobnosti MZ SR a 16 je transformovaných zdravotníckych zariadení. </w:t>
      </w:r>
    </w:p>
    <w:p w:rsidR="0045503B" w:rsidRPr="0045503B" w:rsidRDefault="0045503B" w:rsidP="0045503B">
      <w:pPr>
        <w:tabs>
          <w:tab w:val="left" w:pos="709"/>
        </w:tabs>
        <w:spacing w:before="240" w:after="120"/>
        <w:jc w:val="both"/>
        <w:rPr>
          <w:rFonts w:ascii="Arial" w:hAnsi="Arial"/>
          <w:b/>
          <w:sz w:val="28"/>
          <w:szCs w:val="20"/>
        </w:rPr>
      </w:pPr>
      <w:r w:rsidRPr="0045503B">
        <w:rPr>
          <w:rFonts w:ascii="Arial" w:hAnsi="Arial"/>
          <w:b/>
          <w:sz w:val="28"/>
          <w:szCs w:val="20"/>
        </w:rPr>
        <w:t>3.</w:t>
      </w:r>
      <w:r w:rsidRPr="0045503B">
        <w:rPr>
          <w:rFonts w:ascii="Arial" w:hAnsi="Arial"/>
          <w:b/>
          <w:sz w:val="28"/>
          <w:szCs w:val="20"/>
        </w:rPr>
        <w:tab/>
        <w:t>Výdavky (náklady) Sociálnej poisťovne</w:t>
      </w:r>
    </w:p>
    <w:p w:rsidR="0045503B" w:rsidRPr="0045503B" w:rsidRDefault="0045503B" w:rsidP="0045503B">
      <w:pPr>
        <w:tabs>
          <w:tab w:val="decimal" w:pos="8222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Výdavky (náklady) Sociálnej poisťovne v mesiacoch január až jún 2012 boli takéto:</w:t>
      </w:r>
    </w:p>
    <w:tbl>
      <w:tblPr>
        <w:tblW w:w="9795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5"/>
        <w:gridCol w:w="1276"/>
        <w:gridCol w:w="1276"/>
        <w:gridCol w:w="850"/>
        <w:gridCol w:w="850"/>
        <w:gridCol w:w="851"/>
      </w:tblGrid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ind w:left="-6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45503B" w:rsidRPr="0045503B" w:rsidTr="00610F11">
        <w:trPr>
          <w:trHeight w:val="4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ind w:right="3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Ukazovateľ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Upravený rozpočet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Časový rozpis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k 30.6.2012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% plnenia (3/1)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% plnenia (3/2)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Rozdiel</w:t>
            </w:r>
            <w:r w:rsidRPr="0045503B">
              <w:rPr>
                <w:rFonts w:ascii="Arial" w:hAnsi="Arial" w:cs="Arial"/>
                <w:sz w:val="20"/>
                <w:szCs w:val="20"/>
              </w:rPr>
              <w:br/>
              <w:t xml:space="preserve"> (3-2)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503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Použitie prostriedkov celkom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6 499 601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3 249 595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3 215 155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98,94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-34 440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tom: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422 576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219 986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225 981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53,48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102,73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5 995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2 396 756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2 368 065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98,80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-28 691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444 073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441 087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99,33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-2 986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24 302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22 030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46,21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90,65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-2 272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20 167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17 687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43,06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87,70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-2 480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169 905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86 651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87 910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1 259</w:t>
            </w:r>
          </w:p>
        </w:tc>
      </w:tr>
      <w:tr w:rsidR="0045503B" w:rsidRPr="0045503B" w:rsidTr="00610F11">
        <w:trPr>
          <w:trHeight w:val="255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57 660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52 395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46,08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-5 265</w:t>
            </w:r>
          </w:p>
        </w:tc>
      </w:tr>
    </w:tbl>
    <w:p w:rsidR="0045503B" w:rsidRPr="0045503B" w:rsidRDefault="0045503B" w:rsidP="0045503B">
      <w:pPr>
        <w:tabs>
          <w:tab w:val="decimal" w:pos="8222"/>
        </w:tabs>
        <w:spacing w:after="120"/>
        <w:ind w:firstLine="709"/>
        <w:jc w:val="both"/>
        <w:rPr>
          <w:rFonts w:ascii="Arial" w:hAnsi="Arial"/>
          <w:szCs w:val="20"/>
        </w:rPr>
      </w:pPr>
    </w:p>
    <w:p w:rsidR="0045503B" w:rsidRPr="0045503B" w:rsidRDefault="0045503B" w:rsidP="0045503B">
      <w:pPr>
        <w:tabs>
          <w:tab w:val="left" w:pos="709"/>
          <w:tab w:val="decimal" w:pos="8222"/>
        </w:tabs>
        <w:spacing w:before="120" w:after="1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b/>
          <w:color w:val="000000"/>
          <w:szCs w:val="20"/>
        </w:rPr>
        <w:t>3.1.</w:t>
      </w:r>
      <w:r w:rsidRPr="0045503B">
        <w:rPr>
          <w:rFonts w:ascii="Arial" w:hAnsi="Arial"/>
          <w:b/>
          <w:color w:val="000000"/>
          <w:szCs w:val="20"/>
        </w:rPr>
        <w:tab/>
        <w:t>Výdavky základného fondu nemocenského poistenia</w:t>
      </w:r>
      <w:r w:rsidRPr="0045503B">
        <w:rPr>
          <w:rFonts w:ascii="Arial" w:hAnsi="Arial"/>
          <w:b/>
          <w:color w:val="000000"/>
          <w:szCs w:val="20"/>
        </w:rPr>
        <w:tab/>
        <w:t>225 981</w:t>
      </w:r>
      <w:r w:rsidRPr="0045503B">
        <w:rPr>
          <w:rFonts w:ascii="Arial" w:hAnsi="Arial"/>
          <w:b/>
          <w:szCs w:val="20"/>
        </w:rPr>
        <w:t> tis. Eur</w:t>
      </w:r>
      <w:r w:rsidRPr="0045503B">
        <w:rPr>
          <w:rFonts w:ascii="Arial" w:hAnsi="Arial"/>
          <w:szCs w:val="20"/>
        </w:rPr>
        <w:t>,</w:t>
      </w:r>
      <w:r w:rsidRPr="0045503B">
        <w:rPr>
          <w:rFonts w:ascii="Arial" w:hAnsi="Arial"/>
          <w:b/>
          <w:color w:val="000000"/>
          <w:szCs w:val="20"/>
        </w:rPr>
        <w:br/>
      </w:r>
      <w:r w:rsidRPr="0045503B">
        <w:rPr>
          <w:rFonts w:ascii="Arial" w:hAnsi="Arial"/>
          <w:color w:val="000000"/>
          <w:szCs w:val="20"/>
        </w:rPr>
        <w:t xml:space="preserve">čo je 53,48 % upraveného </w:t>
      </w:r>
      <w:r w:rsidRPr="0045503B">
        <w:rPr>
          <w:rFonts w:ascii="Arial" w:hAnsi="Arial"/>
          <w:szCs w:val="20"/>
        </w:rPr>
        <w:t xml:space="preserve">rozpočtu </w:t>
      </w:r>
      <w:r w:rsidRPr="0045503B">
        <w:rPr>
          <w:rFonts w:ascii="Arial" w:hAnsi="Arial"/>
          <w:color w:val="000000"/>
          <w:szCs w:val="20"/>
        </w:rPr>
        <w:t>vo výške</w:t>
      </w:r>
      <w:r w:rsidRPr="0045503B">
        <w:rPr>
          <w:rFonts w:ascii="Arial" w:hAnsi="Arial"/>
          <w:color w:val="000000"/>
          <w:szCs w:val="20"/>
        </w:rPr>
        <w:tab/>
        <w:t>422 576 tis. Eur</w:t>
      </w:r>
      <w:r w:rsidRPr="0045503B">
        <w:rPr>
          <w:rFonts w:ascii="Arial" w:hAnsi="Arial"/>
          <w:szCs w:val="20"/>
        </w:rPr>
        <w:br/>
        <w:t>a 102,73 % časového rozpisu vo výške</w:t>
      </w:r>
      <w:r w:rsidRPr="0045503B">
        <w:rPr>
          <w:rFonts w:ascii="Arial" w:hAnsi="Arial"/>
          <w:szCs w:val="20"/>
        </w:rPr>
        <w:tab/>
        <w:t>219 986 tis. Eur</w:t>
      </w:r>
      <w:r w:rsidRPr="0045503B">
        <w:rPr>
          <w:rFonts w:ascii="Arial" w:hAnsi="Arial"/>
          <w:color w:val="000000"/>
          <w:szCs w:val="20"/>
        </w:rPr>
        <w:t>.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mesiacoch január až jún 2012 boli výdavky základného fondu nemocenského poistenia v členení na dávky v porovnaní s časovým rozpisom a v porovnaní s rovnakým obdobím roka 2011 takéto: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5"/>
        <w:gridCol w:w="867"/>
        <w:gridCol w:w="267"/>
        <w:gridCol w:w="893"/>
        <w:gridCol w:w="241"/>
        <w:gridCol w:w="1134"/>
        <w:gridCol w:w="765"/>
        <w:gridCol w:w="794"/>
        <w:gridCol w:w="992"/>
        <w:gridCol w:w="993"/>
      </w:tblGrid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Január až jún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%  plnenia  (3/1)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45503B" w:rsidRPr="0045503B" w:rsidTr="00610F11">
        <w:trPr>
          <w:trHeight w:val="51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časový rozpis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158 359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142 866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158 993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634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16 127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100,40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111,29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5 729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5 727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5 479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-250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95,64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95,67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58,33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103,70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55 850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50 012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61 481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5 631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11 469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122,93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zúčtovanie dávok § 112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45503B" w:rsidRPr="0045503B" w:rsidTr="00610F11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Celkom výdavky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219 986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198 630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225 981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5 995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27 351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102,73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113,77</w:t>
            </w:r>
          </w:p>
        </w:tc>
      </w:tr>
    </w:tbl>
    <w:p w:rsidR="0045503B" w:rsidRPr="0045503B" w:rsidRDefault="0045503B" w:rsidP="0045503B">
      <w:pPr>
        <w:spacing w:after="120"/>
        <w:jc w:val="both"/>
        <w:rPr>
          <w:rFonts w:ascii="Arial" w:hAnsi="Arial"/>
          <w:szCs w:val="20"/>
        </w:rPr>
      </w:pPr>
    </w:p>
    <w:p w:rsidR="0045503B" w:rsidRPr="0045503B" w:rsidRDefault="0045503B" w:rsidP="0045503B">
      <w:pPr>
        <w:spacing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/>
          <w:szCs w:val="20"/>
        </w:rPr>
        <w:t xml:space="preserve">Na výšku výdavkov na nemocenské dávky mal vplyv počet prípadov a priemerná mesačná výška dávky. </w:t>
      </w:r>
      <w:r w:rsidRPr="0045503B">
        <w:rPr>
          <w:rFonts w:ascii="Arial" w:hAnsi="Arial" w:cs="Arial"/>
        </w:rPr>
        <w:t>Vývoj ukazovateľov bol takýto:</w:t>
      </w:r>
    </w:p>
    <w:p w:rsidR="0045503B" w:rsidRPr="0045503B" w:rsidRDefault="0045503B" w:rsidP="0045503B">
      <w:pPr>
        <w:numPr>
          <w:ilvl w:val="0"/>
          <w:numId w:val="16"/>
        </w:numPr>
        <w:spacing w:after="120"/>
        <w:ind w:hanging="720"/>
        <w:contextualSpacing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priemerný mesačný počet prípadov dávky:</w:t>
      </w:r>
    </w:p>
    <w:tbl>
      <w:tblPr>
        <w:tblW w:w="8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160"/>
        <w:gridCol w:w="1160"/>
        <w:gridCol w:w="1160"/>
        <w:gridCol w:w="980"/>
        <w:gridCol w:w="1000"/>
        <w:gridCol w:w="1060"/>
      </w:tblGrid>
      <w:tr w:rsidR="0045503B" w:rsidRPr="0045503B" w:rsidTr="00610F11">
        <w:trPr>
          <w:trHeight w:val="255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Rozpočet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Január až jún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45503B" w:rsidRPr="0045503B" w:rsidTr="00610F11">
        <w:trPr>
          <w:trHeight w:val="510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116 492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117 029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119 858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3 366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2 829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102,42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12 376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13 080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12 392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-688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94,74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94,51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23 978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22 279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23 792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-186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1 513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106,79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Celkom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152 952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152 479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156 128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3 176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3 649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102,39</w:t>
            </w:r>
          </w:p>
        </w:tc>
      </w:tr>
    </w:tbl>
    <w:p w:rsidR="0045503B" w:rsidRPr="0045503B" w:rsidRDefault="0045503B" w:rsidP="0045503B">
      <w:pPr>
        <w:spacing w:after="120"/>
        <w:jc w:val="both"/>
        <w:rPr>
          <w:rFonts w:ascii="Arial" w:hAnsi="Arial"/>
          <w:szCs w:val="20"/>
        </w:rPr>
      </w:pPr>
    </w:p>
    <w:p w:rsidR="0045503B" w:rsidRPr="0045503B" w:rsidRDefault="0045503B" w:rsidP="0045503B">
      <w:pPr>
        <w:numPr>
          <w:ilvl w:val="0"/>
          <w:numId w:val="16"/>
        </w:numPr>
        <w:spacing w:before="240" w:after="120"/>
        <w:ind w:hanging="720"/>
        <w:contextualSpacing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priemerná mesačná výška dávky:</w:t>
      </w:r>
    </w:p>
    <w:tbl>
      <w:tblPr>
        <w:tblW w:w="8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160"/>
        <w:gridCol w:w="1160"/>
        <w:gridCol w:w="1160"/>
        <w:gridCol w:w="980"/>
        <w:gridCol w:w="1000"/>
        <w:gridCol w:w="1060"/>
      </w:tblGrid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Eur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Druh dávky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Rozpočet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Január až jún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Rozdiel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Index (3/2) v %</w:t>
            </w:r>
          </w:p>
        </w:tc>
      </w:tr>
      <w:tr w:rsidR="0045503B" w:rsidRPr="0045503B" w:rsidTr="00610F11">
        <w:trPr>
          <w:trHeight w:val="510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2011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skutočnosť 2012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(3-1)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(3-2)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nemocenské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209,17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203,47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221,09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11,92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17,62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108,66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ošetrovné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70,57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72,97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73,69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3,12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100,99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vyrovnávacia dávka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52,00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49,94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55,43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5,49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110,99</w:t>
            </w:r>
          </w:p>
        </w:tc>
      </w:tr>
      <w:tr w:rsidR="0045503B" w:rsidRPr="0045503B" w:rsidTr="00610F11">
        <w:trPr>
          <w:trHeight w:val="255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materské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415,76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374,14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430,69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14,93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56,55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115,11</w:t>
            </w:r>
          </w:p>
        </w:tc>
      </w:tr>
    </w:tbl>
    <w:p w:rsidR="0045503B" w:rsidRPr="0045503B" w:rsidRDefault="0045503B" w:rsidP="0045503B">
      <w:pPr>
        <w:contextualSpacing/>
        <w:rPr>
          <w:rFonts w:ascii="Arial" w:hAnsi="Arial"/>
          <w:szCs w:val="20"/>
        </w:rPr>
      </w:pPr>
    </w:p>
    <w:p w:rsidR="0045503B" w:rsidRPr="0045503B" w:rsidRDefault="0045503B" w:rsidP="0045503B">
      <w:pPr>
        <w:contextualSpacing/>
        <w:rPr>
          <w:rFonts w:ascii="Arial" w:hAnsi="Arial"/>
          <w:szCs w:val="20"/>
        </w:rPr>
      </w:pPr>
    </w:p>
    <w:p w:rsidR="0045503B" w:rsidRPr="0045503B" w:rsidRDefault="0045503B" w:rsidP="0045503B">
      <w:pPr>
        <w:tabs>
          <w:tab w:val="left" w:pos="709"/>
          <w:tab w:val="decimal" w:pos="8222"/>
        </w:tabs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3.2.</w:t>
      </w:r>
      <w:r w:rsidRPr="0045503B">
        <w:rPr>
          <w:rFonts w:ascii="Arial" w:hAnsi="Arial"/>
          <w:b/>
          <w:szCs w:val="20"/>
        </w:rPr>
        <w:tab/>
        <w:t>Výdavky z dôchodkového poistenia</w:t>
      </w:r>
      <w:r w:rsidRPr="0045503B">
        <w:rPr>
          <w:rFonts w:ascii="Arial" w:hAnsi="Arial"/>
          <w:b/>
          <w:szCs w:val="20"/>
        </w:rPr>
        <w:tab/>
        <w:t>2 809 152 tis. Eur</w:t>
      </w:r>
      <w:r w:rsidRPr="0045503B">
        <w:rPr>
          <w:rFonts w:ascii="Arial" w:hAnsi="Arial"/>
          <w:szCs w:val="20"/>
        </w:rPr>
        <w:t>,</w:t>
      </w:r>
    </w:p>
    <w:p w:rsidR="0045503B" w:rsidRPr="0045503B" w:rsidRDefault="0045503B" w:rsidP="0045503B">
      <w:pPr>
        <w:tabs>
          <w:tab w:val="left" w:pos="709"/>
          <w:tab w:val="decimal" w:pos="8222"/>
        </w:tabs>
        <w:spacing w:after="1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čo je 49,24 % upraveného rozpočtu vo výške</w:t>
      </w:r>
      <w:r w:rsidRPr="0045503B">
        <w:rPr>
          <w:rFonts w:ascii="Arial" w:hAnsi="Arial"/>
          <w:szCs w:val="20"/>
        </w:rPr>
        <w:tab/>
        <w:t>5 704 660 tis. Eur,</w:t>
      </w:r>
      <w:r w:rsidRPr="0045503B">
        <w:rPr>
          <w:rFonts w:ascii="Arial" w:hAnsi="Arial"/>
          <w:szCs w:val="20"/>
        </w:rPr>
        <w:br/>
        <w:t>a 98,88 % časového rozpisu vo výške</w:t>
      </w:r>
      <w:r w:rsidRPr="0045503B">
        <w:rPr>
          <w:rFonts w:ascii="Arial" w:hAnsi="Arial"/>
          <w:szCs w:val="20"/>
        </w:rPr>
        <w:tab/>
        <w:t>2 840 829 tis. Eur,</w:t>
      </w:r>
    </w:p>
    <w:p w:rsidR="0045503B" w:rsidRPr="0045503B" w:rsidRDefault="0045503B" w:rsidP="0045503B">
      <w:pPr>
        <w:tabs>
          <w:tab w:val="left" w:pos="709"/>
          <w:tab w:val="decimal" w:pos="8222"/>
        </w:tabs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Výdavky základného fondu starobného poistenia</w:t>
      </w:r>
      <w:r w:rsidRPr="0045503B">
        <w:rPr>
          <w:rFonts w:ascii="Arial" w:hAnsi="Arial"/>
          <w:b/>
          <w:szCs w:val="20"/>
        </w:rPr>
        <w:tab/>
        <w:t>2 368 065</w:t>
      </w:r>
      <w:r w:rsidRPr="0045503B">
        <w:rPr>
          <w:rFonts w:ascii="Arial" w:hAnsi="Arial"/>
          <w:szCs w:val="20"/>
        </w:rPr>
        <w:t> </w:t>
      </w:r>
      <w:r w:rsidRPr="0045503B">
        <w:rPr>
          <w:rFonts w:ascii="Arial" w:hAnsi="Arial"/>
          <w:b/>
          <w:szCs w:val="20"/>
        </w:rPr>
        <w:t>tis. Eur</w:t>
      </w:r>
      <w:r w:rsidRPr="0045503B">
        <w:rPr>
          <w:rFonts w:ascii="Arial" w:hAnsi="Arial"/>
          <w:szCs w:val="20"/>
        </w:rPr>
        <w:t>,</w:t>
      </w:r>
    </w:p>
    <w:p w:rsidR="0045503B" w:rsidRPr="0045503B" w:rsidRDefault="0045503B" w:rsidP="0045503B">
      <w:pPr>
        <w:tabs>
          <w:tab w:val="left" w:pos="709"/>
          <w:tab w:val="decimal" w:pos="8222"/>
        </w:tabs>
        <w:spacing w:after="1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lastRenderedPageBreak/>
        <w:t>čo je 49,19 % upraveného rozpočtu vo výške</w:t>
      </w:r>
      <w:r w:rsidRPr="0045503B">
        <w:rPr>
          <w:rFonts w:ascii="Arial" w:hAnsi="Arial"/>
          <w:szCs w:val="20"/>
        </w:rPr>
        <w:tab/>
        <w:t>4 814 092 tis. Eur,</w:t>
      </w:r>
      <w:r w:rsidRPr="0045503B">
        <w:rPr>
          <w:rFonts w:ascii="Arial" w:hAnsi="Arial"/>
          <w:szCs w:val="20"/>
        </w:rPr>
        <w:br/>
        <w:t>a 98,80 % časového rozpisu vo výške</w:t>
      </w:r>
      <w:r w:rsidRPr="0045503B">
        <w:rPr>
          <w:rFonts w:ascii="Arial" w:hAnsi="Arial"/>
          <w:szCs w:val="20"/>
        </w:rPr>
        <w:tab/>
        <w:t>2 396 756 tis. Eur,</w:t>
      </w:r>
    </w:p>
    <w:p w:rsidR="0045503B" w:rsidRPr="0045503B" w:rsidRDefault="0045503B" w:rsidP="0045503B">
      <w:pPr>
        <w:tabs>
          <w:tab w:val="left" w:pos="709"/>
          <w:tab w:val="decimal" w:pos="8222"/>
        </w:tabs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Výdavky základného fondu invalidného poistenia</w:t>
      </w:r>
      <w:r w:rsidRPr="0045503B">
        <w:rPr>
          <w:rFonts w:ascii="Arial" w:hAnsi="Arial"/>
          <w:b/>
          <w:szCs w:val="20"/>
        </w:rPr>
        <w:tab/>
        <w:t>441 087</w:t>
      </w:r>
      <w:r w:rsidRPr="0045503B">
        <w:rPr>
          <w:rFonts w:ascii="Arial" w:hAnsi="Arial"/>
          <w:szCs w:val="20"/>
        </w:rPr>
        <w:t> </w:t>
      </w:r>
      <w:r w:rsidRPr="0045503B">
        <w:rPr>
          <w:rFonts w:ascii="Arial" w:hAnsi="Arial"/>
          <w:b/>
          <w:szCs w:val="20"/>
        </w:rPr>
        <w:t>tis. Eur</w:t>
      </w:r>
      <w:r w:rsidRPr="0045503B">
        <w:rPr>
          <w:rFonts w:ascii="Arial" w:hAnsi="Arial"/>
          <w:szCs w:val="20"/>
        </w:rPr>
        <w:t>,</w:t>
      </w:r>
      <w:r w:rsidRPr="0045503B">
        <w:rPr>
          <w:rFonts w:ascii="Arial" w:hAnsi="Arial"/>
          <w:szCs w:val="20"/>
        </w:rPr>
        <w:br/>
        <w:t>čo je 49,53 % rozpočtu vo výške</w:t>
      </w:r>
      <w:r w:rsidRPr="0045503B">
        <w:rPr>
          <w:rFonts w:ascii="Arial" w:hAnsi="Arial"/>
          <w:szCs w:val="20"/>
        </w:rPr>
        <w:tab/>
        <w:t>890 568 tis. Eur,</w:t>
      </w:r>
    </w:p>
    <w:p w:rsidR="0045503B" w:rsidRPr="0045503B" w:rsidRDefault="0045503B" w:rsidP="0045503B">
      <w:pPr>
        <w:tabs>
          <w:tab w:val="left" w:pos="709"/>
          <w:tab w:val="decimal" w:pos="8222"/>
        </w:tabs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a 99,33 % rozpisu rozpočtu vo výške</w:t>
      </w:r>
      <w:r w:rsidRPr="0045503B">
        <w:rPr>
          <w:rFonts w:ascii="Arial" w:hAnsi="Arial"/>
          <w:szCs w:val="20"/>
        </w:rPr>
        <w:tab/>
        <w:t>444 073 tis. Eur.</w:t>
      </w:r>
    </w:p>
    <w:p w:rsidR="0045503B" w:rsidRPr="0045503B" w:rsidRDefault="0045503B" w:rsidP="0045503B">
      <w:pPr>
        <w:tabs>
          <w:tab w:val="decimal" w:pos="-4500"/>
          <w:tab w:val="left" w:pos="-1418"/>
        </w:tabs>
        <w:spacing w:before="240" w:after="120"/>
        <w:ind w:firstLine="720"/>
        <w:jc w:val="both"/>
        <w:outlineLvl w:val="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Čerpanie finančných prostriedkov z dôchodkového poistenia bolo nižšie o 31 677 tis. Eur oproti časovému rozpisu. </w:t>
      </w:r>
    </w:p>
    <w:p w:rsidR="0045503B" w:rsidRPr="0045503B" w:rsidRDefault="0045503B" w:rsidP="0045503B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Rozpočtované výdavky boli nižšie najmä v dôchodkoch:</w:t>
      </w:r>
    </w:p>
    <w:p w:rsidR="0045503B" w:rsidRPr="0045503B" w:rsidRDefault="0045503B" w:rsidP="0045503B">
      <w:pPr>
        <w:numPr>
          <w:ilvl w:val="0"/>
          <w:numId w:val="14"/>
        </w:numPr>
        <w:tabs>
          <w:tab w:val="left" w:pos="-1418"/>
          <w:tab w:val="num" w:pos="426"/>
        </w:tabs>
        <w:spacing w:before="240" w:after="120"/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/>
          <w:szCs w:val="20"/>
        </w:rPr>
        <w:t xml:space="preserve">predčasných starobných (36 967 tis Eur), čo je spôsobené hlavne nižším počtom a nižšou priemernou výškou novopriznávaných dôchodkov </w:t>
      </w:r>
      <w:r w:rsidRPr="0045503B">
        <w:rPr>
          <w:rFonts w:ascii="Arial" w:hAnsi="Arial" w:cs="Arial"/>
        </w:rPr>
        <w:t>a vyšším počtom presunutých predčasných starobných dôchodkov do starobných dôchodkov po dovŕšení dôchodkového veku poberateľa ako bolo rozpočtované,</w:t>
      </w:r>
    </w:p>
    <w:p w:rsidR="0045503B" w:rsidRPr="0045503B" w:rsidRDefault="0045503B" w:rsidP="0045503B">
      <w:pPr>
        <w:numPr>
          <w:ilvl w:val="0"/>
          <w:numId w:val="14"/>
        </w:numPr>
        <w:tabs>
          <w:tab w:val="left" w:pos="-1418"/>
          <w:tab w:val="num" w:pos="426"/>
        </w:tabs>
        <w:spacing w:before="120" w:after="120"/>
        <w:ind w:left="0" w:firstLine="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 xml:space="preserve">vdovských (3 506 tis. Eur) a </w:t>
      </w:r>
      <w:r w:rsidRPr="0045503B">
        <w:rPr>
          <w:rFonts w:ascii="Arial" w:hAnsi="Arial"/>
          <w:szCs w:val="20"/>
        </w:rPr>
        <w:t xml:space="preserve">sirotských (1 521 tis. Eur) z dôvodu nižšieho počtu a nižšej priemernej výšky novopriznávaných dôchodkov </w:t>
      </w:r>
      <w:r w:rsidRPr="0045503B">
        <w:rPr>
          <w:rFonts w:ascii="Arial" w:hAnsi="Arial" w:cs="Arial"/>
        </w:rPr>
        <w:t>ako bolo rozpočtované na rok 2012.</w:t>
      </w:r>
    </w:p>
    <w:p w:rsidR="0045503B" w:rsidRPr="0045503B" w:rsidRDefault="0045503B" w:rsidP="0045503B">
      <w:pPr>
        <w:tabs>
          <w:tab w:val="left" w:pos="-1418"/>
          <w:tab w:val="decimal" w:pos="8222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Vyššie skutočné výdavky, ako rozpočtované, boli  na starobné dôchodky (o 10 381 tis. Eur), čo je spôsobené najmä</w:t>
      </w:r>
      <w:r w:rsidRPr="0045503B">
        <w:rPr>
          <w:rFonts w:ascii="Arial" w:hAnsi="Arial" w:cs="Arial"/>
        </w:rPr>
        <w:t xml:space="preserve"> vyšším počtom a vyššou priemernou výškou presunutých predčasných starobných dôchodkov do starobných dôchodkov po dovŕšení dôchodkového veku poberateľa ako bolo rozpočtované.</w:t>
      </w:r>
    </w:p>
    <w:p w:rsidR="0045503B" w:rsidRPr="0045503B" w:rsidRDefault="0045503B" w:rsidP="0045503B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Suma výdavkov na dôchodkové dávky v hodnotenom období zahŕňa aj valorizáciu dôchodkov od 1. januára  2012 v zmysle § 82 zákona o sociálnom  poistení o 3,3 % vo výške 95 604 tis. Eur, v ktorej je zahrnuté zvýšenie dôchodkov od prvého dňa v mesiaci v sume 5 863 tis. Eur. Zvýšenie na jeden dôchodok predstavovalo 9,29 Eur (na starobný dôchodok 11,21 Eur, predčasný starobný dôchodok 11,92 Eur a na invalidný dôchodok 8,34 Eur).</w:t>
      </w:r>
    </w:p>
    <w:p w:rsidR="0045503B" w:rsidRPr="0045503B" w:rsidRDefault="0045503B" w:rsidP="0045503B">
      <w:pPr>
        <w:spacing w:before="240" w:after="120"/>
        <w:ind w:right="-110"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Podiel jednotlivých dôchodkových dávok na celkových výdavkoch v percentuálnom vyjadrení je znázornený v nasledujúcom grafe:</w:t>
      </w:r>
    </w:p>
    <w:p w:rsidR="0045503B" w:rsidRPr="0045503B" w:rsidRDefault="0045503B" w:rsidP="0045503B">
      <w:pPr>
        <w:tabs>
          <w:tab w:val="left" w:pos="-1418"/>
          <w:tab w:val="decimal" w:pos="8222"/>
        </w:tabs>
        <w:spacing w:before="240" w:after="120"/>
        <w:ind w:firstLine="720"/>
        <w:jc w:val="both"/>
        <w:rPr>
          <w:rFonts w:ascii="Arial" w:hAnsi="Arial"/>
          <w:color w:val="000000"/>
          <w:szCs w:val="20"/>
        </w:rPr>
      </w:pPr>
      <w:r w:rsidRPr="0045503B">
        <w:rPr>
          <w:rFonts w:ascii="Arial" w:hAnsi="Arial"/>
          <w:noProof/>
          <w:szCs w:val="20"/>
        </w:rPr>
        <w:lastRenderedPageBreak/>
        <w:drawing>
          <wp:inline distT="0" distB="0" distL="0" distR="0" wp14:anchorId="664ADEAC" wp14:editId="614D5E73">
            <wp:extent cx="5800725" cy="3019425"/>
            <wp:effectExtent l="0" t="0" r="0" b="0"/>
            <wp:docPr id="1" name="Graf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503B" w:rsidRPr="0045503B" w:rsidRDefault="0045503B" w:rsidP="0045503B">
      <w:pPr>
        <w:spacing w:before="240" w:after="120"/>
        <w:ind w:right="-159"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porovnaní so stavom k 31. decembru 2011 sa v hodnotenom období zvýšil počet vyplácaných dôchodkov o 7 216. Najväčší nárast bol v  starobných dôchodkoch (9 711) a invalidných dôchodkoch (3 221). Pokles bol zaznamenaný najmä v predčasných starobných  dôchodkoch (-4 841) a vdovských dôchodkoch (-1 857).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/>
          <w:szCs w:val="20"/>
        </w:rPr>
        <w:t>Prehľad o počte vyplácaných dôchodkov podľa druhu dôchodku k 30. júnu 2012, v porovnaní so stavom k </w:t>
      </w:r>
      <w:r w:rsidRPr="0045503B">
        <w:rPr>
          <w:rFonts w:ascii="Arial" w:hAnsi="Arial" w:cs="Arial"/>
        </w:rPr>
        <w:t>30. júnu 2011 a k 31. decembru 2011 je v nasledujúcej tabuľke: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 w:cs="Arial"/>
          <w:sz w:val="20"/>
          <w:szCs w:val="20"/>
        </w:rPr>
      </w:pPr>
    </w:p>
    <w:tbl>
      <w:tblPr>
        <w:tblW w:w="932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6"/>
        <w:gridCol w:w="1134"/>
        <w:gridCol w:w="1276"/>
        <w:gridCol w:w="1109"/>
        <w:gridCol w:w="807"/>
        <w:gridCol w:w="879"/>
      </w:tblGrid>
      <w:tr w:rsidR="0045503B" w:rsidRPr="0045503B" w:rsidTr="00610F11">
        <w:trPr>
          <w:trHeight w:val="25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503B">
              <w:rPr>
                <w:rFonts w:ascii="Arial" w:hAnsi="Arial"/>
                <w:color w:val="000000"/>
                <w:sz w:val="20"/>
                <w:szCs w:val="20"/>
              </w:rPr>
              <w:t>Stav k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Rozdiel (3-1)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Rozdiel (3-2)</w:t>
            </w:r>
          </w:p>
        </w:tc>
      </w:tr>
      <w:tr w:rsidR="0045503B" w:rsidRPr="0045503B" w:rsidTr="00610F11">
        <w:trPr>
          <w:trHeight w:val="255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Druh dôchodku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503B">
              <w:rPr>
                <w:rFonts w:ascii="Arial" w:hAnsi="Arial"/>
                <w:color w:val="000000"/>
                <w:sz w:val="20"/>
                <w:szCs w:val="20"/>
              </w:rPr>
              <w:t>30.6.2011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503B">
              <w:rPr>
                <w:rFonts w:ascii="Arial" w:hAnsi="Arial"/>
                <w:color w:val="000000"/>
                <w:sz w:val="20"/>
                <w:szCs w:val="20"/>
              </w:rPr>
              <w:t xml:space="preserve"> 31.12.2011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45503B">
              <w:rPr>
                <w:rFonts w:ascii="Arial" w:hAnsi="Arial"/>
                <w:color w:val="000000"/>
                <w:sz w:val="20"/>
                <w:szCs w:val="20"/>
              </w:rPr>
              <w:t xml:space="preserve"> 30.6.2012</w:t>
            </w: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5</w:t>
            </w:r>
          </w:p>
        </w:tc>
      </w:tr>
      <w:tr w:rsidR="0045503B" w:rsidRPr="0045503B" w:rsidTr="00610F11">
        <w:trPr>
          <w:trHeight w:val="177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953 512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957 633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967 344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13 832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9 711</w:t>
            </w:r>
          </w:p>
        </w:tc>
      </w:tr>
      <w:tr w:rsidR="0045503B" w:rsidRPr="0045503B" w:rsidTr="00610F11">
        <w:trPr>
          <w:trHeight w:val="92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36 596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32 130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27 289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-9 307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-4 841</w:t>
            </w:r>
          </w:p>
        </w:tc>
      </w:tr>
      <w:tr w:rsidR="0045503B" w:rsidRPr="0045503B" w:rsidTr="00610F11">
        <w:trPr>
          <w:trHeight w:val="151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218 660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223 182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226 403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7 743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3 221</w:t>
            </w:r>
          </w:p>
        </w:tc>
      </w:tr>
      <w:tr w:rsidR="0045503B" w:rsidRPr="0045503B" w:rsidTr="00610F11">
        <w:trPr>
          <w:trHeight w:val="197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299 207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299 389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297 532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-1 675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-1 857</w:t>
            </w:r>
          </w:p>
        </w:tc>
      </w:tr>
      <w:tr w:rsidR="0045503B" w:rsidRPr="0045503B" w:rsidTr="00610F11">
        <w:trPr>
          <w:trHeight w:val="101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37 214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37 986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38 375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1 161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389</w:t>
            </w:r>
          </w:p>
        </w:tc>
      </w:tr>
      <w:tr w:rsidR="0045503B" w:rsidRPr="0045503B" w:rsidTr="00610F11">
        <w:trPr>
          <w:trHeight w:val="161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28 460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27 617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27 574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-886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-43</w:t>
            </w:r>
          </w:p>
        </w:tc>
      </w:tr>
      <w:tr w:rsidR="0045503B" w:rsidRPr="0045503B" w:rsidTr="00610F11">
        <w:trPr>
          <w:trHeight w:val="80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Dôchodky neprevzaté do automat. evidencie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168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70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-80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-98</w:t>
            </w:r>
          </w:p>
        </w:tc>
      </w:tr>
      <w:tr w:rsidR="0045503B" w:rsidRPr="0045503B" w:rsidTr="00610F11">
        <w:trPr>
          <w:trHeight w:val="80"/>
        </w:trPr>
        <w:tc>
          <w:tcPr>
            <w:tcW w:w="4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Dôchodky vyplácané do cudziny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15 178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16 315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17 049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1 871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734</w:t>
            </w:r>
          </w:p>
        </w:tc>
      </w:tr>
      <w:tr w:rsidR="0045503B" w:rsidRPr="0045503B" w:rsidTr="00610F11">
        <w:trPr>
          <w:trHeight w:val="345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Celkom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1 588 977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1 594 420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1 601 636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12 659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7 216</w:t>
            </w:r>
          </w:p>
        </w:tc>
      </w:tr>
    </w:tbl>
    <w:p w:rsidR="0045503B" w:rsidRPr="0045503B" w:rsidRDefault="0045503B" w:rsidP="0045503B">
      <w:pPr>
        <w:spacing w:before="360"/>
        <w:ind w:right="-159"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Vývoj počtu vyplácaných dôchodkov podľa jednotlivých mesiacov roka 2011 a 2012 je takýto: </w:t>
      </w:r>
    </w:p>
    <w:p w:rsidR="0045503B" w:rsidRPr="0045503B" w:rsidRDefault="0045503B" w:rsidP="0045503B">
      <w:pPr>
        <w:tabs>
          <w:tab w:val="left" w:pos="5954"/>
          <w:tab w:val="left" w:pos="6237"/>
          <w:tab w:val="left" w:pos="7371"/>
          <w:tab w:val="left" w:pos="7513"/>
        </w:tabs>
        <w:spacing w:before="240" w:after="120"/>
        <w:ind w:right="-15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noProof/>
          <w:szCs w:val="20"/>
        </w:rPr>
        <w:lastRenderedPageBreak/>
        <w:drawing>
          <wp:inline distT="0" distB="0" distL="0" distR="0" wp14:anchorId="78FAD67D" wp14:editId="4A03624F">
            <wp:extent cx="5972175" cy="4114800"/>
            <wp:effectExtent l="0" t="0" r="0" b="0"/>
            <wp:docPr id="2" name="Graf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5503B" w:rsidRPr="0045503B" w:rsidRDefault="0045503B" w:rsidP="0045503B">
      <w:pPr>
        <w:spacing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/>
          <w:szCs w:val="20"/>
        </w:rPr>
        <w:t>Prehľad o priemernej mesačnej výške vyplácaného sólo dôchodku podľa druhu dôchodku k 30. júnu 2012, v porovnaní so stavom k </w:t>
      </w:r>
      <w:r w:rsidRPr="0045503B">
        <w:rPr>
          <w:rFonts w:ascii="Arial" w:hAnsi="Arial" w:cs="Arial"/>
        </w:rPr>
        <w:t>30. júnu 2011 a k 31. decembru 2011 je v nasledujúcej tabuľke:</w:t>
      </w:r>
    </w:p>
    <w:tbl>
      <w:tblPr>
        <w:tblW w:w="8405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172"/>
        <w:gridCol w:w="1260"/>
        <w:gridCol w:w="1112"/>
        <w:gridCol w:w="1008"/>
        <w:gridCol w:w="876"/>
      </w:tblGrid>
      <w:tr w:rsidR="0045503B" w:rsidRPr="0045503B" w:rsidTr="00610F11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 Eur</w:t>
            </w:r>
          </w:p>
        </w:tc>
      </w:tr>
      <w:tr w:rsidR="0045503B" w:rsidRPr="0045503B" w:rsidTr="00610F11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Výška vyplácaného sólo dôchodku k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Rozdiel    (3-1)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Rozdiel   (3-2)</w:t>
            </w:r>
          </w:p>
        </w:tc>
      </w:tr>
      <w:tr w:rsidR="0045503B" w:rsidRPr="0045503B" w:rsidTr="00610F11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Druh dôchodku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 30.6.2011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 31.12.2011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 30.6.2012</w:t>
            </w: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45503B" w:rsidRPr="0045503B" w:rsidTr="00610F11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5</w:t>
            </w:r>
          </w:p>
        </w:tc>
      </w:tr>
      <w:tr w:rsidR="0045503B" w:rsidRPr="0045503B" w:rsidTr="00610F11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360,66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362,08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375,03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14,37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12,95</w:t>
            </w:r>
          </w:p>
        </w:tc>
      </w:tr>
      <w:tr w:rsidR="0045503B" w:rsidRPr="0045503B" w:rsidTr="00610F11">
        <w:trPr>
          <w:trHeight w:val="145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359,19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357,63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373,85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14,66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16,22</w:t>
            </w:r>
          </w:p>
        </w:tc>
      </w:tr>
      <w:tr w:rsidR="0045503B" w:rsidRPr="0045503B" w:rsidTr="00610F11">
        <w:trPr>
          <w:trHeight w:val="191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257,38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255,63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262,58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5,20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6,95</w:t>
            </w:r>
          </w:p>
        </w:tc>
      </w:tr>
      <w:tr w:rsidR="0045503B" w:rsidRPr="0045503B" w:rsidTr="00610F11">
        <w:trPr>
          <w:trHeight w:val="109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221,26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222,00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229,11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7,85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7,11</w:t>
            </w:r>
          </w:p>
        </w:tc>
      </w:tr>
      <w:tr w:rsidR="0045503B" w:rsidRPr="0045503B" w:rsidTr="00610F11">
        <w:trPr>
          <w:trHeight w:val="169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168,88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169,67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175,45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6,57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5,78</w:t>
            </w:r>
          </w:p>
        </w:tc>
      </w:tr>
      <w:tr w:rsidR="0045503B" w:rsidRPr="0045503B" w:rsidTr="00610F11">
        <w:trPr>
          <w:trHeight w:val="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125,76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125,88</w:t>
            </w:r>
          </w:p>
        </w:tc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127,29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1,53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1,41</w:t>
            </w:r>
          </w:p>
        </w:tc>
      </w:tr>
    </w:tbl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Prehľad o priemernej výške vyplácaných sólo dôchodkov podľa druhu dôchodku a pohlavia k 30. júnu 2012 je uvedený v nasledujúcej tabuľke:</w:t>
      </w:r>
    </w:p>
    <w:tbl>
      <w:tblPr>
        <w:tblW w:w="6662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276"/>
        <w:gridCol w:w="1275"/>
        <w:gridCol w:w="1134"/>
      </w:tblGrid>
      <w:tr w:rsidR="0045503B" w:rsidRPr="0045503B" w:rsidTr="00610F11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 Eur</w:t>
            </w:r>
          </w:p>
        </w:tc>
      </w:tr>
      <w:tr w:rsidR="0045503B" w:rsidRPr="0045503B" w:rsidTr="00610F11">
        <w:trPr>
          <w:trHeight w:val="25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Druh dôchodku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muži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ženy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spolu</w:t>
            </w:r>
          </w:p>
        </w:tc>
      </w:tr>
      <w:tr w:rsidR="0045503B" w:rsidRPr="0045503B" w:rsidTr="00610F11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45503B" w:rsidRPr="0045503B" w:rsidTr="00610F11">
        <w:trPr>
          <w:trHeight w:val="33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Starobný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426,89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333,03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375,03</w:t>
            </w:r>
          </w:p>
        </w:tc>
      </w:tr>
      <w:tr w:rsidR="0045503B" w:rsidRPr="0045503B" w:rsidTr="00610F11">
        <w:trPr>
          <w:trHeight w:val="8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Predčasný starobný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390,90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315,70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373,85</w:t>
            </w:r>
          </w:p>
        </w:tc>
      </w:tr>
      <w:tr w:rsidR="0045503B" w:rsidRPr="0045503B" w:rsidTr="00610F11">
        <w:trPr>
          <w:trHeight w:val="109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Invalidný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286,78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234,52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262,58</w:t>
            </w:r>
          </w:p>
        </w:tc>
      </w:tr>
      <w:tr w:rsidR="0045503B" w:rsidRPr="0045503B" w:rsidTr="00610F11">
        <w:trPr>
          <w:trHeight w:val="8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Vdovský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229,11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229,11</w:t>
            </w:r>
          </w:p>
        </w:tc>
      </w:tr>
      <w:tr w:rsidR="0045503B" w:rsidRPr="0045503B" w:rsidTr="00610F11">
        <w:trPr>
          <w:trHeight w:val="8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 xml:space="preserve">Vdovecký dôchodok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175,45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175,45</w:t>
            </w:r>
          </w:p>
        </w:tc>
      </w:tr>
      <w:tr w:rsidR="0045503B" w:rsidRPr="0045503B" w:rsidTr="00610F11">
        <w:trPr>
          <w:trHeight w:val="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Sirotský dôchodok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121,27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/>
                <w:sz w:val="20"/>
                <w:szCs w:val="20"/>
              </w:rPr>
            </w:pPr>
            <w:r w:rsidRPr="0045503B">
              <w:rPr>
                <w:rFonts w:ascii="Arial" w:hAnsi="Arial"/>
                <w:sz w:val="20"/>
                <w:szCs w:val="20"/>
              </w:rPr>
              <w:t>127,29</w:t>
            </w:r>
          </w:p>
        </w:tc>
      </w:tr>
    </w:tbl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</w:rPr>
      </w:pPr>
      <w:r w:rsidRPr="0045503B">
        <w:rPr>
          <w:rFonts w:ascii="Arial" w:hAnsi="Arial"/>
        </w:rPr>
        <w:lastRenderedPageBreak/>
        <w:t>Priemerná mesačná výška vyplácaných dôchodkov vzrástla, oproti rovnakému obdobiu minulého roka, najmä v dôsledku realizovaného zvýšenia dôchodkov s účinnosťou od 1. januára  2012.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Sociálna poisťovňa k 30. júnu 2012 poukazovala dôchodky na osobné účty v peňažných ústavoch celkom 745 004 dôchodcom, čo predstavuje oproti stavu k 31. decembru 2011 nárast o 100 413. Výdavky na dôchodkové dávky poukázané na osobné účty dôchodcom k 30. júnu 2012 predstavovali 1 578 009 tis. Eur, čo je 56,17 % z celkových výdavkov. V nasledujúcej tabuľke je prehľad vývoja počtu osobných účtov v peňažných ústavoch, na ktoré boli poukazované dôchodkové dávky k 30. júnu 2012 v porovnaní so stavom k 31. decembru 2011:</w:t>
      </w:r>
    </w:p>
    <w:tbl>
      <w:tblPr>
        <w:tblW w:w="8340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0"/>
        <w:gridCol w:w="1000"/>
        <w:gridCol w:w="900"/>
        <w:gridCol w:w="900"/>
        <w:gridCol w:w="829"/>
        <w:gridCol w:w="971"/>
      </w:tblGrid>
      <w:tr w:rsidR="0045503B" w:rsidRPr="0045503B" w:rsidTr="00610F11">
        <w:trPr>
          <w:trHeight w:val="255"/>
        </w:trPr>
        <w:tc>
          <w:tcPr>
            <w:tcW w:w="3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Peňažný ústav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Stav k 31.12.2011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Rok 2012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Rozdiel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k 31.3.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k 30.6.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1E3F11" w:rsidP="001E3F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45503B" w:rsidRPr="0045503B">
              <w:rPr>
                <w:rFonts w:ascii="Arial" w:hAnsi="Arial" w:cs="Arial"/>
                <w:sz w:val="16"/>
                <w:szCs w:val="16"/>
              </w:rPr>
              <w:t>-1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1E3F11" w:rsidP="001E3F1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45503B" w:rsidRPr="0045503B">
              <w:rPr>
                <w:rFonts w:ascii="Arial" w:hAnsi="Arial" w:cs="Arial"/>
                <w:sz w:val="16"/>
                <w:szCs w:val="16"/>
              </w:rPr>
              <w:t>-1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Slovenská sporiteľňa,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220 068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224 341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229 655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4 273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9 587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Poštová banka,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216 750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269 625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295 246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52 875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78 496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Všeobecná úverová banka,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114 575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117 610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120 904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3 035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6 329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Tatra banka,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34 343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35 421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36 540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1 078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2 197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PRIMA  banka Slovensko, a.s.*/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12 342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12 611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12 836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269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494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Československá obchodná banka,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19 939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20 753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21 697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814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1 758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OTP banka Slovensko, a.s.,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11 460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11 652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11 807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192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347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5503B">
              <w:rPr>
                <w:rFonts w:ascii="Arial" w:hAnsi="Arial" w:cs="Arial"/>
                <w:sz w:val="16"/>
                <w:szCs w:val="16"/>
              </w:rPr>
              <w:t>Unicredit</w:t>
            </w:r>
            <w:proofErr w:type="spellEnd"/>
            <w:r w:rsidRPr="0045503B">
              <w:rPr>
                <w:rFonts w:ascii="Arial" w:hAnsi="Arial" w:cs="Arial"/>
                <w:sz w:val="16"/>
                <w:szCs w:val="16"/>
              </w:rPr>
              <w:t xml:space="preserve"> bank Slovakia,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6 610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6 849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7 056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239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446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5503B">
              <w:rPr>
                <w:rFonts w:ascii="Arial" w:hAnsi="Arial" w:cs="Arial"/>
                <w:sz w:val="16"/>
                <w:szCs w:val="16"/>
              </w:rPr>
              <w:t>Volksbank</w:t>
            </w:r>
            <w:proofErr w:type="spellEnd"/>
            <w:r w:rsidRPr="0045503B">
              <w:rPr>
                <w:rFonts w:ascii="Arial" w:hAnsi="Arial" w:cs="Arial"/>
                <w:sz w:val="16"/>
                <w:szCs w:val="16"/>
              </w:rPr>
              <w:t xml:space="preserve"> Slovensko, a.s.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5 784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5 897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5 980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BRE BANK SA, pobočka zahraničnej banky v SR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2 406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2 585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2 782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179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376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Národná banka Slovenska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216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5503B">
              <w:rPr>
                <w:rFonts w:ascii="Arial" w:hAnsi="Arial" w:cs="Arial"/>
                <w:sz w:val="16"/>
                <w:szCs w:val="16"/>
              </w:rPr>
              <w:t>Privatbanka</w:t>
            </w:r>
            <w:proofErr w:type="spellEnd"/>
            <w:r w:rsidRPr="0045503B">
              <w:rPr>
                <w:rFonts w:ascii="Arial" w:hAnsi="Arial" w:cs="Arial"/>
                <w:sz w:val="16"/>
                <w:szCs w:val="16"/>
              </w:rPr>
              <w:t xml:space="preserve">, a.s.  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5503B">
              <w:rPr>
                <w:rFonts w:ascii="Arial" w:hAnsi="Arial" w:cs="Arial"/>
                <w:sz w:val="16"/>
                <w:szCs w:val="16"/>
              </w:rPr>
              <w:t>Zuno</w:t>
            </w:r>
            <w:proofErr w:type="spellEnd"/>
            <w:r w:rsidRPr="0045503B">
              <w:rPr>
                <w:rFonts w:ascii="Arial" w:hAnsi="Arial" w:cs="Arial"/>
                <w:sz w:val="16"/>
                <w:szCs w:val="16"/>
              </w:rPr>
              <w:t xml:space="preserve"> Bank AG, pobočka zahraničnej banky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225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163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OBERBANK AG, pobočka zahraničnej banky v SR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ING BANK N.V., pobočka zahraničnej banky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45503B" w:rsidRPr="0045503B" w:rsidTr="00610F11">
        <w:trPr>
          <w:trHeight w:val="25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S p o l u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644 591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707 750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745 004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63 159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100 413</w:t>
            </w:r>
          </w:p>
        </w:tc>
      </w:tr>
      <w:tr w:rsidR="0045503B" w:rsidRPr="0045503B" w:rsidTr="00610F11">
        <w:trPr>
          <w:trHeight w:val="255"/>
        </w:trPr>
        <w:tc>
          <w:tcPr>
            <w:tcW w:w="654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*/ DEXIA banka Slovensko, a.s. od februára 2012 PRIMA banka Slovensko, a.s.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B0075" w:rsidRDefault="005B0075" w:rsidP="005B0075">
      <w:pPr>
        <w:ind w:firstLine="709"/>
        <w:jc w:val="both"/>
        <w:rPr>
          <w:rFonts w:ascii="Arial" w:hAnsi="Arial"/>
          <w:szCs w:val="20"/>
        </w:rPr>
      </w:pPr>
    </w:p>
    <w:p w:rsidR="005B0075" w:rsidRPr="0045503B" w:rsidRDefault="005B0075" w:rsidP="005B0075">
      <w:pPr>
        <w:numPr>
          <w:ilvl w:val="1"/>
          <w:numId w:val="23"/>
        </w:numPr>
        <w:tabs>
          <w:tab w:val="left" w:pos="709"/>
          <w:tab w:val="decimal" w:pos="8222"/>
        </w:tabs>
        <w:spacing w:before="480" w:after="120"/>
        <w:ind w:left="0" w:firstLine="0"/>
        <w:contextualSpacing/>
        <w:rPr>
          <w:rFonts w:ascii="Arial" w:hAnsi="Arial"/>
          <w:szCs w:val="20"/>
        </w:rPr>
      </w:pPr>
      <w:r w:rsidRPr="0045503B">
        <w:rPr>
          <w:rFonts w:ascii="Arial" w:hAnsi="Arial"/>
          <w:b/>
          <w:color w:val="000000"/>
          <w:szCs w:val="20"/>
        </w:rPr>
        <w:t xml:space="preserve">Výdavky základného fondu úrazového poistenia </w:t>
      </w:r>
      <w:r w:rsidRPr="0045503B">
        <w:rPr>
          <w:rFonts w:ascii="Arial" w:hAnsi="Arial"/>
          <w:b/>
          <w:color w:val="000000"/>
          <w:szCs w:val="20"/>
        </w:rPr>
        <w:tab/>
        <w:t>22 030 tis. Eur</w:t>
      </w:r>
      <w:r w:rsidRPr="0045503B">
        <w:rPr>
          <w:rFonts w:ascii="Arial" w:hAnsi="Arial"/>
          <w:color w:val="000000"/>
          <w:szCs w:val="20"/>
        </w:rPr>
        <w:t>,</w:t>
      </w:r>
      <w:r w:rsidRPr="0045503B">
        <w:rPr>
          <w:rFonts w:ascii="Arial" w:hAnsi="Arial"/>
          <w:color w:val="000000"/>
          <w:szCs w:val="20"/>
        </w:rPr>
        <w:br/>
        <w:t xml:space="preserve">čo je 46,21 % </w:t>
      </w:r>
      <w:r w:rsidRPr="0045503B">
        <w:rPr>
          <w:rFonts w:ascii="Arial" w:hAnsi="Arial"/>
          <w:szCs w:val="20"/>
        </w:rPr>
        <w:t xml:space="preserve">rozpočtu </w:t>
      </w:r>
      <w:r w:rsidRPr="0045503B">
        <w:rPr>
          <w:rFonts w:ascii="Arial" w:hAnsi="Arial"/>
          <w:color w:val="000000"/>
          <w:szCs w:val="20"/>
        </w:rPr>
        <w:t>vo výške</w:t>
      </w:r>
      <w:r w:rsidRPr="0045503B">
        <w:rPr>
          <w:rFonts w:ascii="Arial" w:hAnsi="Arial"/>
          <w:color w:val="000000"/>
          <w:szCs w:val="20"/>
        </w:rPr>
        <w:tab/>
        <w:t>47 676 tis. Eur</w:t>
      </w:r>
      <w:r w:rsidRPr="0045503B">
        <w:rPr>
          <w:rFonts w:ascii="Arial" w:hAnsi="Arial"/>
          <w:szCs w:val="20"/>
        </w:rPr>
        <w:br/>
        <w:t>a 90,65 % časového rozpisu vo výške</w:t>
      </w:r>
      <w:r w:rsidRPr="0045503B">
        <w:rPr>
          <w:rFonts w:ascii="Arial" w:hAnsi="Arial"/>
          <w:szCs w:val="20"/>
        </w:rPr>
        <w:tab/>
        <w:t xml:space="preserve">24 302 tis. Eur. </w:t>
      </w:r>
    </w:p>
    <w:p w:rsidR="005B0075" w:rsidRPr="0045503B" w:rsidRDefault="005B0075" w:rsidP="005B0075">
      <w:pPr>
        <w:tabs>
          <w:tab w:val="decimal" w:pos="8222"/>
        </w:tabs>
        <w:ind w:firstLine="7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uvedenej sume výdavkov sú zahrnuté:</w:t>
      </w:r>
    </w:p>
    <w:p w:rsidR="005B0075" w:rsidRPr="0045503B" w:rsidRDefault="005B0075" w:rsidP="005B0075">
      <w:pPr>
        <w:numPr>
          <w:ilvl w:val="0"/>
          <w:numId w:val="5"/>
        </w:numPr>
        <w:tabs>
          <w:tab w:val="decimal" w:pos="8222"/>
        </w:tabs>
        <w:ind w:left="0" w:firstLine="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výdavky na úrazové dávky</w:t>
      </w:r>
      <w:r w:rsidRPr="0045503B">
        <w:rPr>
          <w:rFonts w:ascii="Arial" w:hAnsi="Arial"/>
          <w:szCs w:val="20"/>
        </w:rPr>
        <w:tab/>
        <w:t>20 996 tis. Eur,</w:t>
      </w:r>
    </w:p>
    <w:p w:rsidR="005B0075" w:rsidRPr="0045503B" w:rsidRDefault="005B0075" w:rsidP="005B0075">
      <w:pPr>
        <w:numPr>
          <w:ilvl w:val="0"/>
          <w:numId w:val="5"/>
        </w:numPr>
        <w:tabs>
          <w:tab w:val="decimal" w:pos="8222"/>
        </w:tabs>
        <w:ind w:left="0" w:firstLine="0"/>
        <w:rPr>
          <w:rFonts w:ascii="Arial" w:hAnsi="Arial"/>
          <w:snapToGrid w:val="0"/>
          <w:szCs w:val="20"/>
        </w:rPr>
      </w:pPr>
      <w:r w:rsidRPr="0045503B">
        <w:rPr>
          <w:rFonts w:ascii="Arial" w:hAnsi="Arial"/>
          <w:snapToGrid w:val="0"/>
          <w:szCs w:val="20"/>
        </w:rPr>
        <w:t>zúčtovanie dôchodkových dávok</w:t>
      </w:r>
      <w:r w:rsidRPr="0045503B">
        <w:rPr>
          <w:rFonts w:ascii="Arial" w:hAnsi="Arial"/>
          <w:snapToGrid w:val="0"/>
          <w:szCs w:val="20"/>
        </w:rPr>
        <w:tab/>
        <w:t>-72 tis. Eur.</w:t>
      </w:r>
    </w:p>
    <w:p w:rsidR="005B0075" w:rsidRPr="0045503B" w:rsidRDefault="005B0075" w:rsidP="005B0075">
      <w:pPr>
        <w:numPr>
          <w:ilvl w:val="0"/>
          <w:numId w:val="5"/>
        </w:numPr>
        <w:tabs>
          <w:tab w:val="decimal" w:pos="8222"/>
        </w:tabs>
        <w:spacing w:after="120"/>
        <w:ind w:left="709" w:hanging="709"/>
        <w:rPr>
          <w:rFonts w:ascii="Arial" w:hAnsi="Arial"/>
          <w:snapToGrid w:val="0"/>
          <w:szCs w:val="20"/>
        </w:rPr>
      </w:pPr>
      <w:r w:rsidRPr="0045503B">
        <w:rPr>
          <w:rFonts w:ascii="Arial" w:hAnsi="Arial"/>
          <w:szCs w:val="20"/>
        </w:rPr>
        <w:t>poistné do základného fondu starobného poistenia  a príspevky</w:t>
      </w:r>
      <w:r w:rsidRPr="0045503B">
        <w:rPr>
          <w:rFonts w:ascii="Arial" w:hAnsi="Arial"/>
          <w:szCs w:val="20"/>
        </w:rPr>
        <w:br/>
        <w:t>na SDS platené do základného fondu príspevkov na SDS</w:t>
      </w:r>
      <w:r w:rsidRPr="0045503B">
        <w:rPr>
          <w:rFonts w:ascii="Arial" w:hAnsi="Arial"/>
          <w:szCs w:val="20"/>
        </w:rPr>
        <w:tab/>
        <w:t>1 106 tis. Eur.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  <w:snapToGrid w:val="0"/>
          <w:szCs w:val="20"/>
        </w:rPr>
      </w:pPr>
      <w:r w:rsidRPr="0045503B">
        <w:rPr>
          <w:rFonts w:ascii="Arial" w:hAnsi="Arial"/>
          <w:szCs w:val="20"/>
        </w:rPr>
        <w:t xml:space="preserve">V porovnaní s časovým rozpisom sú skutočné výdavky základného fondu úrazového poistenia nižšie o 2 272 tis. Eur. V porovnaní s rovnakým obdobím roka 2011 sú výdavky základného fondu úrazového poistenia nižšie o 197 tis. Eur. 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N</w:t>
      </w:r>
      <w:r w:rsidRPr="0045503B">
        <w:rPr>
          <w:rFonts w:ascii="Arial" w:hAnsi="Arial"/>
          <w:snapToGrid w:val="0"/>
          <w:szCs w:val="20"/>
        </w:rPr>
        <w:t>ajvyšší podiel na vyplatených úrazových dávkach má úrazová renta v sume 11 079 tis. Eur</w:t>
      </w:r>
      <w:r w:rsidRPr="0045503B">
        <w:rPr>
          <w:rFonts w:ascii="Arial" w:hAnsi="Arial"/>
          <w:szCs w:val="20"/>
        </w:rPr>
        <w:t xml:space="preserve">. </w:t>
      </w:r>
      <w:r w:rsidRPr="0045503B">
        <w:rPr>
          <w:rFonts w:ascii="Arial" w:hAnsi="Arial"/>
          <w:snapToGrid w:val="0"/>
          <w:szCs w:val="20"/>
        </w:rPr>
        <w:t xml:space="preserve">V mesiacoch január až jún 2012 bolo ústredím Sociálnej poisťovne (ďalej len „ústredie“) vyplatených priemerne mesačne 6 560 úrazových rent a 231 pozostalostných úrazových rent spolu v sume 11 248 tis. Eur. Pobočky vyplatili úrazové dávky v sume 9 748 tis. </w:t>
      </w:r>
      <w:r w:rsidRPr="0045503B">
        <w:rPr>
          <w:rFonts w:ascii="Arial" w:hAnsi="Arial"/>
          <w:szCs w:val="20"/>
        </w:rPr>
        <w:t xml:space="preserve">Eur. </w:t>
      </w:r>
    </w:p>
    <w:p w:rsidR="0045503B" w:rsidRPr="0045503B" w:rsidRDefault="0045503B" w:rsidP="0045503B">
      <w:pPr>
        <w:numPr>
          <w:ilvl w:val="1"/>
          <w:numId w:val="8"/>
        </w:numPr>
        <w:tabs>
          <w:tab w:val="left" w:pos="720"/>
          <w:tab w:val="decimal" w:pos="8222"/>
          <w:tab w:val="num" w:pos="9072"/>
        </w:tabs>
        <w:spacing w:before="240" w:after="120"/>
        <w:ind w:left="0" w:firstLine="0"/>
        <w:rPr>
          <w:rFonts w:ascii="Arial" w:hAnsi="Arial"/>
          <w:color w:val="000000"/>
          <w:szCs w:val="20"/>
        </w:rPr>
      </w:pPr>
      <w:r w:rsidRPr="0045503B">
        <w:rPr>
          <w:rFonts w:ascii="Arial" w:hAnsi="Arial"/>
          <w:b/>
          <w:color w:val="000000"/>
        </w:rPr>
        <w:lastRenderedPageBreak/>
        <w:t xml:space="preserve">Výdavky základného fondu garančného poistenia </w:t>
      </w:r>
      <w:r w:rsidRPr="0045503B">
        <w:rPr>
          <w:rFonts w:ascii="Arial" w:hAnsi="Arial"/>
          <w:b/>
          <w:color w:val="000000"/>
        </w:rPr>
        <w:tab/>
        <w:t>17 687 tis. Eur,</w:t>
      </w:r>
      <w:r w:rsidRPr="0045503B">
        <w:rPr>
          <w:rFonts w:ascii="Arial" w:hAnsi="Arial"/>
          <w:b/>
          <w:color w:val="000000"/>
        </w:rPr>
        <w:br/>
      </w:r>
      <w:r w:rsidRPr="0045503B">
        <w:rPr>
          <w:rFonts w:ascii="Arial" w:hAnsi="Arial"/>
          <w:color w:val="000000"/>
          <w:szCs w:val="20"/>
        </w:rPr>
        <w:t xml:space="preserve">čo je 43,06 % </w:t>
      </w:r>
      <w:r w:rsidRPr="0045503B">
        <w:rPr>
          <w:rFonts w:ascii="Arial" w:hAnsi="Arial"/>
          <w:szCs w:val="20"/>
        </w:rPr>
        <w:t xml:space="preserve">rozpočtu </w:t>
      </w:r>
      <w:r w:rsidRPr="0045503B">
        <w:rPr>
          <w:rFonts w:ascii="Arial" w:hAnsi="Arial"/>
          <w:color w:val="000000"/>
          <w:szCs w:val="20"/>
        </w:rPr>
        <w:t>vo výške</w:t>
      </w:r>
      <w:r w:rsidRPr="0045503B">
        <w:rPr>
          <w:rFonts w:ascii="Arial" w:hAnsi="Arial"/>
          <w:color w:val="000000"/>
          <w:szCs w:val="20"/>
        </w:rPr>
        <w:tab/>
        <w:t>41 073 tis. Eur</w:t>
      </w:r>
      <w:r w:rsidRPr="0045503B">
        <w:rPr>
          <w:rFonts w:ascii="Arial" w:hAnsi="Arial"/>
          <w:szCs w:val="20"/>
        </w:rPr>
        <w:br/>
        <w:t>a 87,70 % časového rozpisu vo výške</w:t>
      </w:r>
      <w:r w:rsidRPr="0045503B">
        <w:rPr>
          <w:rFonts w:ascii="Arial" w:hAnsi="Arial"/>
          <w:szCs w:val="20"/>
        </w:rPr>
        <w:tab/>
        <w:t>20 167 tis. Eur.</w:t>
      </w:r>
    </w:p>
    <w:p w:rsidR="0045503B" w:rsidRPr="0045503B" w:rsidRDefault="0045503B" w:rsidP="0045503B">
      <w:pPr>
        <w:tabs>
          <w:tab w:val="num" w:pos="1068"/>
          <w:tab w:val="left" w:pos="3960"/>
        </w:tabs>
        <w:spacing w:before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uvedenej sume výdavkov sú zahrnuté:</w:t>
      </w:r>
    </w:p>
    <w:p w:rsidR="0045503B" w:rsidRPr="0045503B" w:rsidRDefault="0045503B" w:rsidP="0045503B">
      <w:pPr>
        <w:numPr>
          <w:ilvl w:val="0"/>
          <w:numId w:val="6"/>
        </w:numPr>
        <w:tabs>
          <w:tab w:val="decimal" w:pos="8280"/>
        </w:tabs>
        <w:ind w:left="0" w:firstLine="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výdavky na dávku garančného poistenia </w:t>
      </w:r>
      <w:r w:rsidRPr="0045503B">
        <w:rPr>
          <w:rFonts w:ascii="Arial" w:hAnsi="Arial"/>
          <w:szCs w:val="20"/>
        </w:rPr>
        <w:tab/>
        <w:t>3 688 tis. Eur,</w:t>
      </w:r>
    </w:p>
    <w:p w:rsidR="0045503B" w:rsidRPr="0045503B" w:rsidRDefault="0045503B" w:rsidP="0045503B">
      <w:pPr>
        <w:numPr>
          <w:ilvl w:val="0"/>
          <w:numId w:val="6"/>
        </w:numPr>
        <w:tabs>
          <w:tab w:val="decimal" w:pos="8280"/>
        </w:tabs>
        <w:spacing w:after="120"/>
        <w:ind w:left="720" w:hanging="7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výdavky na úhradu príspevkov na SDS, ktoré nezaplatil </w:t>
      </w:r>
      <w:r w:rsidRPr="0045503B">
        <w:rPr>
          <w:rFonts w:ascii="Arial" w:hAnsi="Arial"/>
          <w:szCs w:val="20"/>
        </w:rPr>
        <w:br/>
        <w:t xml:space="preserve">zamestnávateľ do základného fondu príspevkov na SDS </w:t>
      </w:r>
      <w:r w:rsidRPr="0045503B">
        <w:rPr>
          <w:rFonts w:ascii="Arial" w:hAnsi="Arial"/>
          <w:szCs w:val="20"/>
        </w:rPr>
        <w:br/>
        <w:t xml:space="preserve">do 60 dní odo dňa ich splatnosti  </w:t>
      </w:r>
      <w:r w:rsidRPr="0045503B">
        <w:rPr>
          <w:rFonts w:ascii="Arial" w:hAnsi="Arial"/>
          <w:szCs w:val="20"/>
        </w:rPr>
        <w:tab/>
        <w:t xml:space="preserve">13 999 tis. Eur. </w:t>
      </w:r>
    </w:p>
    <w:p w:rsidR="0045503B" w:rsidRPr="0045503B" w:rsidRDefault="0045503B" w:rsidP="0045503B">
      <w:pPr>
        <w:tabs>
          <w:tab w:val="left" w:pos="3960"/>
          <w:tab w:val="left" w:pos="5040"/>
          <w:tab w:val="left" w:pos="7380"/>
          <w:tab w:val="left" w:pos="9072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Výdavky základného fondu garančného poistenia boli v mesiacoch január až jún 2012 nižšie v porovnaní s časovým rozpisom o 2 480 tis. Eur a v porovnaní s rovnakým obdobím roka 2011 vyššie o 1 400 tis. Eur.</w:t>
      </w:r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sledovanom období roka 2012 bola priemerná mesačná výška dávky garančného poistenia 1 299 Eur a priemerný mesačný počet prípadov vyplatenej dávky bol 473 prípadov.</w:t>
      </w:r>
    </w:p>
    <w:p w:rsidR="0045503B" w:rsidRPr="0045503B" w:rsidRDefault="0045503B" w:rsidP="0045503B">
      <w:pPr>
        <w:tabs>
          <w:tab w:val="left" w:pos="720"/>
          <w:tab w:val="num" w:pos="1440"/>
          <w:tab w:val="decimal" w:pos="8100"/>
        </w:tabs>
        <w:spacing w:before="240" w:after="120"/>
        <w:rPr>
          <w:rFonts w:ascii="Arial" w:hAnsi="Arial"/>
          <w:szCs w:val="20"/>
        </w:rPr>
      </w:pPr>
      <w:r w:rsidRPr="0045503B">
        <w:rPr>
          <w:rFonts w:ascii="Arial" w:hAnsi="Arial"/>
          <w:b/>
          <w:szCs w:val="20"/>
        </w:rPr>
        <w:t>3.5.</w:t>
      </w:r>
      <w:r w:rsidRPr="0045503B">
        <w:rPr>
          <w:rFonts w:ascii="Arial" w:hAnsi="Arial"/>
          <w:b/>
          <w:szCs w:val="20"/>
        </w:rPr>
        <w:tab/>
        <w:t xml:space="preserve">Výdavky základného fondu poistenia </w:t>
      </w:r>
      <w:r w:rsidRPr="0045503B">
        <w:rPr>
          <w:rFonts w:ascii="Arial" w:hAnsi="Arial"/>
          <w:b/>
          <w:szCs w:val="20"/>
        </w:rPr>
        <w:br/>
        <w:t>v nezamestnanosti</w:t>
      </w:r>
      <w:r w:rsidRPr="0045503B">
        <w:rPr>
          <w:rFonts w:ascii="Arial" w:hAnsi="Arial"/>
          <w:b/>
          <w:szCs w:val="20"/>
        </w:rPr>
        <w:tab/>
        <w:t>87 910 tis. Eur,</w:t>
      </w:r>
      <w:r w:rsidRPr="0045503B">
        <w:rPr>
          <w:rFonts w:ascii="Arial" w:hAnsi="Arial"/>
          <w:b/>
          <w:szCs w:val="20"/>
        </w:rPr>
        <w:br/>
      </w:r>
      <w:r w:rsidRPr="0045503B">
        <w:rPr>
          <w:rFonts w:ascii="Arial" w:hAnsi="Arial"/>
          <w:color w:val="000000"/>
          <w:szCs w:val="20"/>
        </w:rPr>
        <w:t xml:space="preserve">čo je 51,74 % upraveného </w:t>
      </w:r>
      <w:r w:rsidRPr="0045503B">
        <w:rPr>
          <w:rFonts w:ascii="Arial" w:hAnsi="Arial"/>
          <w:szCs w:val="20"/>
        </w:rPr>
        <w:t xml:space="preserve">rozpočtu </w:t>
      </w:r>
      <w:r w:rsidRPr="0045503B">
        <w:rPr>
          <w:rFonts w:ascii="Arial" w:hAnsi="Arial"/>
          <w:color w:val="000000"/>
          <w:szCs w:val="20"/>
        </w:rPr>
        <w:t>vo výške</w:t>
      </w:r>
      <w:r w:rsidRPr="0045503B">
        <w:rPr>
          <w:rFonts w:ascii="Arial" w:hAnsi="Arial"/>
          <w:color w:val="000000"/>
          <w:szCs w:val="20"/>
        </w:rPr>
        <w:tab/>
        <w:t>169 905 tis. Eur</w:t>
      </w:r>
      <w:r w:rsidRPr="0045503B">
        <w:rPr>
          <w:rFonts w:ascii="Arial" w:hAnsi="Arial"/>
          <w:szCs w:val="20"/>
        </w:rPr>
        <w:br/>
        <w:t>a 101,45 % časového rozpisu vo výške</w:t>
      </w:r>
      <w:r w:rsidRPr="0045503B">
        <w:rPr>
          <w:rFonts w:ascii="Arial" w:hAnsi="Arial"/>
          <w:szCs w:val="20"/>
        </w:rPr>
        <w:tab/>
        <w:t>86 651 tis. Eur.</w:t>
      </w:r>
    </w:p>
    <w:p w:rsidR="0045503B" w:rsidRPr="0045503B" w:rsidRDefault="0045503B" w:rsidP="0045503B">
      <w:pPr>
        <w:tabs>
          <w:tab w:val="decimal" w:pos="8222"/>
        </w:tabs>
        <w:spacing w:before="120"/>
        <w:ind w:firstLine="7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uvedenej sume výdavkov sú zahrnuté:</w:t>
      </w:r>
    </w:p>
    <w:p w:rsidR="0045503B" w:rsidRPr="0045503B" w:rsidRDefault="0045503B" w:rsidP="0045503B">
      <w:pPr>
        <w:numPr>
          <w:ilvl w:val="0"/>
          <w:numId w:val="5"/>
        </w:numPr>
        <w:tabs>
          <w:tab w:val="decimal" w:pos="8222"/>
        </w:tabs>
        <w:ind w:hanging="7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výdavky na dávku v nezamestnanosti</w:t>
      </w:r>
      <w:r w:rsidRPr="0045503B">
        <w:rPr>
          <w:rFonts w:ascii="Arial" w:hAnsi="Arial"/>
          <w:szCs w:val="20"/>
        </w:rPr>
        <w:tab/>
        <w:t>88 006 tis. Eur,</w:t>
      </w:r>
    </w:p>
    <w:p w:rsidR="0045503B" w:rsidRPr="0045503B" w:rsidRDefault="0045503B" w:rsidP="0045503B">
      <w:pPr>
        <w:numPr>
          <w:ilvl w:val="0"/>
          <w:numId w:val="5"/>
        </w:numPr>
        <w:tabs>
          <w:tab w:val="decimal" w:pos="8222"/>
        </w:tabs>
        <w:ind w:hanging="720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refundácia dávky v nezamestnanosti štátom v EÚ</w:t>
      </w:r>
      <w:r w:rsidRPr="0045503B">
        <w:rPr>
          <w:rFonts w:ascii="Arial" w:hAnsi="Arial"/>
          <w:szCs w:val="20"/>
        </w:rPr>
        <w:tab/>
        <w:t>8 tis. Eur,</w:t>
      </w:r>
    </w:p>
    <w:p w:rsidR="0045503B" w:rsidRPr="0045503B" w:rsidRDefault="0045503B" w:rsidP="0045503B">
      <w:pPr>
        <w:numPr>
          <w:ilvl w:val="0"/>
          <w:numId w:val="5"/>
        </w:numPr>
        <w:tabs>
          <w:tab w:val="decimal" w:pos="8222"/>
        </w:tabs>
        <w:spacing w:after="120"/>
        <w:ind w:hanging="720"/>
        <w:rPr>
          <w:rFonts w:ascii="Arial" w:hAnsi="Arial"/>
          <w:snapToGrid w:val="0"/>
          <w:szCs w:val="20"/>
        </w:rPr>
      </w:pPr>
      <w:r w:rsidRPr="0045503B">
        <w:rPr>
          <w:rFonts w:ascii="Arial" w:hAnsi="Arial"/>
          <w:snapToGrid w:val="0"/>
          <w:szCs w:val="20"/>
        </w:rPr>
        <w:t>zúčtovanie dôchodkových dávok</w:t>
      </w:r>
      <w:r w:rsidRPr="0045503B">
        <w:rPr>
          <w:rFonts w:ascii="Arial" w:hAnsi="Arial"/>
          <w:snapToGrid w:val="0"/>
          <w:szCs w:val="20"/>
        </w:rPr>
        <w:tab/>
        <w:t>-104 tis. Eur.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 porovnaní s časovým rozpisom sú výdavky základného fondu poistenia v nezamestnanosti vyššie o 1 259 tis. Eur. V porovnaní s rovnakým obdobím roka 2011 boli výdavky základného fondu poistenia v nezamestnanosti vyššie o 7 603 tis. Eur (index 109,47 %).</w:t>
      </w:r>
    </w:p>
    <w:p w:rsidR="0045503B" w:rsidRPr="0045503B" w:rsidRDefault="0045503B" w:rsidP="0045503B">
      <w:pPr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 mesiacoch január až jún 2012 bola priemerná mesačná výška dávky v nezamestnanosti na 1 poberateľa 334 Eur a priemerný mesačný počet poberateľov vyplatenej dávky bol 43 885.  </w:t>
      </w:r>
    </w:p>
    <w:p w:rsidR="0045503B" w:rsidRPr="0045503B" w:rsidRDefault="0045503B" w:rsidP="0045503B">
      <w:pPr>
        <w:numPr>
          <w:ilvl w:val="1"/>
          <w:numId w:val="9"/>
        </w:numPr>
        <w:tabs>
          <w:tab w:val="decimal" w:pos="8222"/>
        </w:tabs>
        <w:spacing w:before="240" w:after="120"/>
        <w:rPr>
          <w:rFonts w:ascii="Arial" w:hAnsi="Arial" w:cs="Arial"/>
          <w:b/>
          <w:szCs w:val="20"/>
        </w:rPr>
      </w:pPr>
      <w:r w:rsidRPr="0045503B">
        <w:rPr>
          <w:rFonts w:ascii="Arial" w:hAnsi="Arial" w:cs="Arial"/>
          <w:b/>
          <w:szCs w:val="20"/>
        </w:rPr>
        <w:t>Výdavky (náklady) správneho fondu</w:t>
      </w:r>
    </w:p>
    <w:p w:rsidR="0045503B" w:rsidRPr="0045503B" w:rsidRDefault="0045503B" w:rsidP="0045503B">
      <w:pPr>
        <w:spacing w:before="240"/>
        <w:ind w:firstLine="68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V rozpočte výdavkov (nákladov) správneho fondu v roku 2012 sa predpokladá použitie prostriedkov správneho fondu v sume </w:t>
      </w:r>
      <w:r w:rsidRPr="0045503B">
        <w:rPr>
          <w:rFonts w:ascii="Arial" w:hAnsi="Arial" w:cs="Arial"/>
          <w:b/>
          <w:szCs w:val="20"/>
        </w:rPr>
        <w:t>113 711 tis. Eur.</w:t>
      </w:r>
    </w:p>
    <w:p w:rsidR="0045503B" w:rsidRPr="0045503B" w:rsidRDefault="0045503B" w:rsidP="0045503B">
      <w:pPr>
        <w:tabs>
          <w:tab w:val="right" w:pos="8931"/>
        </w:tabs>
        <w:spacing w:before="24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>Použitie finančných prostriedkov správneho fondu za I. polrok 2012 je uvedené v nasledujúcom prehľade:</w:t>
      </w:r>
    </w:p>
    <w:p w:rsidR="0045503B" w:rsidRDefault="0045503B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Pr="0045503B" w:rsidRDefault="005B0075" w:rsidP="0045503B">
      <w:pPr>
        <w:tabs>
          <w:tab w:val="right" w:pos="8931"/>
        </w:tabs>
        <w:ind w:firstLine="720"/>
        <w:jc w:val="both"/>
        <w:rPr>
          <w:rFonts w:ascii="Arial" w:hAnsi="Arial" w:cs="Arial"/>
        </w:rPr>
      </w:pPr>
    </w:p>
    <w:p w:rsidR="005B0075" w:rsidRDefault="0045503B" w:rsidP="0045503B">
      <w:pPr>
        <w:tabs>
          <w:tab w:val="right" w:pos="8931"/>
        </w:tabs>
        <w:spacing w:before="24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45503B">
        <w:rPr>
          <w:rFonts w:ascii="Arial" w:hAnsi="Arial" w:cs="Arial"/>
          <w:sz w:val="20"/>
          <w:szCs w:val="20"/>
        </w:rPr>
        <w:t xml:space="preserve"> </w:t>
      </w:r>
    </w:p>
    <w:p w:rsidR="0045503B" w:rsidRPr="0045503B" w:rsidRDefault="0045503B" w:rsidP="0045503B">
      <w:pPr>
        <w:tabs>
          <w:tab w:val="right" w:pos="8931"/>
        </w:tabs>
        <w:spacing w:before="240" w:line="360" w:lineRule="auto"/>
        <w:ind w:firstLine="709"/>
        <w:jc w:val="center"/>
        <w:rPr>
          <w:rFonts w:ascii="Arial" w:hAnsi="Arial" w:cs="Arial"/>
          <w:sz w:val="20"/>
          <w:szCs w:val="20"/>
        </w:rPr>
      </w:pPr>
      <w:r w:rsidRPr="0045503B"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v tis. Eur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5"/>
        <w:gridCol w:w="1042"/>
        <w:gridCol w:w="1219"/>
        <w:gridCol w:w="1116"/>
        <w:gridCol w:w="1142"/>
        <w:gridCol w:w="721"/>
        <w:gridCol w:w="862"/>
      </w:tblGrid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45503B" w:rsidRPr="0045503B" w:rsidTr="00966A7D">
        <w:tc>
          <w:tcPr>
            <w:tcW w:w="31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I. polrok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45503B" w:rsidRPr="0045503B" w:rsidTr="00966A7D">
        <w:tc>
          <w:tcPr>
            <w:tcW w:w="31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na rok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na I. polrok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jún 2012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2012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45503B" w:rsidRPr="0045503B" w:rsidTr="00966A7D">
        <w:tc>
          <w:tcPr>
            <w:tcW w:w="31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2012 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2012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Bežné výdavky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110 307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55 984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8 375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51 901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47,05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92,71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v tom : </w:t>
            </w:r>
          </w:p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mzdy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52 358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26 082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4 163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24 579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46,94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94,24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poistné a príspevok do poisťovní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20 242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10 211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1 582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9 423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46,55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92,28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tovary a služby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36 194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18 759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2 541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17 191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47,50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91,64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bežné transfery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1 513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932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89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708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46,79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75,97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Kapitálové výdavky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3 404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1 676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60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494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14,51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29,47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v tom : </w:t>
            </w:r>
          </w:p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- všeobecné investície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1 429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688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60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350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24,49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50,87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- výdavky na informačno-komunikačné technológie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1 975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 988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144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7,29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14,57 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</w:tr>
      <w:tr w:rsidR="0045503B" w:rsidRPr="0045503B" w:rsidTr="00966A7D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Spolu použitie správneho fondu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113 711 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57 660 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8 435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52 395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46,08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90,87 </w:t>
            </w:r>
          </w:p>
        </w:tc>
      </w:tr>
    </w:tbl>
    <w:p w:rsidR="0045503B" w:rsidRPr="0045503B" w:rsidRDefault="0045503B" w:rsidP="0045503B">
      <w:pPr>
        <w:tabs>
          <w:tab w:val="right" w:pos="8931"/>
        </w:tabs>
        <w:spacing w:before="360" w:after="120"/>
        <w:outlineLvl w:val="0"/>
        <w:rPr>
          <w:rFonts w:ascii="Arial" w:hAnsi="Arial" w:cs="Arial"/>
          <w:szCs w:val="20"/>
        </w:rPr>
      </w:pPr>
      <w:r w:rsidRPr="0045503B">
        <w:rPr>
          <w:rFonts w:ascii="Arial" w:hAnsi="Arial" w:cs="Arial"/>
          <w:b/>
          <w:szCs w:val="20"/>
        </w:rPr>
        <w:t>3.6.1     Bežné  výdavky (náklady)</w:t>
      </w:r>
    </w:p>
    <w:p w:rsidR="0045503B" w:rsidRPr="0045503B" w:rsidRDefault="0045503B" w:rsidP="0045503B">
      <w:pPr>
        <w:tabs>
          <w:tab w:val="decimal" w:pos="8100"/>
        </w:tabs>
        <w:ind w:firstLine="709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Vynaložené finančné prostriedky správneho fondu súvisiace s krytím </w:t>
      </w:r>
      <w:r w:rsidRPr="0045503B">
        <w:rPr>
          <w:rFonts w:ascii="Arial" w:hAnsi="Arial" w:cs="Arial"/>
          <w:b/>
          <w:szCs w:val="20"/>
        </w:rPr>
        <w:t xml:space="preserve">bežných výdavkov (nákladov) </w:t>
      </w:r>
      <w:r w:rsidRPr="0045503B">
        <w:rPr>
          <w:rFonts w:ascii="Arial" w:hAnsi="Arial" w:cs="Arial"/>
          <w:szCs w:val="20"/>
        </w:rPr>
        <w:t xml:space="preserve"> boli v sume :</w:t>
      </w:r>
      <w:r w:rsidRPr="0045503B">
        <w:rPr>
          <w:rFonts w:ascii="Arial" w:hAnsi="Arial" w:cs="Arial"/>
          <w:szCs w:val="20"/>
        </w:rPr>
        <w:tab/>
      </w:r>
      <w:r w:rsidRPr="0045503B">
        <w:rPr>
          <w:rFonts w:ascii="Arial" w:hAnsi="Arial" w:cs="Arial"/>
          <w:b/>
          <w:szCs w:val="20"/>
        </w:rPr>
        <w:t xml:space="preserve"> 51 901 tis. Eur</w:t>
      </w:r>
      <w:r w:rsidRPr="0045503B">
        <w:rPr>
          <w:rFonts w:ascii="Arial" w:hAnsi="Arial" w:cs="Arial"/>
          <w:szCs w:val="20"/>
        </w:rPr>
        <w:t>,</w:t>
      </w:r>
      <w:r w:rsidRPr="0045503B">
        <w:rPr>
          <w:rFonts w:ascii="Arial" w:hAnsi="Arial" w:cs="Arial"/>
          <w:b/>
          <w:szCs w:val="20"/>
        </w:rPr>
        <w:br/>
      </w:r>
      <w:r w:rsidRPr="0045503B">
        <w:rPr>
          <w:rFonts w:ascii="Arial" w:hAnsi="Arial" w:cs="Arial"/>
          <w:szCs w:val="20"/>
        </w:rPr>
        <w:t>v tom:</w:t>
      </w:r>
    </w:p>
    <w:p w:rsidR="0045503B" w:rsidRPr="0045503B" w:rsidRDefault="0045503B" w:rsidP="0045503B">
      <w:pPr>
        <w:numPr>
          <w:ilvl w:val="0"/>
          <w:numId w:val="11"/>
        </w:numPr>
        <w:tabs>
          <w:tab w:val="decimal" w:pos="8100"/>
        </w:tabs>
        <w:ind w:left="646" w:hanging="646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ústredie  </w:t>
      </w:r>
      <w:r w:rsidRPr="0045503B">
        <w:rPr>
          <w:rFonts w:ascii="Arial" w:hAnsi="Arial" w:cs="Arial"/>
          <w:szCs w:val="20"/>
        </w:rPr>
        <w:tab/>
        <w:t xml:space="preserve">  21 722 tis. Eur,  </w:t>
      </w:r>
    </w:p>
    <w:p w:rsidR="0045503B" w:rsidRPr="0045503B" w:rsidRDefault="0045503B" w:rsidP="0045503B">
      <w:pPr>
        <w:numPr>
          <w:ilvl w:val="0"/>
          <w:numId w:val="11"/>
        </w:numPr>
        <w:tabs>
          <w:tab w:val="decimal" w:pos="8100"/>
        </w:tabs>
        <w:ind w:hanging="644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pobočky   </w:t>
      </w:r>
      <w:r w:rsidRPr="0045503B">
        <w:rPr>
          <w:rFonts w:ascii="Arial" w:hAnsi="Arial" w:cs="Arial"/>
          <w:szCs w:val="20"/>
        </w:rPr>
        <w:tab/>
        <w:t xml:space="preserve">  30 179 tis. Eur.</w:t>
      </w:r>
    </w:p>
    <w:p w:rsidR="0045503B" w:rsidRPr="0045503B" w:rsidRDefault="0045503B" w:rsidP="0045503B">
      <w:pPr>
        <w:tabs>
          <w:tab w:val="right" w:pos="8640"/>
        </w:tabs>
        <w:spacing w:before="240" w:after="120"/>
        <w:ind w:firstLine="697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color w:val="FF0000"/>
          <w:szCs w:val="20"/>
        </w:rPr>
        <w:tab/>
      </w:r>
      <w:r w:rsidRPr="0045503B">
        <w:rPr>
          <w:rFonts w:ascii="Arial" w:hAnsi="Arial" w:cs="Arial"/>
          <w:szCs w:val="20"/>
        </w:rPr>
        <w:t xml:space="preserve">Podiel bežných výdavkov (nákladov) v sume 51 901 tis. Eur na celkových použitých prostriedkov správneho fondu 52 395 tis. Eur za I. polrok 2012 je </w:t>
      </w:r>
      <w:r w:rsidRPr="0045503B">
        <w:rPr>
          <w:rFonts w:ascii="Arial" w:hAnsi="Arial" w:cs="Arial"/>
          <w:b/>
          <w:szCs w:val="20"/>
        </w:rPr>
        <w:t>99,06 %</w:t>
      </w:r>
      <w:r w:rsidRPr="0045503B">
        <w:rPr>
          <w:rFonts w:ascii="Arial" w:hAnsi="Arial" w:cs="Arial"/>
          <w:szCs w:val="20"/>
        </w:rPr>
        <w:t>.</w:t>
      </w:r>
    </w:p>
    <w:p w:rsidR="0045503B" w:rsidRPr="0045503B" w:rsidRDefault="0045503B" w:rsidP="0045503B">
      <w:pPr>
        <w:tabs>
          <w:tab w:val="left" w:pos="426"/>
        </w:tabs>
        <w:spacing w:after="120"/>
        <w:jc w:val="right"/>
        <w:rPr>
          <w:rFonts w:ascii="Arial" w:hAnsi="Arial" w:cs="Arial"/>
          <w:sz w:val="20"/>
          <w:szCs w:val="20"/>
        </w:rPr>
      </w:pPr>
      <w:r w:rsidRPr="0045503B">
        <w:rPr>
          <w:rFonts w:ascii="Arial" w:hAnsi="Arial" w:cs="Arial"/>
          <w:sz w:val="20"/>
          <w:szCs w:val="20"/>
        </w:rPr>
        <w:t>v tis. 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71"/>
        <w:gridCol w:w="1843"/>
        <w:gridCol w:w="1843"/>
        <w:gridCol w:w="1203"/>
      </w:tblGrid>
      <w:tr w:rsidR="0045503B" w:rsidRPr="0045503B" w:rsidTr="00610F11">
        <w:tc>
          <w:tcPr>
            <w:tcW w:w="2410" w:type="dxa"/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 xml:space="preserve">                 Ukazovateľ</w:t>
            </w:r>
          </w:p>
        </w:tc>
        <w:tc>
          <w:tcPr>
            <w:tcW w:w="1771" w:type="dxa"/>
            <w:vAlign w:val="center"/>
          </w:tcPr>
          <w:p w:rsidR="0045503B" w:rsidRPr="0045503B" w:rsidRDefault="0045503B" w:rsidP="005B0075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 xml:space="preserve">Ústredie, skutočnosť </w:t>
            </w:r>
          </w:p>
          <w:p w:rsidR="0045503B" w:rsidRPr="0045503B" w:rsidRDefault="0045503B" w:rsidP="005B0075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za I. polrok 2012</w:t>
            </w:r>
          </w:p>
        </w:tc>
        <w:tc>
          <w:tcPr>
            <w:tcW w:w="1843" w:type="dxa"/>
            <w:vAlign w:val="center"/>
          </w:tcPr>
          <w:p w:rsidR="0045503B" w:rsidRPr="0045503B" w:rsidRDefault="0045503B" w:rsidP="005B0075">
            <w:pPr>
              <w:tabs>
                <w:tab w:val="right" w:pos="8931"/>
              </w:tabs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 xml:space="preserve"> Pobočky, skutočnosť</w:t>
            </w:r>
          </w:p>
          <w:p w:rsidR="0045503B" w:rsidRPr="0045503B" w:rsidRDefault="0045503B" w:rsidP="005B0075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za I. polrok 2012</w:t>
            </w:r>
          </w:p>
        </w:tc>
        <w:tc>
          <w:tcPr>
            <w:tcW w:w="1843" w:type="dxa"/>
            <w:vAlign w:val="center"/>
          </w:tcPr>
          <w:p w:rsidR="0045503B" w:rsidRPr="0045503B" w:rsidRDefault="0045503B" w:rsidP="005B0075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 xml:space="preserve">Spolu skutočnosť </w:t>
            </w:r>
          </w:p>
          <w:p w:rsidR="0045503B" w:rsidRPr="0045503B" w:rsidRDefault="0045503B" w:rsidP="005B0075">
            <w:pPr>
              <w:tabs>
                <w:tab w:val="right" w:pos="8931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za I. polrok 2012</w:t>
            </w:r>
          </w:p>
        </w:tc>
        <w:tc>
          <w:tcPr>
            <w:tcW w:w="1203" w:type="dxa"/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6"/>
                <w:szCs w:val="16"/>
              </w:rPr>
              <w:t>Podiel v %</w:t>
            </w:r>
          </w:p>
        </w:tc>
      </w:tr>
      <w:tr w:rsidR="0045503B" w:rsidRPr="0045503B" w:rsidTr="00610F11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771" w:type="dxa"/>
            <w:tcBorders>
              <w:bottom w:val="single" w:sz="4" w:space="0" w:color="auto"/>
            </w:tcBorders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vAlign w:val="center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ind w:left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5503B" w:rsidRPr="0045503B" w:rsidTr="00610F11"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Bežné výdavky (náklady)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21 722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30 179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51 901</w:t>
            </w:r>
          </w:p>
        </w:tc>
        <w:tc>
          <w:tcPr>
            <w:tcW w:w="120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99,06</w:t>
            </w:r>
          </w:p>
        </w:tc>
      </w:tr>
      <w:tr w:rsidR="0045503B" w:rsidRPr="0045503B" w:rsidTr="00610F11">
        <w:tc>
          <w:tcPr>
            <w:tcW w:w="2410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Kapitálové výdavky</w:t>
            </w:r>
          </w:p>
        </w:tc>
        <w:tc>
          <w:tcPr>
            <w:tcW w:w="1771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494 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       -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   494</w:t>
            </w:r>
          </w:p>
        </w:tc>
        <w:tc>
          <w:tcPr>
            <w:tcW w:w="1203" w:type="dxa"/>
            <w:tcBorders>
              <w:top w:val="nil"/>
              <w:bottom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    0,94</w:t>
            </w:r>
          </w:p>
        </w:tc>
      </w:tr>
      <w:tr w:rsidR="0045503B" w:rsidRPr="0045503B" w:rsidTr="00610F11">
        <w:tc>
          <w:tcPr>
            <w:tcW w:w="2410" w:type="dxa"/>
            <w:tcBorders>
              <w:top w:val="nil"/>
            </w:tcBorders>
            <w:vAlign w:val="bottom"/>
          </w:tcPr>
          <w:p w:rsidR="0045503B" w:rsidRPr="0045503B" w:rsidRDefault="0045503B" w:rsidP="005B0075">
            <w:pPr>
              <w:tabs>
                <w:tab w:val="left" w:pos="426"/>
                <w:tab w:val="right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45503B">
              <w:rPr>
                <w:rFonts w:ascii="Arial" w:hAnsi="Arial" w:cs="Arial"/>
                <w:b/>
                <w:sz w:val="20"/>
                <w:szCs w:val="20"/>
              </w:rPr>
              <w:t>Správny fond spolu</w:t>
            </w:r>
          </w:p>
        </w:tc>
        <w:tc>
          <w:tcPr>
            <w:tcW w:w="1771" w:type="dxa"/>
            <w:tcBorders>
              <w:top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5503B">
              <w:rPr>
                <w:rFonts w:ascii="Arial" w:hAnsi="Arial" w:cs="Arial"/>
                <w:b/>
                <w:sz w:val="20"/>
                <w:szCs w:val="20"/>
              </w:rPr>
              <w:t xml:space="preserve">22 216 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5503B">
              <w:rPr>
                <w:rFonts w:ascii="Arial" w:hAnsi="Arial" w:cs="Arial"/>
                <w:b/>
                <w:sz w:val="20"/>
                <w:szCs w:val="20"/>
              </w:rPr>
              <w:t>30 179</w:t>
            </w:r>
          </w:p>
        </w:tc>
        <w:tc>
          <w:tcPr>
            <w:tcW w:w="1843" w:type="dxa"/>
            <w:tcBorders>
              <w:top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5503B">
              <w:rPr>
                <w:rFonts w:ascii="Arial" w:hAnsi="Arial" w:cs="Arial"/>
                <w:b/>
                <w:sz w:val="20"/>
                <w:szCs w:val="20"/>
              </w:rPr>
              <w:t>52 395</w:t>
            </w:r>
          </w:p>
        </w:tc>
        <w:tc>
          <w:tcPr>
            <w:tcW w:w="1203" w:type="dxa"/>
            <w:tcBorders>
              <w:top w:val="nil"/>
            </w:tcBorders>
            <w:vAlign w:val="bottom"/>
          </w:tcPr>
          <w:p w:rsidR="0045503B" w:rsidRPr="0045503B" w:rsidRDefault="0045503B" w:rsidP="005B0075">
            <w:pPr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5503B">
              <w:rPr>
                <w:rFonts w:ascii="Arial" w:hAnsi="Arial" w:cs="Arial"/>
                <w:b/>
                <w:sz w:val="20"/>
                <w:szCs w:val="20"/>
              </w:rPr>
              <w:t>100,00</w:t>
            </w:r>
          </w:p>
        </w:tc>
      </w:tr>
    </w:tbl>
    <w:p w:rsidR="0045503B" w:rsidRPr="0045503B" w:rsidRDefault="0045503B" w:rsidP="005B0075">
      <w:pPr>
        <w:tabs>
          <w:tab w:val="right" w:pos="709"/>
          <w:tab w:val="right" w:pos="5670"/>
          <w:tab w:val="right" w:pos="8931"/>
        </w:tabs>
        <w:rPr>
          <w:rFonts w:ascii="Arial" w:hAnsi="Arial" w:cs="Arial"/>
          <w:sz w:val="20"/>
          <w:szCs w:val="20"/>
        </w:rPr>
      </w:pPr>
    </w:p>
    <w:p w:rsidR="0045503B" w:rsidRPr="0045503B" w:rsidRDefault="0045503B" w:rsidP="0045503B">
      <w:pPr>
        <w:tabs>
          <w:tab w:val="left" w:pos="709"/>
          <w:tab w:val="right" w:pos="5670"/>
          <w:tab w:val="right" w:pos="9072"/>
        </w:tabs>
        <w:spacing w:after="120"/>
        <w:ind w:firstLine="72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Na celkovom plnení rozpočtu správneho fondu za I. polrok 2012 sa podieľali </w:t>
      </w:r>
      <w:r w:rsidRPr="0045503B">
        <w:rPr>
          <w:rFonts w:ascii="Arial" w:hAnsi="Arial" w:cs="Arial"/>
          <w:b/>
          <w:szCs w:val="20"/>
        </w:rPr>
        <w:t>osobné  náklady vo</w:t>
      </w:r>
      <w:r w:rsidRPr="0045503B">
        <w:rPr>
          <w:rFonts w:ascii="Arial" w:hAnsi="Arial" w:cs="Arial"/>
          <w:szCs w:val="20"/>
        </w:rPr>
        <w:t xml:space="preserve"> </w:t>
      </w:r>
      <w:r w:rsidRPr="0045503B">
        <w:rPr>
          <w:rFonts w:ascii="Arial" w:hAnsi="Arial" w:cs="Arial"/>
          <w:b/>
          <w:szCs w:val="20"/>
        </w:rPr>
        <w:t>výške 35</w:t>
      </w:r>
      <w:r w:rsidRPr="0045503B">
        <w:rPr>
          <w:rFonts w:ascii="Arial" w:hAnsi="Arial" w:cs="Arial"/>
          <w:b/>
          <w:color w:val="FF0000"/>
          <w:szCs w:val="20"/>
        </w:rPr>
        <w:t xml:space="preserve"> </w:t>
      </w:r>
      <w:r w:rsidRPr="0045503B">
        <w:rPr>
          <w:rFonts w:ascii="Arial" w:hAnsi="Arial" w:cs="Arial"/>
          <w:b/>
          <w:szCs w:val="20"/>
        </w:rPr>
        <w:t>884</w:t>
      </w:r>
      <w:r w:rsidRPr="0045503B">
        <w:rPr>
          <w:rFonts w:ascii="Arial" w:hAnsi="Arial" w:cs="Arial"/>
          <w:b/>
          <w:color w:val="FF0000"/>
          <w:szCs w:val="20"/>
        </w:rPr>
        <w:t xml:space="preserve"> </w:t>
      </w:r>
      <w:r w:rsidRPr="0045503B">
        <w:rPr>
          <w:rFonts w:ascii="Arial" w:hAnsi="Arial" w:cs="Arial"/>
          <w:b/>
          <w:szCs w:val="20"/>
        </w:rPr>
        <w:t xml:space="preserve">tis. Eur, </w:t>
      </w:r>
      <w:r w:rsidRPr="0045503B">
        <w:rPr>
          <w:rFonts w:ascii="Arial" w:hAnsi="Arial" w:cs="Arial"/>
          <w:szCs w:val="20"/>
        </w:rPr>
        <w:t>z toho mzdové prostriedky, poistné a príspevok do poisťovní podľa organizačných zložiek Sociálnej poisťovne boli nasledovné:</w:t>
      </w:r>
    </w:p>
    <w:p w:rsidR="0045503B" w:rsidRPr="0045503B" w:rsidRDefault="0045503B" w:rsidP="0045503B">
      <w:pPr>
        <w:tabs>
          <w:tab w:val="left" w:pos="426"/>
          <w:tab w:val="left" w:pos="709"/>
          <w:tab w:val="right" w:pos="5670"/>
          <w:tab w:val="right" w:pos="9072"/>
        </w:tabs>
        <w:spacing w:after="120"/>
        <w:ind w:left="284"/>
        <w:jc w:val="center"/>
        <w:rPr>
          <w:rFonts w:ascii="Arial" w:hAnsi="Arial" w:cs="Arial"/>
          <w:sz w:val="20"/>
          <w:szCs w:val="20"/>
        </w:rPr>
      </w:pPr>
      <w:r w:rsidRPr="0045503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v tis. Eur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4"/>
        <w:gridCol w:w="1225"/>
        <w:gridCol w:w="1225"/>
        <w:gridCol w:w="1161"/>
        <w:gridCol w:w="1048"/>
        <w:gridCol w:w="721"/>
        <w:gridCol w:w="721"/>
      </w:tblGrid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45503B" w:rsidRPr="0045503B" w:rsidTr="00966A7D"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I. polrok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45503B" w:rsidRPr="0045503B" w:rsidTr="00966A7D"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na rok 2012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na I. polrok 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jún 2012 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2012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45503B" w:rsidRPr="0045503B" w:rsidTr="00966A7D">
        <w:tc>
          <w:tcPr>
            <w:tcW w:w="2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 2012</w:t>
            </w:r>
          </w:p>
        </w:tc>
        <w:tc>
          <w:tcPr>
            <w:tcW w:w="1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7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Mzdové prostriedky spolu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52 358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26 082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4 163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24 579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46,94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94,24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v tom : - ústredie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18 615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9 382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1 283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7 593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40,79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80,93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            - pobočky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33 743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16 700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2 880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16 986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50,34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101,71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Poistné a príspevok do poisťovní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20 242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10 211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1 582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9 423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46,55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/>
                <w:bCs/>
                <w:sz w:val="18"/>
                <w:szCs w:val="18"/>
              </w:rPr>
              <w:t>92,28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v tom : - ústredie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7 127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3 620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 491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2 926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41,06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80,83</w:t>
            </w:r>
          </w:p>
        </w:tc>
      </w:tr>
      <w:tr w:rsidR="0045503B" w:rsidRPr="0045503B" w:rsidTr="00966A7D"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            - pobočky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13 115 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6 591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1 091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6 497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49,54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98,57</w:t>
            </w:r>
          </w:p>
        </w:tc>
      </w:tr>
    </w:tbl>
    <w:p w:rsidR="0045503B" w:rsidRPr="0045503B" w:rsidRDefault="0045503B" w:rsidP="0045503B">
      <w:pPr>
        <w:tabs>
          <w:tab w:val="left" w:pos="426"/>
          <w:tab w:val="left" w:pos="709"/>
          <w:tab w:val="right" w:pos="5670"/>
          <w:tab w:val="right" w:pos="9072"/>
        </w:tabs>
        <w:spacing w:after="120"/>
        <w:rPr>
          <w:rFonts w:ascii="Arial" w:hAnsi="Arial" w:cs="Arial"/>
          <w:i/>
          <w:sz w:val="20"/>
          <w:szCs w:val="20"/>
        </w:rPr>
      </w:pPr>
    </w:p>
    <w:p w:rsidR="0045503B" w:rsidRPr="0045503B" w:rsidRDefault="0045503B" w:rsidP="0045503B">
      <w:pPr>
        <w:tabs>
          <w:tab w:val="right" w:pos="8931"/>
        </w:tabs>
        <w:spacing w:before="240"/>
        <w:ind w:firstLine="720"/>
        <w:jc w:val="both"/>
        <w:rPr>
          <w:rFonts w:ascii="Arial" w:hAnsi="Arial" w:cs="Arial"/>
          <w:color w:val="FF0000"/>
          <w:szCs w:val="20"/>
        </w:rPr>
      </w:pPr>
      <w:r w:rsidRPr="0045503B">
        <w:rPr>
          <w:rFonts w:ascii="Arial" w:hAnsi="Arial" w:cs="Arial"/>
          <w:szCs w:val="20"/>
        </w:rPr>
        <w:lastRenderedPageBreak/>
        <w:t xml:space="preserve">Finančné prostriedky rozpočtované na krytie výdavkov (nákladov) správneho fondu ústredia a pobočiek spolu v rozpise rozpočtu na tovary a služby v celkovej </w:t>
      </w:r>
      <w:r w:rsidRPr="0045503B">
        <w:rPr>
          <w:rFonts w:ascii="Arial" w:hAnsi="Arial" w:cs="Arial"/>
          <w:szCs w:val="20"/>
        </w:rPr>
        <w:br/>
        <w:t xml:space="preserve">sume </w:t>
      </w:r>
      <w:r w:rsidRPr="0045503B">
        <w:rPr>
          <w:rFonts w:ascii="Arial" w:hAnsi="Arial" w:cs="Arial"/>
          <w:szCs w:val="20"/>
        </w:rPr>
        <w:tab/>
        <w:t>36 194 tis. Eur,</w:t>
      </w:r>
      <w:r w:rsidRPr="0045503B">
        <w:rPr>
          <w:rFonts w:ascii="Arial" w:hAnsi="Arial" w:cs="Arial"/>
          <w:szCs w:val="20"/>
        </w:rPr>
        <w:br/>
        <w:t xml:space="preserve">boli za I. polrok 2012 čerpané vo výške </w:t>
      </w:r>
      <w:r w:rsidRPr="0045503B">
        <w:rPr>
          <w:rFonts w:ascii="Arial" w:hAnsi="Arial" w:cs="Arial"/>
          <w:szCs w:val="20"/>
        </w:rPr>
        <w:tab/>
        <w:t>17</w:t>
      </w:r>
      <w:r w:rsidRPr="0045503B">
        <w:rPr>
          <w:rFonts w:ascii="Arial" w:hAnsi="Arial" w:cs="Arial"/>
          <w:color w:val="FF0000"/>
          <w:szCs w:val="20"/>
        </w:rPr>
        <w:t xml:space="preserve"> </w:t>
      </w:r>
      <w:r w:rsidRPr="0045503B">
        <w:rPr>
          <w:rFonts w:ascii="Arial" w:hAnsi="Arial" w:cs="Arial"/>
          <w:szCs w:val="20"/>
        </w:rPr>
        <w:t xml:space="preserve">191 tis. Eur, </w:t>
      </w:r>
      <w:r w:rsidRPr="0045503B">
        <w:rPr>
          <w:rFonts w:ascii="Arial" w:hAnsi="Arial" w:cs="Arial"/>
          <w:szCs w:val="20"/>
        </w:rPr>
        <w:br/>
        <w:t>čo je plnenie ročného rozpočtu na</w:t>
      </w:r>
      <w:r w:rsidRPr="0045503B">
        <w:rPr>
          <w:rFonts w:ascii="Arial" w:hAnsi="Arial" w:cs="Arial"/>
          <w:szCs w:val="20"/>
        </w:rPr>
        <w:tab/>
        <w:t>47,50 %,</w:t>
      </w:r>
    </w:p>
    <w:p w:rsidR="0045503B" w:rsidRPr="0045503B" w:rsidRDefault="0045503B" w:rsidP="0045503B">
      <w:pPr>
        <w:tabs>
          <w:tab w:val="right" w:pos="8931"/>
        </w:tabs>
        <w:spacing w:after="12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a časového rozpisu na I. polrok 2012</w:t>
      </w:r>
      <w:r w:rsidRPr="0045503B">
        <w:rPr>
          <w:rFonts w:ascii="Arial" w:hAnsi="Arial" w:cs="Arial"/>
          <w:szCs w:val="20"/>
        </w:rPr>
        <w:tab/>
        <w:t>91,64%.</w:t>
      </w:r>
    </w:p>
    <w:p w:rsidR="0045503B" w:rsidRPr="0045503B" w:rsidRDefault="0045503B" w:rsidP="0045503B">
      <w:pPr>
        <w:tabs>
          <w:tab w:val="right" w:pos="8931"/>
        </w:tabs>
        <w:spacing w:before="240" w:after="120"/>
        <w:ind w:firstLine="72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Finančné prostriedky rozpočtované na krytie výdavkov (nákladov) správneho   fondu ústredia a pobočiek spolu v rozpise rozpočtu na bežné transfery v celkovej </w:t>
      </w:r>
      <w:r w:rsidRPr="0045503B">
        <w:rPr>
          <w:rFonts w:ascii="Arial" w:hAnsi="Arial" w:cs="Arial"/>
          <w:szCs w:val="20"/>
        </w:rPr>
        <w:br/>
        <w:t xml:space="preserve">sume </w:t>
      </w:r>
      <w:r w:rsidRPr="0045503B">
        <w:rPr>
          <w:rFonts w:ascii="Arial" w:hAnsi="Arial" w:cs="Arial"/>
          <w:szCs w:val="20"/>
        </w:rPr>
        <w:tab/>
        <w:t>1 513 tis. Eur,</w:t>
      </w:r>
      <w:r w:rsidRPr="0045503B">
        <w:rPr>
          <w:rFonts w:ascii="Arial" w:hAnsi="Arial" w:cs="Arial"/>
          <w:szCs w:val="20"/>
        </w:rPr>
        <w:br/>
        <w:t xml:space="preserve">boli za I. polrok 2012 čerpané vo výške </w:t>
      </w:r>
      <w:r w:rsidRPr="0045503B">
        <w:rPr>
          <w:rFonts w:ascii="Arial" w:hAnsi="Arial" w:cs="Arial"/>
          <w:szCs w:val="20"/>
        </w:rPr>
        <w:tab/>
        <w:t xml:space="preserve">708 tis. Eur, </w:t>
      </w:r>
      <w:r w:rsidRPr="0045503B">
        <w:rPr>
          <w:rFonts w:ascii="Arial" w:hAnsi="Arial" w:cs="Arial"/>
          <w:szCs w:val="20"/>
        </w:rPr>
        <w:br/>
        <w:t>čo je plnenie ročného rozpočtu na</w:t>
      </w:r>
      <w:r w:rsidRPr="0045503B">
        <w:rPr>
          <w:rFonts w:ascii="Arial" w:hAnsi="Arial" w:cs="Arial"/>
          <w:szCs w:val="20"/>
        </w:rPr>
        <w:tab/>
        <w:t>46,79 %,</w:t>
      </w:r>
      <w:r w:rsidRPr="0045503B">
        <w:rPr>
          <w:rFonts w:ascii="Arial" w:hAnsi="Arial" w:cs="Arial"/>
          <w:szCs w:val="20"/>
        </w:rPr>
        <w:br/>
        <w:t xml:space="preserve">a časového rozpisu na I. polrok 2012 </w:t>
      </w:r>
      <w:r w:rsidRPr="0045503B">
        <w:rPr>
          <w:rFonts w:ascii="Arial" w:hAnsi="Arial" w:cs="Arial"/>
          <w:szCs w:val="20"/>
        </w:rPr>
        <w:tab/>
        <w:t>75,97 %.</w:t>
      </w:r>
    </w:p>
    <w:p w:rsidR="0045503B" w:rsidRPr="0045503B" w:rsidRDefault="0045503B" w:rsidP="0045503B">
      <w:pPr>
        <w:tabs>
          <w:tab w:val="right" w:pos="4536"/>
          <w:tab w:val="right" w:pos="6663"/>
          <w:tab w:val="right" w:pos="9072"/>
        </w:tabs>
        <w:spacing w:before="240"/>
        <w:ind w:firstLine="720"/>
        <w:rPr>
          <w:rFonts w:ascii="Arial" w:hAnsi="Arial" w:cs="Arial"/>
          <w:sz w:val="20"/>
          <w:szCs w:val="20"/>
        </w:rPr>
      </w:pPr>
      <w:r w:rsidRPr="0045503B">
        <w:rPr>
          <w:rFonts w:ascii="Arial" w:hAnsi="Arial" w:cs="Arial"/>
          <w:szCs w:val="20"/>
        </w:rPr>
        <w:t xml:space="preserve">Podľa vybraných </w:t>
      </w:r>
      <w:r w:rsidRPr="0045503B">
        <w:rPr>
          <w:rFonts w:ascii="Arial" w:hAnsi="Arial" w:cs="Arial"/>
          <w:b/>
          <w:szCs w:val="20"/>
        </w:rPr>
        <w:t>nákladových položiek</w:t>
      </w:r>
      <w:r w:rsidRPr="0045503B">
        <w:rPr>
          <w:rFonts w:ascii="Arial" w:hAnsi="Arial" w:cs="Arial"/>
          <w:szCs w:val="20"/>
        </w:rPr>
        <w:t xml:space="preserve"> analytického členenia bolo použitie správneho fondu takéto :</w:t>
      </w:r>
      <w:r w:rsidRPr="0045503B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r w:rsidRPr="0045503B">
        <w:rPr>
          <w:rFonts w:ascii="Arial" w:hAnsi="Arial" w:cs="Arial"/>
          <w:sz w:val="20"/>
          <w:szCs w:val="20"/>
        </w:rPr>
        <w:tab/>
      </w:r>
      <w:r w:rsidRPr="0045503B">
        <w:rPr>
          <w:rFonts w:ascii="Arial" w:hAnsi="Arial" w:cs="Arial"/>
          <w:sz w:val="20"/>
          <w:szCs w:val="20"/>
        </w:rPr>
        <w:tab/>
        <w:t xml:space="preserve"> </w:t>
      </w:r>
      <w:r w:rsidRPr="0045503B">
        <w:rPr>
          <w:rFonts w:ascii="Arial" w:hAnsi="Arial" w:cs="Arial"/>
          <w:sz w:val="20"/>
          <w:szCs w:val="20"/>
        </w:rPr>
        <w:tab/>
        <w:t>v tis. Eur</w:t>
      </w:r>
    </w:p>
    <w:tbl>
      <w:tblPr>
        <w:tblW w:w="893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1260"/>
        <w:gridCol w:w="1260"/>
        <w:gridCol w:w="1260"/>
        <w:gridCol w:w="1440"/>
        <w:gridCol w:w="837"/>
        <w:gridCol w:w="721"/>
      </w:tblGrid>
      <w:tr w:rsidR="0045503B" w:rsidRPr="0045503B" w:rsidTr="00610F11">
        <w:trPr>
          <w:trHeight w:val="37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Rozpis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Skutočnosť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Ukazovateľ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rozpočtu na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mesiac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za I. polrok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plnenia</w:t>
            </w:r>
          </w:p>
        </w:tc>
      </w:tr>
      <w:tr w:rsidR="0045503B" w:rsidRPr="0045503B" w:rsidTr="00610F11">
        <w:trPr>
          <w:trHeight w:val="246"/>
        </w:trPr>
        <w:tc>
          <w:tcPr>
            <w:tcW w:w="21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 xml:space="preserve">na rok 2012 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I. polrok 2012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jún 2012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45503B">
              <w:rPr>
                <w:rFonts w:ascii="Arial" w:hAnsi="Arial" w:cs="Arial"/>
                <w:bCs/>
                <w:sz w:val="18"/>
                <w:szCs w:val="18"/>
              </w:rPr>
              <w:t>2012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(4/1)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(4/2)</w:t>
            </w:r>
          </w:p>
        </w:tc>
      </w:tr>
      <w:tr w:rsidR="0045503B" w:rsidRPr="0045503B" w:rsidTr="00610F11">
        <w:trPr>
          <w:trHeight w:val="2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spotrebované nákupy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3 641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1 765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191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1 682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46,20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95,30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služby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26 887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14 138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1 970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13 013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48,40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92,04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osobné náklady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76 563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38 439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6 050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35 884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46,87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93,35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dane a poplatky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372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42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51,08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98,45</w:t>
            </w:r>
          </w:p>
        </w:tc>
      </w:tr>
      <w:tr w:rsidR="0045503B" w:rsidRPr="0045503B" w:rsidTr="00610F11">
        <w:trPr>
          <w:trHeight w:val="25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 - ostatné náklady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2 844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1 449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 xml:space="preserve">122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1 132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39,80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5503B">
              <w:rPr>
                <w:rFonts w:ascii="Arial" w:hAnsi="Arial" w:cs="Arial"/>
                <w:sz w:val="18"/>
                <w:szCs w:val="18"/>
              </w:rPr>
              <w:t>78,12</w:t>
            </w:r>
          </w:p>
        </w:tc>
      </w:tr>
    </w:tbl>
    <w:p w:rsidR="0045503B" w:rsidRPr="0045503B" w:rsidRDefault="0045503B" w:rsidP="0045503B">
      <w:pPr>
        <w:numPr>
          <w:ilvl w:val="2"/>
          <w:numId w:val="12"/>
        </w:numPr>
        <w:tabs>
          <w:tab w:val="right" w:pos="9180"/>
        </w:tabs>
        <w:spacing w:before="480" w:after="120"/>
        <w:jc w:val="both"/>
        <w:rPr>
          <w:rFonts w:ascii="Arial" w:hAnsi="Arial" w:cs="Arial"/>
          <w:b/>
          <w:szCs w:val="20"/>
        </w:rPr>
      </w:pPr>
      <w:r w:rsidRPr="0045503B">
        <w:rPr>
          <w:rFonts w:ascii="Arial" w:hAnsi="Arial" w:cs="Arial"/>
          <w:b/>
          <w:szCs w:val="20"/>
        </w:rPr>
        <w:t xml:space="preserve">Kapitálové výdavky </w:t>
      </w:r>
    </w:p>
    <w:p w:rsidR="0045503B" w:rsidRPr="0045503B" w:rsidRDefault="0045503B" w:rsidP="0045503B">
      <w:pPr>
        <w:tabs>
          <w:tab w:val="decimal" w:pos="8100"/>
        </w:tabs>
        <w:spacing w:before="240"/>
        <w:ind w:firstLine="72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Vynaložené finančné prostriedky správneho fondu súvisiace s krytím kapitálových výdavkov za I. polrok 2012 boli v sume</w:t>
      </w:r>
      <w:r w:rsidRPr="0045503B">
        <w:rPr>
          <w:rFonts w:ascii="Arial" w:hAnsi="Arial" w:cs="Arial"/>
          <w:szCs w:val="20"/>
        </w:rPr>
        <w:tab/>
        <w:t xml:space="preserve">  494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čo z rozpisu rozpočtu na I. polrok 2012 </w:t>
      </w:r>
      <w:r w:rsidRPr="0045503B">
        <w:rPr>
          <w:rFonts w:ascii="Arial" w:hAnsi="Arial" w:cs="Arial"/>
          <w:szCs w:val="20"/>
        </w:rPr>
        <w:tab/>
        <w:t xml:space="preserve"> 1 676 tis. Eur, </w:t>
      </w:r>
    </w:p>
    <w:p w:rsidR="0045503B" w:rsidRPr="0045503B" w:rsidRDefault="0045503B" w:rsidP="0045503B">
      <w:pPr>
        <w:tabs>
          <w:tab w:val="right" w:pos="8931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je plnenie na </w:t>
      </w:r>
      <w:r w:rsidRPr="0045503B">
        <w:rPr>
          <w:rFonts w:ascii="Arial" w:hAnsi="Arial" w:cs="Arial"/>
          <w:szCs w:val="20"/>
        </w:rPr>
        <w:tab/>
        <w:t>29,47 %,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a z rozpisu rozpočtu na rok  2012 </w:t>
      </w:r>
      <w:r w:rsidRPr="0045503B">
        <w:rPr>
          <w:rFonts w:ascii="Arial" w:hAnsi="Arial" w:cs="Arial"/>
          <w:szCs w:val="20"/>
        </w:rPr>
        <w:tab/>
        <w:t xml:space="preserve">3 404 tis. Eur, </w:t>
      </w:r>
    </w:p>
    <w:p w:rsidR="0045503B" w:rsidRPr="0045503B" w:rsidRDefault="0045503B" w:rsidP="0045503B">
      <w:pPr>
        <w:tabs>
          <w:tab w:val="right" w:pos="8931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je plnenie na </w:t>
      </w:r>
      <w:r w:rsidRPr="0045503B">
        <w:rPr>
          <w:rFonts w:ascii="Arial" w:hAnsi="Arial" w:cs="Arial"/>
          <w:szCs w:val="20"/>
        </w:rPr>
        <w:tab/>
        <w:t>14,51 %.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spacing w:before="24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ab/>
        <w:t>V kategórii kapitálových výdavkov boli čerpané finančné prostriedky nasledovne: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nákup softvéru vo výške</w:t>
      </w:r>
      <w:r w:rsidRPr="0045503B">
        <w:rPr>
          <w:rFonts w:ascii="Arial" w:hAnsi="Arial" w:cs="Arial"/>
          <w:szCs w:val="20"/>
        </w:rPr>
        <w:tab/>
        <w:t>8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nákup výpočtovej techniky vo výške</w:t>
      </w:r>
      <w:r w:rsidRPr="0045503B">
        <w:rPr>
          <w:rFonts w:ascii="Arial" w:hAnsi="Arial" w:cs="Arial"/>
          <w:szCs w:val="20"/>
        </w:rPr>
        <w:tab/>
        <w:t>136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nákup telekomunikačnej techniky vo výške</w:t>
      </w:r>
      <w:r w:rsidRPr="0045503B">
        <w:rPr>
          <w:rFonts w:ascii="Arial" w:hAnsi="Arial" w:cs="Arial"/>
          <w:szCs w:val="20"/>
        </w:rPr>
        <w:tab/>
        <w:t>6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nákup prevádzkových strojov, prístrojov vo výške</w:t>
      </w:r>
      <w:r w:rsidRPr="0045503B">
        <w:rPr>
          <w:rFonts w:ascii="Arial" w:hAnsi="Arial" w:cs="Arial"/>
          <w:szCs w:val="20"/>
        </w:rPr>
        <w:tab/>
        <w:t>153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nákup špeciálnych strojov, prístrojov vo výške</w:t>
      </w:r>
      <w:r w:rsidRPr="0045503B">
        <w:rPr>
          <w:rFonts w:ascii="Arial" w:hAnsi="Arial" w:cs="Arial"/>
          <w:szCs w:val="20"/>
        </w:rPr>
        <w:tab/>
        <w:t>23 tis. Eur,</w:t>
      </w:r>
    </w:p>
    <w:p w:rsidR="0045503B" w:rsidRP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- na položke prípravná a projektová dokumentácia vo výške </w:t>
      </w:r>
      <w:r w:rsidRPr="0045503B">
        <w:rPr>
          <w:rFonts w:ascii="Arial" w:hAnsi="Arial" w:cs="Arial"/>
          <w:szCs w:val="20"/>
        </w:rPr>
        <w:tab/>
        <w:t>12 tis. Eur,</w:t>
      </w:r>
    </w:p>
    <w:p w:rsidR="0045503B" w:rsidRDefault="0045503B" w:rsidP="0045503B">
      <w:pPr>
        <w:tabs>
          <w:tab w:val="decimal" w:pos="8100"/>
          <w:tab w:val="right" w:pos="9180"/>
        </w:tabs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na položke realizácia stavieb a ich technické zhodnotenie vo výške</w:t>
      </w:r>
      <w:r w:rsidRPr="0045503B">
        <w:rPr>
          <w:rFonts w:ascii="Arial" w:hAnsi="Arial" w:cs="Arial"/>
          <w:szCs w:val="20"/>
        </w:rPr>
        <w:tab/>
        <w:t xml:space="preserve">156 tis. Eur. </w:t>
      </w:r>
    </w:p>
    <w:p w:rsidR="0045503B" w:rsidRPr="0045503B" w:rsidRDefault="0045503B" w:rsidP="0045503B">
      <w:pPr>
        <w:tabs>
          <w:tab w:val="left" w:pos="720"/>
          <w:tab w:val="decimal" w:pos="8222"/>
        </w:tabs>
        <w:spacing w:before="480" w:after="120"/>
        <w:jc w:val="both"/>
        <w:rPr>
          <w:rFonts w:ascii="Arial" w:hAnsi="Arial"/>
          <w:b/>
          <w:sz w:val="28"/>
          <w:szCs w:val="28"/>
        </w:rPr>
      </w:pPr>
      <w:r w:rsidRPr="0045503B">
        <w:rPr>
          <w:rFonts w:ascii="Arial" w:hAnsi="Arial"/>
          <w:b/>
          <w:sz w:val="28"/>
          <w:szCs w:val="28"/>
        </w:rPr>
        <w:t>4.</w:t>
      </w:r>
      <w:r w:rsidRPr="0045503B">
        <w:rPr>
          <w:rFonts w:ascii="Arial" w:hAnsi="Arial"/>
          <w:b/>
          <w:sz w:val="28"/>
          <w:szCs w:val="28"/>
        </w:rPr>
        <w:tab/>
        <w:t>Výdavky na dávky, ktoré hradí štát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lastRenderedPageBreak/>
        <w:t xml:space="preserve">Na výplatu dávok, ktoré uhrádza štát podľa § 168a a § 285 písm. a) až m) zákona o sociálnom poistení, poukázalo MPSVR SR Sociálnej poisťovni v hodnotenom období finančné prostriedky v sume </w:t>
      </w:r>
      <w:r w:rsidRPr="0045503B">
        <w:rPr>
          <w:rFonts w:ascii="Arial" w:hAnsi="Arial"/>
          <w:szCs w:val="20"/>
        </w:rPr>
        <w:tab/>
        <w:t>23 169 tis. Eur.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Tieto dávky boli vyplatené v sume</w:t>
      </w:r>
      <w:r w:rsidRPr="0045503B">
        <w:rPr>
          <w:rFonts w:ascii="Arial" w:hAnsi="Arial"/>
          <w:szCs w:val="20"/>
        </w:rPr>
        <w:tab/>
        <w:t>24 178 tis. Eur,</w:t>
      </w:r>
      <w:r w:rsidRPr="0045503B">
        <w:rPr>
          <w:rFonts w:ascii="Arial" w:hAnsi="Arial"/>
          <w:szCs w:val="20"/>
        </w:rPr>
        <w:br/>
        <w:t xml:space="preserve">čo zo schváleného rozpočtu na rok 2012 v sume </w:t>
      </w:r>
      <w:r w:rsidRPr="0045503B">
        <w:rPr>
          <w:rFonts w:ascii="Arial" w:hAnsi="Arial"/>
          <w:szCs w:val="20"/>
        </w:rPr>
        <w:tab/>
        <w:t>44 847 tis. Eur</w:t>
      </w:r>
      <w:r w:rsidRPr="0045503B">
        <w:rPr>
          <w:rFonts w:ascii="Arial" w:hAnsi="Arial"/>
          <w:szCs w:val="20"/>
        </w:rPr>
        <w:br/>
        <w:t>predstavuje plnenie na 53,91 %.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Súčasťou dávok, ktoré hradí štát sú tiež výdavky na vianočný príspevok a náklady spojené s jeho výplatou, ktoré boli v hodnotenom období vyplatené v sume 1 024 tis. Eur a výdavky na príplatok k dôchodku politickým väzňom a náklady spojené s jeho výplatou, ktoré predstavovali sumu 1 534 tis. Eur.</w:t>
      </w:r>
    </w:p>
    <w:p w:rsidR="0045503B" w:rsidRPr="0045503B" w:rsidRDefault="0045503B" w:rsidP="0045503B">
      <w:pPr>
        <w:tabs>
          <w:tab w:val="center" w:pos="-3119"/>
        </w:tabs>
        <w:spacing w:before="240" w:after="120"/>
        <w:ind w:firstLine="709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Z rozdielu príjmov a výdavkov v hodnotenom období vyplýva pohľadávka Sociálnej poisťovne voči MPSVR SR v sume 1 009 tis. Eur. V zmysle Zmluvy o poukazovaní rozpočtových prostriedkov, ktoré poskytuje štát na úhradu nákladov na plnenia podľa § 168a a § 285 ods. písm. a) až m) zákona o sociálnom poistení a o ich zúčtovaní sa pohľadávka </w:t>
      </w:r>
      <w:proofErr w:type="spellStart"/>
      <w:r w:rsidRPr="0045503B">
        <w:rPr>
          <w:rFonts w:ascii="Arial" w:hAnsi="Arial"/>
          <w:szCs w:val="20"/>
        </w:rPr>
        <w:t>vysporiada</w:t>
      </w:r>
      <w:proofErr w:type="spellEnd"/>
      <w:r w:rsidRPr="0045503B">
        <w:rPr>
          <w:rFonts w:ascii="Arial" w:hAnsi="Arial"/>
          <w:szCs w:val="20"/>
        </w:rPr>
        <w:t xml:space="preserve"> pri poukazovaní zálohy na nasledujúci mesiac.  </w:t>
      </w:r>
    </w:p>
    <w:p w:rsidR="0045503B" w:rsidRPr="0045503B" w:rsidRDefault="0045503B" w:rsidP="0045503B">
      <w:pPr>
        <w:spacing w:before="240" w:after="120"/>
        <w:ind w:firstLine="708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Od 1. septembra 2009 vypláca Sociálna poisťovňa ďalšiu dávku, ktorú uhrádza štát. Ide o p</w:t>
      </w:r>
      <w:r w:rsidRPr="0045503B">
        <w:rPr>
          <w:rFonts w:ascii="Arial" w:hAnsi="Arial" w:cs="Arial"/>
          <w:bCs/>
        </w:rPr>
        <w:t xml:space="preserve">ríspevok účastníkom národného boja za oslobodenie a vdovám a vdovcom po týchto osobách (ďalej len „príspevok“) podľa § 285 písm. n) zákona o sociálnom poistení v znení </w:t>
      </w:r>
      <w:hyperlink r:id="rId13" w:tgtFrame="_blank" w:history="1">
        <w:r w:rsidRPr="0045503B">
          <w:rPr>
            <w:rFonts w:ascii="Arial" w:hAnsi="Arial" w:cs="Arial"/>
            <w:bCs/>
          </w:rPr>
          <w:t>zákona č. 285/2009 Z. z o poskytovaní príspevku účastníkom národného boja za oslobodenie a vdovám a vdovcom po týchto osobách a o zmene a doplnení niektorých zákonov.</w:t>
        </w:r>
      </w:hyperlink>
      <w:r w:rsidRPr="0045503B">
        <w:rPr>
          <w:rFonts w:ascii="Arial" w:hAnsi="Arial" w:cs="Arial"/>
          <w:bCs/>
        </w:rPr>
        <w:t xml:space="preserve"> </w:t>
      </w:r>
      <w:r w:rsidRPr="0045503B">
        <w:rPr>
          <w:rFonts w:ascii="Arial" w:hAnsi="Arial"/>
          <w:szCs w:val="20"/>
        </w:rPr>
        <w:t>F</w:t>
      </w:r>
      <w:r w:rsidRPr="0045503B">
        <w:rPr>
          <w:rFonts w:ascii="Arial" w:hAnsi="Arial" w:cs="Arial"/>
          <w:bCs/>
        </w:rPr>
        <w:t xml:space="preserve">inančné prostriedky poukazuje Sociálnej poisťovni Ministerstvo obrany Slovenskej republiky (MO SR) v mesačnej periodicite na základe vyčíslenia sumy, ktorá bola vyplatená na príspevok a na úhradu výdavkov spojených s jeho výplatou. </w:t>
      </w:r>
    </w:p>
    <w:p w:rsidR="0045503B" w:rsidRPr="0045503B" w:rsidRDefault="0045503B" w:rsidP="0045503B">
      <w:pPr>
        <w:tabs>
          <w:tab w:val="left" w:pos="7560"/>
        </w:tabs>
        <w:spacing w:before="240" w:after="120"/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Výdavky na príspevok a na úhradu výdavkov spojených s jeho výplatou boli v hodnotenom období vyčíslené v sume 935 tis. Eur. MO SR Sociálnej poisťovni v hodnotenom období poukázalo finančné prostriedky na výdavky, ktoré sa viažu k hodnotenému obdobiu roka 2012 v sume 631 tis. Eur. Záväzok MO SR voči Sociálnej poisťovni v sume 304 tis. Eur bude vyrovnaný v nasledujúcom období. </w:t>
      </w:r>
    </w:p>
    <w:p w:rsidR="0045503B" w:rsidRPr="0045503B" w:rsidRDefault="0045503B" w:rsidP="0045503B">
      <w:pPr>
        <w:widowControl w:val="0"/>
        <w:tabs>
          <w:tab w:val="left" w:pos="709"/>
        </w:tabs>
        <w:spacing w:before="240" w:after="120"/>
        <w:jc w:val="both"/>
        <w:rPr>
          <w:rFonts w:ascii="Arial" w:hAnsi="Arial"/>
          <w:b/>
          <w:sz w:val="28"/>
          <w:szCs w:val="28"/>
        </w:rPr>
      </w:pPr>
      <w:r w:rsidRPr="0045503B">
        <w:rPr>
          <w:rFonts w:ascii="Arial" w:hAnsi="Arial"/>
          <w:b/>
          <w:sz w:val="28"/>
          <w:szCs w:val="28"/>
        </w:rPr>
        <w:t>5.</w:t>
      </w:r>
      <w:r w:rsidRPr="0045503B">
        <w:rPr>
          <w:rFonts w:ascii="Arial" w:hAnsi="Arial"/>
          <w:b/>
          <w:sz w:val="28"/>
          <w:szCs w:val="28"/>
        </w:rPr>
        <w:tab/>
        <w:t>Záver</w:t>
      </w:r>
    </w:p>
    <w:p w:rsidR="0045503B" w:rsidRDefault="0045503B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  <w:r w:rsidRPr="0045503B">
        <w:rPr>
          <w:rFonts w:ascii="Arial" w:hAnsi="Arial" w:cs="Arial"/>
        </w:rPr>
        <w:t xml:space="preserve">Z porovnania skutočných príjmov a výdavkov Sociálnej poisťovne </w:t>
      </w:r>
      <w:r w:rsidRPr="0045503B">
        <w:rPr>
          <w:rFonts w:ascii="Arial" w:hAnsi="Arial" w:cs="Arial"/>
        </w:rPr>
        <w:br/>
        <w:t>k 30. júnu 2012 vyplývajú takéto bilančné rozdiely v hospodárení Sociálnej poisťovne podľa jednotlivých fondov:</w:t>
      </w:r>
    </w:p>
    <w:p w:rsidR="005B0075" w:rsidRDefault="005B0075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</w:p>
    <w:p w:rsidR="00966A7D" w:rsidRDefault="00966A7D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</w:p>
    <w:p w:rsidR="005B0075" w:rsidRDefault="005B0075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</w:p>
    <w:p w:rsidR="005B0075" w:rsidRPr="0045503B" w:rsidRDefault="005B0075" w:rsidP="0045503B">
      <w:pPr>
        <w:widowControl w:val="0"/>
        <w:tabs>
          <w:tab w:val="left" w:pos="709"/>
        </w:tabs>
        <w:spacing w:before="240" w:after="120"/>
        <w:ind w:firstLine="720"/>
        <w:jc w:val="both"/>
        <w:rPr>
          <w:rFonts w:ascii="Arial" w:hAnsi="Arial" w:cs="Arial"/>
        </w:rPr>
      </w:pPr>
    </w:p>
    <w:tbl>
      <w:tblPr>
        <w:tblW w:w="902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1160"/>
        <w:gridCol w:w="1320"/>
        <w:gridCol w:w="1386"/>
        <w:gridCol w:w="1030"/>
      </w:tblGrid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v tis. Eur</w:t>
            </w:r>
          </w:p>
        </w:tc>
      </w:tr>
      <w:tr w:rsidR="0045503B" w:rsidRPr="0045503B" w:rsidTr="00610F11">
        <w:trPr>
          <w:trHeight w:val="102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Fond 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Bilančný rozdiel v bežnom roku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Prevod zostatku z roku 2011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 xml:space="preserve">Krytie deficitu  v dôchodkovom poistení 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Bilančný rozdiel k 30.6.2012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nemocenského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-28 448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46 289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17 841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starobného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-448 380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267 428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320 000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139 048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invalidného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31 540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68 819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-60 000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40 359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úrazového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42 538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26 287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68 825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garančného poistenia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5 859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49 398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55 257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Základný fond poistenia v nezamestnanosti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52 103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38 735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90 838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Rezervný fond solidarity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370 671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16 399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-260 000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127 070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Správny fond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4 940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43 526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48 466</w:t>
            </w:r>
          </w:p>
        </w:tc>
      </w:tr>
      <w:tr w:rsidR="0045503B" w:rsidRPr="0045503B" w:rsidTr="00610F11">
        <w:trPr>
          <w:trHeight w:val="25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Spolu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30 823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556 881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5503B">
              <w:rPr>
                <w:rFonts w:ascii="Arial" w:hAnsi="Arial" w:cs="Arial"/>
                <w:sz w:val="20"/>
                <w:szCs w:val="20"/>
              </w:rPr>
              <w:t>587 704</w:t>
            </w:r>
          </w:p>
        </w:tc>
      </w:tr>
    </w:tbl>
    <w:p w:rsidR="0045503B" w:rsidRPr="0045503B" w:rsidRDefault="0045503B" w:rsidP="0045503B">
      <w:pPr>
        <w:widowControl w:val="0"/>
        <w:tabs>
          <w:tab w:val="left" w:pos="709"/>
        </w:tabs>
        <w:spacing w:after="120"/>
        <w:jc w:val="both"/>
        <w:rPr>
          <w:rFonts w:ascii="Arial" w:hAnsi="Arial" w:cs="Arial"/>
        </w:rPr>
      </w:pPr>
    </w:p>
    <w:p w:rsidR="0045503B" w:rsidRPr="0045503B" w:rsidRDefault="0045503B" w:rsidP="0045503B">
      <w:pPr>
        <w:tabs>
          <w:tab w:val="decimal" w:pos="8100"/>
        </w:tabs>
        <w:spacing w:after="120"/>
        <w:ind w:right="-159" w:firstLine="720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Hospodárenie Sociálnej poisťovne v sledovanom období skončilo s lepším výsledkom o 154 030 tis. Eur, ako sa predpokladalo v časovom rozpise. </w:t>
      </w:r>
    </w:p>
    <w:p w:rsidR="0045503B" w:rsidRPr="0045503B" w:rsidRDefault="0045503B" w:rsidP="0045503B">
      <w:pPr>
        <w:tabs>
          <w:tab w:val="decimal" w:pos="8100"/>
        </w:tabs>
        <w:spacing w:after="120"/>
        <w:ind w:right="-159"/>
        <w:jc w:val="center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x  </w:t>
      </w:r>
      <w:proofErr w:type="spellStart"/>
      <w:r w:rsidRPr="0045503B">
        <w:rPr>
          <w:rFonts w:ascii="Arial" w:hAnsi="Arial" w:cs="Arial"/>
          <w:szCs w:val="20"/>
        </w:rPr>
        <w:t>x</w:t>
      </w:r>
      <w:proofErr w:type="spellEnd"/>
      <w:r w:rsidRPr="0045503B">
        <w:rPr>
          <w:rFonts w:ascii="Arial" w:hAnsi="Arial" w:cs="Arial"/>
          <w:szCs w:val="20"/>
        </w:rPr>
        <w:t xml:space="preserve">  </w:t>
      </w:r>
      <w:proofErr w:type="spellStart"/>
      <w:r w:rsidRPr="0045503B">
        <w:rPr>
          <w:rFonts w:ascii="Arial" w:hAnsi="Arial" w:cs="Arial"/>
          <w:szCs w:val="20"/>
        </w:rPr>
        <w:t>x</w:t>
      </w:r>
      <w:proofErr w:type="spellEnd"/>
    </w:p>
    <w:p w:rsidR="0045503B" w:rsidRPr="0045503B" w:rsidRDefault="0045503B" w:rsidP="0045503B">
      <w:pPr>
        <w:jc w:val="center"/>
        <w:rPr>
          <w:rFonts w:ascii="Arial" w:hAnsi="Arial" w:cs="Arial"/>
          <w:b/>
          <w:szCs w:val="20"/>
        </w:rPr>
      </w:pPr>
      <w:r w:rsidRPr="0045503B">
        <w:rPr>
          <w:rFonts w:ascii="Arial" w:hAnsi="Arial" w:cs="Arial"/>
          <w:b/>
          <w:szCs w:val="20"/>
        </w:rPr>
        <w:t>Informácia o príspevkoch na SDS v mesiacoch január až jún 2012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Sociálna poisťovňa vybrala príspevky na SDS vo výške</w:t>
      </w:r>
      <w:r w:rsidRPr="0045503B">
        <w:rPr>
          <w:rFonts w:ascii="Arial" w:hAnsi="Arial" w:cs="Arial"/>
          <w:szCs w:val="20"/>
        </w:rPr>
        <w:tab/>
        <w:t>427 532 tis. Eur,</w:t>
      </w:r>
      <w:r w:rsidRPr="0045503B">
        <w:rPr>
          <w:rFonts w:ascii="Arial" w:hAnsi="Arial" w:cs="Arial"/>
          <w:szCs w:val="20"/>
        </w:rPr>
        <w:br/>
        <w:t>čo je 49,67 % v roku 2012 predpokladanej sumy</w:t>
      </w:r>
      <w:r w:rsidRPr="0045503B">
        <w:rPr>
          <w:rFonts w:ascii="Arial" w:hAnsi="Arial" w:cs="Arial"/>
          <w:szCs w:val="20"/>
        </w:rPr>
        <w:tab/>
        <w:t>860 816 tis. Eur.</w:t>
      </w:r>
    </w:p>
    <w:p w:rsidR="0045503B" w:rsidRPr="0045503B" w:rsidRDefault="0045503B" w:rsidP="0045503B">
      <w:pPr>
        <w:tabs>
          <w:tab w:val="decimal" w:pos="8280"/>
          <w:tab w:val="decimal" w:pos="9000"/>
        </w:tabs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DSS boli za EAO postúpené príspevky na SDS v sume</w:t>
      </w:r>
      <w:r w:rsidRPr="0045503B">
        <w:rPr>
          <w:rFonts w:ascii="Arial" w:hAnsi="Arial" w:cs="Arial"/>
          <w:szCs w:val="20"/>
        </w:rPr>
        <w:tab/>
      </w:r>
      <w:r w:rsidRPr="0045503B">
        <w:rPr>
          <w:rFonts w:ascii="Arial" w:hAnsi="Arial" w:cs="Arial"/>
          <w:b/>
          <w:szCs w:val="20"/>
        </w:rPr>
        <w:t>396 757 tis. Eur</w:t>
      </w:r>
      <w:r w:rsidRPr="0045503B">
        <w:rPr>
          <w:rFonts w:ascii="Arial" w:hAnsi="Arial" w:cs="Arial"/>
          <w:szCs w:val="20"/>
        </w:rPr>
        <w:t>,</w:t>
      </w:r>
      <w:r w:rsidRPr="0045503B">
        <w:rPr>
          <w:rFonts w:ascii="Arial" w:hAnsi="Arial" w:cs="Arial"/>
          <w:szCs w:val="20"/>
        </w:rPr>
        <w:br/>
        <w:t>čo je 50,26 % v roku 2012 predpokladanej sumy</w:t>
      </w:r>
      <w:r w:rsidRPr="0045503B">
        <w:rPr>
          <w:rFonts w:ascii="Arial" w:hAnsi="Arial" w:cs="Arial"/>
          <w:szCs w:val="20"/>
        </w:rPr>
        <w:tab/>
        <w:t>789 378 tis. Eur.</w:t>
      </w:r>
      <w:r w:rsidRPr="0045503B">
        <w:rPr>
          <w:rFonts w:ascii="Arial" w:hAnsi="Arial" w:cs="Arial"/>
          <w:szCs w:val="20"/>
        </w:rPr>
        <w:br/>
        <w:t>V tom príspevky na SDS za:</w:t>
      </w:r>
    </w:p>
    <w:p w:rsidR="0045503B" w:rsidRPr="0045503B" w:rsidRDefault="0045503B" w:rsidP="0045503B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zamestnancov</w:t>
      </w:r>
      <w:r w:rsidRPr="0045503B">
        <w:rPr>
          <w:rFonts w:ascii="Arial" w:hAnsi="Arial" w:cs="Arial"/>
          <w:szCs w:val="20"/>
        </w:rPr>
        <w:tab/>
        <w:t>372 089 tis. Eur,</w:t>
      </w:r>
    </w:p>
    <w:p w:rsidR="0045503B" w:rsidRPr="0045503B" w:rsidRDefault="0045503B" w:rsidP="0045503B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SZČO</w:t>
      </w:r>
      <w:r w:rsidRPr="0045503B">
        <w:rPr>
          <w:rFonts w:ascii="Arial" w:hAnsi="Arial" w:cs="Arial"/>
          <w:szCs w:val="20"/>
        </w:rPr>
        <w:tab/>
        <w:t>23 466 tis. Eur,</w:t>
      </w:r>
    </w:p>
    <w:p w:rsidR="0045503B" w:rsidRPr="0045503B" w:rsidRDefault="0045503B" w:rsidP="0045503B">
      <w:pPr>
        <w:tabs>
          <w:tab w:val="decimal" w:pos="8280"/>
        </w:tabs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- DPO</w:t>
      </w:r>
      <w:r w:rsidRPr="0045503B">
        <w:rPr>
          <w:rFonts w:ascii="Arial" w:hAnsi="Arial" w:cs="Arial"/>
          <w:szCs w:val="20"/>
        </w:rPr>
        <w:tab/>
        <w:t>1 202 tis. Eur.</w:t>
      </w:r>
    </w:p>
    <w:p w:rsidR="0045503B" w:rsidRP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ab/>
        <w:t>Príspevky na SDS uhradené zo základného fondu garančného poistenia boli postúpené v sume</w:t>
      </w:r>
      <w:r w:rsidRPr="0045503B">
        <w:rPr>
          <w:rFonts w:ascii="Arial" w:hAnsi="Arial" w:cs="Arial"/>
          <w:szCs w:val="20"/>
        </w:rPr>
        <w:tab/>
      </w:r>
      <w:r w:rsidRPr="0045503B">
        <w:rPr>
          <w:rFonts w:ascii="Arial" w:hAnsi="Arial" w:cs="Arial"/>
          <w:b/>
          <w:szCs w:val="20"/>
        </w:rPr>
        <w:t>13 999 tis. Eur</w:t>
      </w:r>
      <w:r w:rsidRPr="0045503B">
        <w:rPr>
          <w:rFonts w:ascii="Arial" w:hAnsi="Arial" w:cs="Arial"/>
          <w:szCs w:val="20"/>
        </w:rPr>
        <w:t>.</w:t>
      </w:r>
    </w:p>
    <w:p w:rsidR="0045503B" w:rsidRPr="0045503B" w:rsidRDefault="0045503B" w:rsidP="0045503B">
      <w:pPr>
        <w:tabs>
          <w:tab w:val="decimal" w:pos="7740"/>
        </w:tabs>
        <w:spacing w:before="12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Príspevky na SDS za sporiteľov štátu boli postúpené v sume </w:t>
      </w:r>
      <w:r w:rsidRPr="0045503B">
        <w:rPr>
          <w:rFonts w:ascii="Arial" w:hAnsi="Arial" w:cs="Arial"/>
          <w:b/>
          <w:szCs w:val="20"/>
        </w:rPr>
        <w:t xml:space="preserve"> 28 420 tis. Eur,</w:t>
      </w:r>
      <w:r w:rsidRPr="0045503B">
        <w:rPr>
          <w:rFonts w:ascii="Arial" w:hAnsi="Arial" w:cs="Arial"/>
          <w:b/>
          <w:szCs w:val="20"/>
        </w:rPr>
        <w:br/>
      </w:r>
      <w:r w:rsidRPr="0045503B">
        <w:rPr>
          <w:rFonts w:ascii="Arial" w:hAnsi="Arial" w:cs="Arial"/>
          <w:szCs w:val="20"/>
        </w:rPr>
        <w:t>čo je 42,48 % v roku 2012 predpokladanej sumy</w:t>
      </w:r>
      <w:r w:rsidRPr="0045503B">
        <w:rPr>
          <w:rFonts w:ascii="Arial" w:hAnsi="Arial" w:cs="Arial"/>
          <w:szCs w:val="20"/>
        </w:rPr>
        <w:tab/>
        <w:t xml:space="preserve">                                  66 900 tis. Eur.</w:t>
      </w:r>
    </w:p>
    <w:p w:rsidR="0045503B" w:rsidRPr="0045503B" w:rsidRDefault="0045503B" w:rsidP="0045503B">
      <w:pPr>
        <w:tabs>
          <w:tab w:val="decimal" w:pos="8280"/>
        </w:tabs>
        <w:spacing w:before="12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Sociálna poisťovňa postúpila príspevky na SDS za sporiteľov, ktorí sa stali poberateľmi úrazovej renty a doplatky za poberateľov invalidného dôchodku (za predchádzajúce obdobia) v sume</w:t>
      </w:r>
      <w:r w:rsidRPr="0045503B">
        <w:rPr>
          <w:rFonts w:ascii="Arial" w:hAnsi="Arial" w:cs="Arial"/>
          <w:szCs w:val="20"/>
        </w:rPr>
        <w:tab/>
      </w:r>
      <w:r w:rsidRPr="0045503B">
        <w:rPr>
          <w:rFonts w:ascii="Arial" w:hAnsi="Arial" w:cs="Arial"/>
          <w:b/>
          <w:szCs w:val="20"/>
        </w:rPr>
        <w:t>148 tis. Eur.</w:t>
      </w:r>
    </w:p>
    <w:p w:rsidR="0045503B" w:rsidRPr="0045503B" w:rsidRDefault="0045503B" w:rsidP="0045503B">
      <w:pPr>
        <w:spacing w:before="12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V hodnotenom období boli postúpené príspevky na SDS v celkovej sume  </w:t>
      </w:r>
      <w:r w:rsidRPr="0045503B">
        <w:rPr>
          <w:rFonts w:ascii="Arial" w:hAnsi="Arial" w:cs="Arial"/>
          <w:b/>
          <w:szCs w:val="20"/>
        </w:rPr>
        <w:t>439 324 tis. Eur</w:t>
      </w:r>
      <w:r w:rsidRPr="0045503B">
        <w:rPr>
          <w:rFonts w:ascii="Arial" w:hAnsi="Arial" w:cs="Arial"/>
          <w:szCs w:val="20"/>
        </w:rPr>
        <w:t>, čo je v porovnaní s rovnakým obdobím minulého roka (398 043 tis. Eur) viac o 41 281 tis. Eur.</w:t>
      </w:r>
    </w:p>
    <w:p w:rsidR="0045503B" w:rsidRDefault="0045503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Ku koncu júna 2012  evidovala  Sociálna poisťovňa</w:t>
      </w:r>
      <w:r w:rsidRPr="0045503B">
        <w:rPr>
          <w:rFonts w:ascii="Arial" w:hAnsi="Arial" w:cs="Arial"/>
          <w:szCs w:val="20"/>
        </w:rPr>
        <w:tab/>
        <w:t xml:space="preserve"> 1 454 328 sporiteľov, čo predstavuje od začiatku tohto roka prírastok 3 623 sporiteľov. Prehľad o štruktúre sporiteľov vyjadruje nasledovná tabuľka:</w:t>
      </w:r>
    </w:p>
    <w:p w:rsidR="00A36DBB" w:rsidRDefault="00A36DB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</w:p>
    <w:p w:rsidR="00A36DBB" w:rsidRDefault="00A36DB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</w:p>
    <w:p w:rsidR="00A36DBB" w:rsidRPr="0045503B" w:rsidRDefault="00A36DBB" w:rsidP="0045503B">
      <w:pPr>
        <w:tabs>
          <w:tab w:val="decimal" w:pos="8280"/>
        </w:tabs>
        <w:spacing w:before="240" w:after="120"/>
        <w:ind w:firstLine="709"/>
        <w:jc w:val="both"/>
        <w:rPr>
          <w:rFonts w:ascii="Arial" w:hAnsi="Arial" w:cs="Arial"/>
          <w:szCs w:val="20"/>
        </w:rPr>
      </w:pPr>
    </w:p>
    <w:tbl>
      <w:tblPr>
        <w:tblW w:w="0" w:type="auto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"/>
        <w:gridCol w:w="6656"/>
        <w:gridCol w:w="1779"/>
      </w:tblGrid>
      <w:tr w:rsidR="0045503B" w:rsidRPr="0045503B" w:rsidTr="00610F11"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zamestnanci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930 159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SZČO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124 306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 xml:space="preserve">dobrovoľne dôchodkovo poistené osoby 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7 113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sporitelia, za ktorých platí príspevky na SDS štát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125 820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v tom: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 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osoba  starajúca sa o dieťa do 6 rokov veku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107 709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osoba, ktorá sa stará o dieťa s nepriaznivým zdravotným stavom  do 18 rokov veku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1 317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osoba  poberajúca peňažný príspevok  za opatrovanie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6 080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osoba, ktorá vykonávajúca osobnú asistenciu fyzickej osoby s ťažkým zdravotným postihnutím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202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numPr>
                <w:ilvl w:val="0"/>
                <w:numId w:val="22"/>
              </w:numPr>
              <w:ind w:left="472" w:hanging="28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osoba, ktorej sa poskytuje materské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5503B">
              <w:rPr>
                <w:rFonts w:ascii="Arial" w:hAnsi="Arial" w:cs="Arial"/>
                <w:sz w:val="22"/>
                <w:szCs w:val="22"/>
              </w:rPr>
              <w:t>10 512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 xml:space="preserve">sporitelia, za ktorých platí príspevky na SDS Sociálna poisťovňa 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35 693</w:t>
            </w:r>
          </w:p>
        </w:tc>
      </w:tr>
      <w:tr w:rsidR="0045503B" w:rsidRPr="0045503B" w:rsidTr="00610F11">
        <w:tc>
          <w:tcPr>
            <w:tcW w:w="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5503B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6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sporitelia bez poistenia a sporitelia, za ktorých neboli postúpené príspevky na SDS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03B" w:rsidRPr="0045503B" w:rsidRDefault="0045503B" w:rsidP="0045503B">
            <w:pPr>
              <w:jc w:val="right"/>
              <w:rPr>
                <w:rFonts w:ascii="Arial" w:hAnsi="Arial" w:cs="Arial"/>
                <w:bCs/>
                <w:sz w:val="22"/>
                <w:szCs w:val="22"/>
              </w:rPr>
            </w:pPr>
            <w:r w:rsidRPr="0045503B">
              <w:rPr>
                <w:rFonts w:ascii="Arial" w:hAnsi="Arial" w:cs="Arial"/>
                <w:bCs/>
                <w:sz w:val="22"/>
                <w:szCs w:val="22"/>
              </w:rPr>
              <w:t>231 237</w:t>
            </w:r>
          </w:p>
        </w:tc>
      </w:tr>
    </w:tbl>
    <w:p w:rsidR="0045503B" w:rsidRPr="0045503B" w:rsidRDefault="0045503B" w:rsidP="0045503B">
      <w:pPr>
        <w:rPr>
          <w:rFonts w:ascii="Arial" w:hAnsi="Arial"/>
          <w:szCs w:val="20"/>
        </w:rPr>
      </w:pPr>
    </w:p>
    <w:p w:rsidR="0045503B" w:rsidRPr="0045503B" w:rsidRDefault="0045503B" w:rsidP="00A36DBB">
      <w:pPr>
        <w:tabs>
          <w:tab w:val="decimal" w:pos="8280"/>
        </w:tabs>
        <w:spacing w:after="120"/>
        <w:ind w:firstLine="709"/>
        <w:jc w:val="both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>Od roku 2005 do 30. júna 2012 evidovala Sociálna poisťovňa 222 664 žiadostí o prestup do inej DSS. Z nich bolo realizovaných 177 795 prestupov. Od začiatku tohto roka je ich nárast o 9 078 realizovaných prestupov.</w:t>
      </w:r>
    </w:p>
    <w:p w:rsidR="0045503B" w:rsidRPr="0045503B" w:rsidRDefault="0045503B" w:rsidP="0045503B">
      <w:pPr>
        <w:spacing w:before="240" w:after="120"/>
        <w:jc w:val="center"/>
        <w:rPr>
          <w:rFonts w:ascii="Arial" w:hAnsi="Arial" w:cs="Arial"/>
          <w:szCs w:val="20"/>
        </w:rPr>
      </w:pPr>
      <w:r w:rsidRPr="0045503B">
        <w:rPr>
          <w:rFonts w:ascii="Arial" w:hAnsi="Arial" w:cs="Arial"/>
          <w:szCs w:val="20"/>
        </w:rPr>
        <w:t xml:space="preserve">x   </w:t>
      </w:r>
      <w:proofErr w:type="spellStart"/>
      <w:r w:rsidRPr="0045503B">
        <w:rPr>
          <w:rFonts w:ascii="Arial" w:hAnsi="Arial" w:cs="Arial"/>
          <w:szCs w:val="20"/>
        </w:rPr>
        <w:t>x</w:t>
      </w:r>
      <w:proofErr w:type="spellEnd"/>
      <w:r w:rsidRPr="0045503B">
        <w:rPr>
          <w:rFonts w:ascii="Arial" w:hAnsi="Arial" w:cs="Arial"/>
          <w:szCs w:val="20"/>
        </w:rPr>
        <w:t xml:space="preserve">   </w:t>
      </w:r>
      <w:proofErr w:type="spellStart"/>
      <w:r w:rsidRPr="0045503B">
        <w:rPr>
          <w:rFonts w:ascii="Arial" w:hAnsi="Arial" w:cs="Arial"/>
          <w:szCs w:val="20"/>
        </w:rPr>
        <w:t>x</w:t>
      </w:r>
      <w:proofErr w:type="spellEnd"/>
    </w:p>
    <w:p w:rsidR="0045503B" w:rsidRPr="0045503B" w:rsidRDefault="0045503B" w:rsidP="0045503B">
      <w:pPr>
        <w:spacing w:before="240" w:after="120"/>
        <w:ind w:firstLine="720"/>
        <w:jc w:val="both"/>
        <w:rPr>
          <w:rFonts w:ascii="Arial" w:hAnsi="Arial"/>
          <w:b/>
          <w:szCs w:val="20"/>
        </w:rPr>
      </w:pPr>
      <w:r w:rsidRPr="0045503B">
        <w:rPr>
          <w:rFonts w:ascii="Arial" w:hAnsi="Arial"/>
          <w:b/>
          <w:szCs w:val="20"/>
        </w:rPr>
        <w:t>Očakávané výsledky hospodárenia Sociálnej poisťovne v roku 2012</w:t>
      </w:r>
    </w:p>
    <w:p w:rsidR="0045503B" w:rsidRPr="0045503B" w:rsidRDefault="0045503B" w:rsidP="0045503B">
      <w:pPr>
        <w:ind w:firstLine="72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Východiskom pre zostavenie očakávaných príjmov a výdavkov Sociálnej poisťovne v roku 2012 bol:</w:t>
      </w:r>
    </w:p>
    <w:p w:rsidR="0045503B" w:rsidRPr="0045503B" w:rsidRDefault="0045503B" w:rsidP="0045503B">
      <w:pPr>
        <w:numPr>
          <w:ilvl w:val="0"/>
          <w:numId w:val="17"/>
        </w:numPr>
        <w:ind w:hanging="78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vývoj príjmov z poistného a príspevkov na SDS od zamestnancov, zamestnávateľov, samostatne zárobkovo činných osôb a dobrovoľne poistených osôb spolu, ako aj vývoj dlžného poistného v roku 2011 a v mesiacoch január až jún 2012, </w:t>
      </w:r>
    </w:p>
    <w:p w:rsidR="0045503B" w:rsidRPr="0045503B" w:rsidRDefault="0045503B" w:rsidP="0045503B">
      <w:pPr>
        <w:numPr>
          <w:ilvl w:val="0"/>
          <w:numId w:val="17"/>
        </w:numPr>
        <w:ind w:hanging="78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 xml:space="preserve">vývoj výdavkov v roku 2011 a v mesiacoch január až jún 2012, </w:t>
      </w:r>
    </w:p>
    <w:p w:rsidR="0045503B" w:rsidRPr="0045503B" w:rsidRDefault="0045503B" w:rsidP="0045503B">
      <w:pPr>
        <w:numPr>
          <w:ilvl w:val="0"/>
          <w:numId w:val="17"/>
        </w:numPr>
        <w:spacing w:after="120"/>
        <w:ind w:hanging="780"/>
        <w:jc w:val="both"/>
        <w:rPr>
          <w:rFonts w:ascii="Arial" w:hAnsi="Arial"/>
          <w:szCs w:val="20"/>
        </w:rPr>
      </w:pPr>
      <w:r w:rsidRPr="0045503B">
        <w:rPr>
          <w:rFonts w:ascii="Arial" w:hAnsi="Arial"/>
          <w:szCs w:val="20"/>
        </w:rPr>
        <w:t>a vplyv makroekonomických ukazovateľov zverejnených Inštitútom finančnej politiky Ministerstva financií Slovenskej republiky zo dňa 11. 6. 2012.</w:t>
      </w:r>
    </w:p>
    <w:p w:rsidR="006E78B8" w:rsidRPr="006E78B8" w:rsidRDefault="006E78B8" w:rsidP="006E78B8">
      <w:pPr>
        <w:spacing w:before="240" w:after="120"/>
        <w:ind w:firstLine="720"/>
        <w:jc w:val="both"/>
        <w:rPr>
          <w:rFonts w:ascii="Arial" w:hAnsi="Arial" w:cs="Arial"/>
        </w:rPr>
      </w:pPr>
      <w:r w:rsidRPr="006E78B8">
        <w:rPr>
          <w:rFonts w:ascii="Arial" w:hAnsi="Arial" w:cs="Arial"/>
          <w:b/>
        </w:rPr>
        <w:t xml:space="preserve">Príjmy </w:t>
      </w:r>
      <w:r w:rsidRPr="006E78B8">
        <w:rPr>
          <w:rFonts w:ascii="Arial" w:hAnsi="Arial" w:cs="Arial"/>
        </w:rPr>
        <w:t xml:space="preserve">Sociálnej poisťovne </w:t>
      </w:r>
      <w:r w:rsidRPr="006E78B8">
        <w:rPr>
          <w:rFonts w:ascii="Arial" w:hAnsi="Arial" w:cs="Arial"/>
          <w:b/>
        </w:rPr>
        <w:t xml:space="preserve">v roku 2012 </w:t>
      </w:r>
      <w:r w:rsidRPr="006E78B8">
        <w:rPr>
          <w:rFonts w:ascii="Arial" w:hAnsi="Arial" w:cs="Arial"/>
        </w:rPr>
        <w:t xml:space="preserve">sa očakávajú takéto: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2"/>
        <w:gridCol w:w="1437"/>
        <w:gridCol w:w="1414"/>
        <w:gridCol w:w="1651"/>
        <w:gridCol w:w="1171"/>
      </w:tblGrid>
      <w:tr w:rsidR="006E78B8" w:rsidRPr="006E78B8" w:rsidTr="00A14FF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v tis. Eur</w:t>
            </w:r>
          </w:p>
        </w:tc>
      </w:tr>
      <w:tr w:rsidR="006E78B8" w:rsidRPr="006E78B8" w:rsidTr="00A14FF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s vplyvom II. piliera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Schválený rozpočet rok 2012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Upravený rozpočet  rok 2012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Očakávaná skutočnosť v roku 2012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Rozdiel (3-2)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E78B8" w:rsidRPr="006E78B8" w:rsidTr="00A14FF4"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celkom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6 534 611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6 525 214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6 421 880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-103 334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v tom: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z bežného poistného od EAO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4 382 544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4 373 147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4 392 181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19 034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príjmy z dlžného poistného  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149 373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149 373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224 969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75 596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zo sankcií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4 445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4 445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6 000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1 555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z poistného od štátu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173 915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173 915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187 816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13 901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od Sociálnej poisťovne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2 090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2 090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2 000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-90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ostatné príjmy 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1 790 783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1 790 783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1 575 410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-215 373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 toho príjmy zo ŠR SR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1 780 000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1 780 000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1 564 592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-215 408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príspevky na SDS zaplatené zamestnávateľom  po uplynutí 60 dní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27 023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27 023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29 100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2 077</w:t>
            </w:r>
          </w:p>
        </w:tc>
      </w:tr>
      <w:tr w:rsidR="006E78B8" w:rsidRPr="006E78B8" w:rsidTr="00A14FF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príjmy správneho fondu z príspevkov na SDS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4 438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4 404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-34</w:t>
            </w:r>
          </w:p>
        </w:tc>
      </w:tr>
    </w:tbl>
    <w:p w:rsidR="006E78B8" w:rsidRPr="006E78B8" w:rsidRDefault="006E78B8" w:rsidP="006E78B8">
      <w:pPr>
        <w:spacing w:after="120"/>
        <w:ind w:firstLine="720"/>
        <w:jc w:val="both"/>
        <w:rPr>
          <w:rFonts w:ascii="Arial" w:hAnsi="Arial" w:cs="Arial"/>
        </w:rPr>
      </w:pPr>
    </w:p>
    <w:p w:rsidR="006E78B8" w:rsidRPr="006E78B8" w:rsidRDefault="006E78B8" w:rsidP="006E78B8">
      <w:pPr>
        <w:spacing w:after="120"/>
        <w:ind w:firstLine="720"/>
        <w:jc w:val="both"/>
        <w:rPr>
          <w:rFonts w:ascii="Arial" w:hAnsi="Arial" w:cs="Arial"/>
        </w:rPr>
      </w:pPr>
      <w:r w:rsidRPr="006E78B8">
        <w:rPr>
          <w:rFonts w:ascii="Arial" w:hAnsi="Arial" w:cs="Arial"/>
        </w:rPr>
        <w:lastRenderedPageBreak/>
        <w:t xml:space="preserve">V roku 2012 sa očakávajú nižšie príjmy celkom oproti upravenému rozpočtu na rok 2012 o 103 334 tis. Eur. Vyššie sa očakávajú príjmy z bežného poistného od EAO o 19 034 tis. Eur. Príjmy z dlžného poistného sa predpokladajú vo výške 224 969 tis. Eur, čo predstavuje prekročenie v absolútnej sume 75 596 tis. Eur oproti rozpočtovanej sume. </w:t>
      </w:r>
    </w:p>
    <w:p w:rsidR="006E78B8" w:rsidRPr="006E78B8" w:rsidRDefault="006E78B8" w:rsidP="006E78B8">
      <w:pPr>
        <w:spacing w:before="240" w:after="120"/>
        <w:ind w:firstLine="720"/>
        <w:jc w:val="both"/>
        <w:rPr>
          <w:rFonts w:ascii="Arial" w:hAnsi="Arial" w:cs="Arial"/>
        </w:rPr>
      </w:pPr>
      <w:r w:rsidRPr="006E78B8">
        <w:rPr>
          <w:rFonts w:ascii="Arial" w:hAnsi="Arial" w:cs="Arial"/>
        </w:rPr>
        <w:t xml:space="preserve">V očakávanej skutočnosti ostatných príjmov je v základnom fonde starobného poistenia zapracovaný </w:t>
      </w:r>
      <w:r w:rsidRPr="006E78B8">
        <w:rPr>
          <w:rFonts w:ascii="Arial" w:hAnsi="Arial" w:cs="Arial"/>
          <w:b/>
        </w:rPr>
        <w:t>transfer finančných prostriedkov zo ŠR SR</w:t>
      </w:r>
      <w:r w:rsidRPr="006E78B8">
        <w:rPr>
          <w:rFonts w:ascii="Arial" w:hAnsi="Arial" w:cs="Arial"/>
        </w:rPr>
        <w:t xml:space="preserve"> v sume 1 564 592 tis. Eur (oproti upravenému rozpočtu na rok 2012</w:t>
      </w:r>
      <w:r w:rsidRPr="006E78B8">
        <w:rPr>
          <w:rFonts w:ascii="Arial" w:hAnsi="Arial" w:cs="Arial"/>
          <w:b/>
        </w:rPr>
        <w:t xml:space="preserve"> nižší o 215 408 tis. Eur</w:t>
      </w:r>
      <w:r w:rsidRPr="006E78B8">
        <w:rPr>
          <w:rFonts w:ascii="Arial" w:hAnsi="Arial" w:cs="Arial"/>
        </w:rPr>
        <w:t xml:space="preserve">) na krytie deficitu vzniknutého dôsledkom zavedenia II. piliera a ako finančná výpomoc z dôvodu platobnej neschopnosti základného fondu starobného poistenia, v zmysle § 157 ods. 4 zákona o sociálnom poistení. </w:t>
      </w:r>
    </w:p>
    <w:p w:rsidR="006E78B8" w:rsidRPr="006E78B8" w:rsidRDefault="006E78B8" w:rsidP="006E78B8">
      <w:pPr>
        <w:pStyle w:val="Zarkazkladnhotextu2"/>
        <w:spacing w:before="240" w:line="240" w:lineRule="auto"/>
        <w:ind w:left="0" w:firstLine="709"/>
        <w:jc w:val="both"/>
        <w:rPr>
          <w:rFonts w:cs="Arial"/>
          <w:szCs w:val="24"/>
        </w:rPr>
      </w:pPr>
      <w:r w:rsidRPr="006E78B8">
        <w:rPr>
          <w:rFonts w:cs="Arial"/>
          <w:b/>
          <w:szCs w:val="24"/>
        </w:rPr>
        <w:t xml:space="preserve">Výdavky (náklady) </w:t>
      </w:r>
      <w:r w:rsidRPr="006E78B8">
        <w:rPr>
          <w:rFonts w:cs="Arial"/>
          <w:szCs w:val="24"/>
        </w:rPr>
        <w:t xml:space="preserve">Sociálnej poisťovne </w:t>
      </w:r>
      <w:r w:rsidRPr="006E78B8">
        <w:rPr>
          <w:rFonts w:cs="Arial"/>
          <w:b/>
          <w:szCs w:val="24"/>
        </w:rPr>
        <w:t xml:space="preserve">v roku 2012 </w:t>
      </w:r>
      <w:r w:rsidRPr="006E78B8">
        <w:rPr>
          <w:rFonts w:cs="Arial"/>
          <w:szCs w:val="24"/>
        </w:rPr>
        <w:t>sa</w:t>
      </w:r>
      <w:r w:rsidRPr="006E78B8">
        <w:rPr>
          <w:rFonts w:cs="Arial"/>
          <w:b/>
          <w:szCs w:val="24"/>
        </w:rPr>
        <w:t xml:space="preserve"> </w:t>
      </w:r>
      <w:r w:rsidRPr="006E78B8">
        <w:rPr>
          <w:rFonts w:cs="Arial"/>
          <w:szCs w:val="24"/>
        </w:rPr>
        <w:t>očakávajú takéto:</w:t>
      </w:r>
    </w:p>
    <w:tbl>
      <w:tblPr>
        <w:tblW w:w="90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4"/>
        <w:gridCol w:w="1160"/>
        <w:gridCol w:w="1320"/>
        <w:gridCol w:w="1440"/>
        <w:gridCol w:w="1240"/>
      </w:tblGrid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v tis. Eur</w:t>
            </w:r>
          </w:p>
        </w:tc>
      </w:tr>
      <w:tr w:rsidR="006E78B8" w:rsidRPr="006E78B8" w:rsidTr="00A14FF4">
        <w:trPr>
          <w:trHeight w:val="765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Ukazovateľ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Schválený rozpočet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 xml:space="preserve">Upravený rozpočet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Očakávaná skutočnosť  rok 2012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 xml:space="preserve">Rozdiel </w:t>
            </w:r>
            <w:r w:rsidRPr="006E78B8">
              <w:rPr>
                <w:rFonts w:ascii="Arial" w:hAnsi="Arial" w:cs="Arial"/>
                <w:sz w:val="20"/>
              </w:rPr>
              <w:br/>
              <w:t>(3-2)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6E78B8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4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Použitie prostriedkov celkom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6 509 225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6 499 601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6 429 449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-70 152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v tom: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nemocenského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431 934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422 576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435 364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12 788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starobného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4 814 092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4 740 539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-73 553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invalidného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890 568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881 443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-9 125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úrazového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47 676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45 330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-2 346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garančného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41 073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38 800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-2 273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základný fond poistenia v nezamestnanosti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170 171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169 905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174 262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4 357</w:t>
            </w:r>
          </w:p>
        </w:tc>
      </w:tr>
      <w:tr w:rsidR="006E78B8" w:rsidRPr="006E78B8" w:rsidTr="00A14FF4">
        <w:trPr>
          <w:trHeight w:val="255"/>
        </w:trPr>
        <w:tc>
          <w:tcPr>
            <w:tcW w:w="3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správny fond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113 711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78B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6E78B8" w:rsidRPr="006E78B8" w:rsidRDefault="006E78B8" w:rsidP="006E78B8">
      <w:pPr>
        <w:pStyle w:val="Zarkazkladnhotextu"/>
        <w:ind w:left="0" w:firstLine="720"/>
        <w:rPr>
          <w:rFonts w:cs="Arial"/>
          <w:szCs w:val="24"/>
        </w:rPr>
      </w:pPr>
    </w:p>
    <w:p w:rsidR="006E78B8" w:rsidRPr="006E78B8" w:rsidRDefault="006E78B8" w:rsidP="006E78B8">
      <w:pPr>
        <w:pStyle w:val="Zarkazkladnhotextu"/>
        <w:ind w:left="0" w:firstLine="720"/>
        <w:rPr>
          <w:rFonts w:cs="Arial"/>
          <w:szCs w:val="24"/>
        </w:rPr>
      </w:pPr>
      <w:r w:rsidRPr="006E78B8">
        <w:rPr>
          <w:rFonts w:cs="Arial"/>
          <w:szCs w:val="24"/>
        </w:rPr>
        <w:t xml:space="preserve">Z hľadiska </w:t>
      </w:r>
      <w:r w:rsidRPr="006E78B8">
        <w:rPr>
          <w:rFonts w:cs="Arial"/>
          <w:b/>
          <w:szCs w:val="24"/>
        </w:rPr>
        <w:t>celkového hospodárenia Sociálnej poisťovne</w:t>
      </w:r>
      <w:r w:rsidRPr="006E78B8">
        <w:rPr>
          <w:rFonts w:cs="Arial"/>
          <w:szCs w:val="24"/>
        </w:rPr>
        <w:t xml:space="preserve"> je možné očakávať k 31. 12. 2012 v jednotlivých fondoch takéto výsledky:</w:t>
      </w:r>
    </w:p>
    <w:tbl>
      <w:tblPr>
        <w:tblW w:w="88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160"/>
        <w:gridCol w:w="1320"/>
        <w:gridCol w:w="1440"/>
        <w:gridCol w:w="1240"/>
      </w:tblGrid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20"/>
              </w:rPr>
            </w:pPr>
            <w:r w:rsidRPr="006E78B8">
              <w:rPr>
                <w:rFonts w:ascii="Arial" w:hAnsi="Arial" w:cs="Arial"/>
                <w:sz w:val="20"/>
              </w:rPr>
              <w:t>v tis. Eur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Fond  </w:t>
            </w:r>
          </w:p>
        </w:tc>
        <w:tc>
          <w:tcPr>
            <w:tcW w:w="3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Bilančný rozdiel k 31.12.2012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Rozdiel (3-2)</w:t>
            </w:r>
          </w:p>
        </w:tc>
      </w:tr>
      <w:tr w:rsidR="006E78B8" w:rsidRPr="006E78B8" w:rsidTr="00A14FF4">
        <w:trPr>
          <w:trHeight w:val="480"/>
        </w:trPr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Schválený rozpočet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Upravený rozpočet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 xml:space="preserve">Očakávaná skutočnosť 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nemocenského poistenia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50 000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50 000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35 000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-15 000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starobného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267 156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267 044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300 714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33 670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invalidného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153 663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154 226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131 694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-22 532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úrazového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garančného poistenia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Základný fond poistenia v nezamestnanosti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20 000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Rezervný fond solidarity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Správny fond</w:t>
            </w:r>
          </w:p>
        </w:tc>
        <w:tc>
          <w:tcPr>
            <w:tcW w:w="11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51 127</w:t>
            </w:r>
          </w:p>
        </w:tc>
        <w:tc>
          <w:tcPr>
            <w:tcW w:w="13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50 903</w:t>
            </w:r>
          </w:p>
        </w:tc>
        <w:tc>
          <w:tcPr>
            <w:tcW w:w="1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51 904</w:t>
            </w:r>
          </w:p>
        </w:tc>
        <w:tc>
          <w:tcPr>
            <w:tcW w:w="1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1 001</w:t>
            </w:r>
          </w:p>
        </w:tc>
      </w:tr>
      <w:tr w:rsidR="006E78B8" w:rsidRPr="006E78B8" w:rsidTr="00A14FF4">
        <w:trPr>
          <w:trHeight w:val="25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Spolu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551 946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552 173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549 312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78B8" w:rsidRPr="006E78B8" w:rsidRDefault="006E78B8" w:rsidP="00A14F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E78B8">
              <w:rPr>
                <w:rFonts w:ascii="Arial" w:hAnsi="Arial" w:cs="Arial"/>
                <w:sz w:val="18"/>
                <w:szCs w:val="18"/>
              </w:rPr>
              <w:t>-2 861</w:t>
            </w:r>
          </w:p>
        </w:tc>
      </w:tr>
    </w:tbl>
    <w:p w:rsidR="006E78B8" w:rsidRPr="006E78B8" w:rsidRDefault="006E78B8" w:rsidP="006E78B8">
      <w:pPr>
        <w:pStyle w:val="Zarkazkladnhotextu"/>
        <w:ind w:left="0" w:firstLine="720"/>
        <w:rPr>
          <w:rFonts w:cs="Arial"/>
          <w:szCs w:val="24"/>
        </w:rPr>
      </w:pPr>
    </w:p>
    <w:p w:rsidR="006E78B8" w:rsidRPr="006E78B8" w:rsidRDefault="006E78B8" w:rsidP="006E78B8">
      <w:pPr>
        <w:spacing w:before="240" w:after="120"/>
        <w:ind w:firstLine="720"/>
        <w:jc w:val="both"/>
        <w:rPr>
          <w:rFonts w:ascii="Arial" w:hAnsi="Arial" w:cs="Arial"/>
        </w:rPr>
      </w:pPr>
      <w:r w:rsidRPr="006E78B8">
        <w:rPr>
          <w:rFonts w:ascii="Arial" w:hAnsi="Arial" w:cs="Arial"/>
        </w:rPr>
        <w:t>Hospodárenie Sociálnej poisťovne v roku 2012 by malo skončiť bilančným rozdielom 549 312 tis. Eur.</w:t>
      </w:r>
    </w:p>
    <w:p w:rsidR="006E78B8" w:rsidRPr="006E78B8" w:rsidRDefault="006E78B8" w:rsidP="006E78B8">
      <w:pPr>
        <w:spacing w:before="240" w:after="120"/>
        <w:jc w:val="center"/>
        <w:rPr>
          <w:rFonts w:ascii="Arial" w:hAnsi="Arial" w:cs="Arial"/>
        </w:rPr>
      </w:pPr>
      <w:r w:rsidRPr="006E78B8">
        <w:rPr>
          <w:rFonts w:ascii="Arial" w:hAnsi="Arial" w:cs="Arial"/>
        </w:rPr>
        <w:t xml:space="preserve">x  </w:t>
      </w:r>
      <w:proofErr w:type="spellStart"/>
      <w:r w:rsidRPr="006E78B8">
        <w:rPr>
          <w:rFonts w:ascii="Arial" w:hAnsi="Arial" w:cs="Arial"/>
        </w:rPr>
        <w:t>x</w:t>
      </w:r>
      <w:proofErr w:type="spellEnd"/>
      <w:r w:rsidRPr="006E78B8">
        <w:rPr>
          <w:rFonts w:ascii="Arial" w:hAnsi="Arial" w:cs="Arial"/>
        </w:rPr>
        <w:t xml:space="preserve">  </w:t>
      </w:r>
      <w:proofErr w:type="spellStart"/>
      <w:r w:rsidRPr="006E78B8">
        <w:rPr>
          <w:rFonts w:ascii="Arial" w:hAnsi="Arial" w:cs="Arial"/>
        </w:rPr>
        <w:t>x</w:t>
      </w:r>
      <w:proofErr w:type="spellEnd"/>
    </w:p>
    <w:p w:rsidR="0045503B" w:rsidRPr="006E78B8" w:rsidRDefault="006E78B8" w:rsidP="006E78B8">
      <w:pPr>
        <w:spacing w:before="120" w:after="120"/>
        <w:ind w:firstLine="720"/>
        <w:jc w:val="both"/>
        <w:rPr>
          <w:rFonts w:ascii="Arial" w:hAnsi="Arial" w:cs="Arial"/>
        </w:rPr>
      </w:pPr>
      <w:r w:rsidRPr="006E78B8">
        <w:rPr>
          <w:rFonts w:ascii="Arial" w:hAnsi="Arial" w:cs="Arial"/>
        </w:rPr>
        <w:lastRenderedPageBreak/>
        <w:t>Sociálna poisťovňa predpokladá, že v roku 2012 postúpi príspevky na SDS do DSS v sume 879 146 tis. Eur.</w:t>
      </w:r>
    </w:p>
    <w:sectPr w:rsidR="0045503B" w:rsidRPr="006E78B8" w:rsidSect="00F732AA">
      <w:headerReference w:type="default" r:id="rId14"/>
      <w:footerReference w:type="default" r:id="rId15"/>
      <w:pgSz w:w="11906" w:h="16838"/>
      <w:pgMar w:top="1417" w:right="1466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80F" w:rsidRDefault="006D480F">
      <w:r>
        <w:separator/>
      </w:r>
    </w:p>
  </w:endnote>
  <w:endnote w:type="continuationSeparator" w:id="0">
    <w:p w:rsidR="006D480F" w:rsidRDefault="006D4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Pr="00657CB2" w:rsidRDefault="005F5757" w:rsidP="00657CB2">
    <w:pPr>
      <w:pStyle w:val="Pta"/>
      <w:jc w:val="center"/>
      <w:rPr>
        <w:rFonts w:ascii="Arial" w:hAnsi="Arial" w:cs="Arial"/>
        <w:sz w:val="24"/>
        <w:szCs w:val="24"/>
      </w:rPr>
    </w:pPr>
    <w:r w:rsidRPr="00657CB2">
      <w:rPr>
        <w:rFonts w:ascii="Arial" w:hAnsi="Arial" w:cs="Arial"/>
        <w:sz w:val="24"/>
        <w:szCs w:val="24"/>
      </w:rPr>
      <w:t>BRATISLAVA</w:t>
    </w:r>
    <w:r w:rsidRPr="00657CB2">
      <w:rPr>
        <w:rFonts w:ascii="Arial" w:hAnsi="Arial" w:cs="Arial"/>
        <w:sz w:val="24"/>
        <w:szCs w:val="24"/>
      </w:rPr>
      <w:br/>
    </w:r>
    <w:r w:rsidR="00F45A3C">
      <w:rPr>
        <w:rFonts w:ascii="Arial" w:hAnsi="Arial" w:cs="Arial"/>
        <w:sz w:val="24"/>
        <w:szCs w:val="24"/>
      </w:rPr>
      <w:t>august</w:t>
    </w:r>
    <w:r w:rsidRPr="00657CB2">
      <w:rPr>
        <w:rFonts w:ascii="Arial" w:hAnsi="Arial" w:cs="Arial"/>
        <w:sz w:val="24"/>
        <w:szCs w:val="24"/>
      </w:rPr>
      <w:t xml:space="preserve"> 20</w:t>
    </w:r>
    <w:r>
      <w:rPr>
        <w:rFonts w:ascii="Arial" w:hAnsi="Arial" w:cs="Arial"/>
        <w:sz w:val="24"/>
        <w:szCs w:val="24"/>
      </w:rPr>
      <w:t>1</w:t>
    </w:r>
    <w:r w:rsidR="00040C67">
      <w:rPr>
        <w:rFonts w:ascii="Arial" w:hAnsi="Arial" w:cs="Arial"/>
        <w:sz w:val="24"/>
        <w:szCs w:val="24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Pr="00657CB2" w:rsidRDefault="005F5757" w:rsidP="00657CB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80F" w:rsidRDefault="006D480F">
      <w:r>
        <w:separator/>
      </w:r>
    </w:p>
  </w:footnote>
  <w:footnote w:type="continuationSeparator" w:id="0">
    <w:p w:rsidR="006D480F" w:rsidRDefault="006D48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Default="006D480F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5pt;margin-top:16.3pt;width:190.2pt;height:69.85pt;z-index:251657728">
          <v:imagedata r:id="rId1" o:title=""/>
          <w10:wrap type="topAndBottom"/>
        </v:shape>
        <o:OLEObject Type="Embed" ProgID="CorelDraw.Graphic.8" ShapeID="_x0000_s2049" DrawAspect="Content" ObjectID="_1406373284" r:id="rId2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757" w:rsidRDefault="005F575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DEA"/>
    <w:multiLevelType w:val="hybridMultilevel"/>
    <w:tmpl w:val="F1062A84"/>
    <w:lvl w:ilvl="0" w:tplc="041B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C7734D"/>
    <w:multiLevelType w:val="hybridMultilevel"/>
    <w:tmpl w:val="4B80F9D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638EE"/>
    <w:multiLevelType w:val="hybridMultilevel"/>
    <w:tmpl w:val="60565CB2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E360EC"/>
    <w:multiLevelType w:val="hybridMultilevel"/>
    <w:tmpl w:val="1830572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C40E5"/>
    <w:multiLevelType w:val="multilevel"/>
    <w:tmpl w:val="C5E0A75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5">
    <w:nsid w:val="25055D2F"/>
    <w:multiLevelType w:val="hybridMultilevel"/>
    <w:tmpl w:val="2092CCE6"/>
    <w:lvl w:ilvl="0" w:tplc="041B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29C93B14"/>
    <w:multiLevelType w:val="multilevel"/>
    <w:tmpl w:val="5EBCDFCE"/>
    <w:lvl w:ilvl="0">
      <w:start w:val="3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BF33C7D"/>
    <w:multiLevelType w:val="hybridMultilevel"/>
    <w:tmpl w:val="9FA64606"/>
    <w:lvl w:ilvl="0" w:tplc="041B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>
    <w:nsid w:val="2CEE7005"/>
    <w:multiLevelType w:val="hybridMultilevel"/>
    <w:tmpl w:val="7A28AF2E"/>
    <w:lvl w:ilvl="0" w:tplc="F79807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2A2473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46EE8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1381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55086C6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CAE8CD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3D294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BBB0E0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48E4DA7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30F0A26"/>
    <w:multiLevelType w:val="hybridMultilevel"/>
    <w:tmpl w:val="1DC4385C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B26F94"/>
    <w:multiLevelType w:val="multilevel"/>
    <w:tmpl w:val="B61E30E4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1">
    <w:nsid w:val="497B48C8"/>
    <w:multiLevelType w:val="hybridMultilevel"/>
    <w:tmpl w:val="6948548A"/>
    <w:lvl w:ilvl="0" w:tplc="4BE62390">
      <w:start w:val="3"/>
      <w:numFmt w:val="decimal"/>
      <w:lvlText w:val="%1."/>
      <w:lvlJc w:val="left"/>
      <w:pPr>
        <w:tabs>
          <w:tab w:val="num" w:pos="5220"/>
        </w:tabs>
        <w:ind w:left="5220" w:hanging="360"/>
      </w:pPr>
      <w:rPr>
        <w:rFonts w:hint="default"/>
      </w:rPr>
    </w:lvl>
    <w:lvl w:ilvl="1" w:tplc="985ECB50" w:tentative="1">
      <w:start w:val="1"/>
      <w:numFmt w:val="lowerLetter"/>
      <w:lvlText w:val="%2."/>
      <w:lvlJc w:val="left"/>
      <w:pPr>
        <w:tabs>
          <w:tab w:val="num" w:pos="5940"/>
        </w:tabs>
        <w:ind w:left="5940" w:hanging="360"/>
      </w:pPr>
    </w:lvl>
    <w:lvl w:ilvl="2" w:tplc="55201164" w:tentative="1">
      <w:start w:val="1"/>
      <w:numFmt w:val="lowerRoman"/>
      <w:lvlText w:val="%3."/>
      <w:lvlJc w:val="right"/>
      <w:pPr>
        <w:tabs>
          <w:tab w:val="num" w:pos="6660"/>
        </w:tabs>
        <w:ind w:left="6660" w:hanging="180"/>
      </w:pPr>
    </w:lvl>
    <w:lvl w:ilvl="3" w:tplc="7C9CFFB2" w:tentative="1">
      <w:start w:val="1"/>
      <w:numFmt w:val="decimal"/>
      <w:lvlText w:val="%4."/>
      <w:lvlJc w:val="left"/>
      <w:pPr>
        <w:tabs>
          <w:tab w:val="num" w:pos="7380"/>
        </w:tabs>
        <w:ind w:left="7380" w:hanging="360"/>
      </w:pPr>
    </w:lvl>
    <w:lvl w:ilvl="4" w:tplc="06A64C18" w:tentative="1">
      <w:start w:val="1"/>
      <w:numFmt w:val="lowerLetter"/>
      <w:lvlText w:val="%5."/>
      <w:lvlJc w:val="left"/>
      <w:pPr>
        <w:tabs>
          <w:tab w:val="num" w:pos="8100"/>
        </w:tabs>
        <w:ind w:left="8100" w:hanging="360"/>
      </w:pPr>
    </w:lvl>
    <w:lvl w:ilvl="5" w:tplc="C6869294" w:tentative="1">
      <w:start w:val="1"/>
      <w:numFmt w:val="lowerRoman"/>
      <w:lvlText w:val="%6."/>
      <w:lvlJc w:val="right"/>
      <w:pPr>
        <w:tabs>
          <w:tab w:val="num" w:pos="8820"/>
        </w:tabs>
        <w:ind w:left="8820" w:hanging="180"/>
      </w:pPr>
    </w:lvl>
    <w:lvl w:ilvl="6" w:tplc="99F27AE2" w:tentative="1">
      <w:start w:val="1"/>
      <w:numFmt w:val="decimal"/>
      <w:lvlText w:val="%7."/>
      <w:lvlJc w:val="left"/>
      <w:pPr>
        <w:tabs>
          <w:tab w:val="num" w:pos="9540"/>
        </w:tabs>
        <w:ind w:left="9540" w:hanging="360"/>
      </w:pPr>
    </w:lvl>
    <w:lvl w:ilvl="7" w:tplc="95D2108C" w:tentative="1">
      <w:start w:val="1"/>
      <w:numFmt w:val="lowerLetter"/>
      <w:lvlText w:val="%8."/>
      <w:lvlJc w:val="left"/>
      <w:pPr>
        <w:tabs>
          <w:tab w:val="num" w:pos="10260"/>
        </w:tabs>
        <w:ind w:left="10260" w:hanging="360"/>
      </w:pPr>
    </w:lvl>
    <w:lvl w:ilvl="8" w:tplc="23EA4332" w:tentative="1">
      <w:start w:val="1"/>
      <w:numFmt w:val="lowerRoman"/>
      <w:lvlText w:val="%9."/>
      <w:lvlJc w:val="right"/>
      <w:pPr>
        <w:tabs>
          <w:tab w:val="num" w:pos="10980"/>
        </w:tabs>
        <w:ind w:left="10980" w:hanging="180"/>
      </w:pPr>
    </w:lvl>
  </w:abstractNum>
  <w:abstractNum w:abstractNumId="12">
    <w:nsid w:val="53883DFA"/>
    <w:multiLevelType w:val="hybridMultilevel"/>
    <w:tmpl w:val="BA84F284"/>
    <w:lvl w:ilvl="0" w:tplc="5C1E409A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56A0023F"/>
    <w:multiLevelType w:val="hybridMultilevel"/>
    <w:tmpl w:val="0A0CB62A"/>
    <w:lvl w:ilvl="0" w:tplc="74EC26B4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5B71561D"/>
    <w:multiLevelType w:val="multilevel"/>
    <w:tmpl w:val="B18859D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/>
      </w:rPr>
    </w:lvl>
  </w:abstractNum>
  <w:abstractNum w:abstractNumId="15">
    <w:nsid w:val="5EC56337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65A835E4"/>
    <w:multiLevelType w:val="hybridMultilevel"/>
    <w:tmpl w:val="832468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95E26"/>
    <w:multiLevelType w:val="hybridMultilevel"/>
    <w:tmpl w:val="2E7EEA62"/>
    <w:lvl w:ilvl="0" w:tplc="041B000B">
      <w:start w:val="1"/>
      <w:numFmt w:val="bullet"/>
      <w:lvlText w:val="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8">
    <w:nsid w:val="6B352BB2"/>
    <w:multiLevelType w:val="hybridMultilevel"/>
    <w:tmpl w:val="2292ABE2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763EAF"/>
    <w:multiLevelType w:val="hybridMultilevel"/>
    <w:tmpl w:val="25162A42"/>
    <w:lvl w:ilvl="0" w:tplc="041B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78C03774"/>
    <w:multiLevelType w:val="multilevel"/>
    <w:tmpl w:val="3AA8BE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7D8F30E1"/>
    <w:multiLevelType w:val="multilevel"/>
    <w:tmpl w:val="6B5C34B0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1.1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Nadpis3"/>
      <w:lvlText w:val="%1.1.1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7E3C2AE0"/>
    <w:multiLevelType w:val="multilevel"/>
    <w:tmpl w:val="CD108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21"/>
  </w:num>
  <w:num w:numId="5">
    <w:abstractNumId w:val="2"/>
  </w:num>
  <w:num w:numId="6">
    <w:abstractNumId w:val="17"/>
  </w:num>
  <w:num w:numId="7">
    <w:abstractNumId w:val="22"/>
  </w:num>
  <w:num w:numId="8">
    <w:abstractNumId w:val="10"/>
  </w:num>
  <w:num w:numId="9">
    <w:abstractNumId w:val="6"/>
  </w:num>
  <w:num w:numId="10">
    <w:abstractNumId w:val="19"/>
  </w:num>
  <w:num w:numId="11">
    <w:abstractNumId w:val="13"/>
  </w:num>
  <w:num w:numId="12">
    <w:abstractNumId w:val="20"/>
  </w:num>
  <w:num w:numId="13">
    <w:abstractNumId w:val="18"/>
  </w:num>
  <w:num w:numId="14">
    <w:abstractNumId w:val="5"/>
  </w:num>
  <w:num w:numId="15">
    <w:abstractNumId w:val="14"/>
  </w:num>
  <w:num w:numId="16">
    <w:abstractNumId w:val="3"/>
  </w:num>
  <w:num w:numId="17">
    <w:abstractNumId w:val="7"/>
  </w:num>
  <w:num w:numId="18">
    <w:abstractNumId w:val="9"/>
  </w:num>
  <w:num w:numId="19">
    <w:abstractNumId w:val="12"/>
  </w:num>
  <w:num w:numId="20">
    <w:abstractNumId w:val="0"/>
  </w:num>
  <w:num w:numId="21">
    <w:abstractNumId w:val="16"/>
  </w:num>
  <w:num w:numId="22">
    <w:abstractNumId w:val="1"/>
  </w:num>
  <w:num w:numId="23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76"/>
    <w:rsid w:val="000046E7"/>
    <w:rsid w:val="000066EC"/>
    <w:rsid w:val="000155ED"/>
    <w:rsid w:val="00025C71"/>
    <w:rsid w:val="00040C67"/>
    <w:rsid w:val="00074C37"/>
    <w:rsid w:val="00076B05"/>
    <w:rsid w:val="000871F5"/>
    <w:rsid w:val="00087DA3"/>
    <w:rsid w:val="00095B9D"/>
    <w:rsid w:val="00096632"/>
    <w:rsid w:val="000A2836"/>
    <w:rsid w:val="000A355C"/>
    <w:rsid w:val="000A39AE"/>
    <w:rsid w:val="000A730F"/>
    <w:rsid w:val="000B5A7C"/>
    <w:rsid w:val="000C25AA"/>
    <w:rsid w:val="000C7655"/>
    <w:rsid w:val="000E012E"/>
    <w:rsid w:val="000F5BF1"/>
    <w:rsid w:val="00103A08"/>
    <w:rsid w:val="001045FA"/>
    <w:rsid w:val="001116CB"/>
    <w:rsid w:val="00115741"/>
    <w:rsid w:val="00120A2D"/>
    <w:rsid w:val="00122BD7"/>
    <w:rsid w:val="001400AF"/>
    <w:rsid w:val="00141FD0"/>
    <w:rsid w:val="00145793"/>
    <w:rsid w:val="0014765C"/>
    <w:rsid w:val="00153309"/>
    <w:rsid w:val="0015694A"/>
    <w:rsid w:val="00170E64"/>
    <w:rsid w:val="0018085D"/>
    <w:rsid w:val="00191426"/>
    <w:rsid w:val="001A1135"/>
    <w:rsid w:val="001A4CBC"/>
    <w:rsid w:val="001B20CF"/>
    <w:rsid w:val="001C7AEF"/>
    <w:rsid w:val="001D0314"/>
    <w:rsid w:val="001D0600"/>
    <w:rsid w:val="001D0FCD"/>
    <w:rsid w:val="001D1B44"/>
    <w:rsid w:val="001E1B8A"/>
    <w:rsid w:val="001E1CBE"/>
    <w:rsid w:val="001E20C2"/>
    <w:rsid w:val="001E3F11"/>
    <w:rsid w:val="001F1D5A"/>
    <w:rsid w:val="002037F9"/>
    <w:rsid w:val="0021534F"/>
    <w:rsid w:val="00221B11"/>
    <w:rsid w:val="00222B97"/>
    <w:rsid w:val="00230E8D"/>
    <w:rsid w:val="00231012"/>
    <w:rsid w:val="00233410"/>
    <w:rsid w:val="00241345"/>
    <w:rsid w:val="00242047"/>
    <w:rsid w:val="00247DCE"/>
    <w:rsid w:val="00252CF5"/>
    <w:rsid w:val="002568F8"/>
    <w:rsid w:val="002667C1"/>
    <w:rsid w:val="0029385B"/>
    <w:rsid w:val="002A5CBE"/>
    <w:rsid w:val="002B34A0"/>
    <w:rsid w:val="002C5161"/>
    <w:rsid w:val="002D4ADF"/>
    <w:rsid w:val="002E701B"/>
    <w:rsid w:val="00301449"/>
    <w:rsid w:val="003104A4"/>
    <w:rsid w:val="0031564A"/>
    <w:rsid w:val="0032100D"/>
    <w:rsid w:val="003215BF"/>
    <w:rsid w:val="00321754"/>
    <w:rsid w:val="003261FA"/>
    <w:rsid w:val="00347392"/>
    <w:rsid w:val="00356ECC"/>
    <w:rsid w:val="0037457F"/>
    <w:rsid w:val="00375DB3"/>
    <w:rsid w:val="0038108E"/>
    <w:rsid w:val="00392264"/>
    <w:rsid w:val="003A1D2A"/>
    <w:rsid w:val="003B0253"/>
    <w:rsid w:val="003B76F0"/>
    <w:rsid w:val="003C1A7D"/>
    <w:rsid w:val="003E1029"/>
    <w:rsid w:val="003F7C26"/>
    <w:rsid w:val="00411F98"/>
    <w:rsid w:val="00415580"/>
    <w:rsid w:val="00415F50"/>
    <w:rsid w:val="00430578"/>
    <w:rsid w:val="00435B59"/>
    <w:rsid w:val="00453BB1"/>
    <w:rsid w:val="0045503B"/>
    <w:rsid w:val="00455546"/>
    <w:rsid w:val="004572D0"/>
    <w:rsid w:val="004621B1"/>
    <w:rsid w:val="00475AA9"/>
    <w:rsid w:val="004764FC"/>
    <w:rsid w:val="00480DC1"/>
    <w:rsid w:val="00485707"/>
    <w:rsid w:val="004949C7"/>
    <w:rsid w:val="004B536A"/>
    <w:rsid w:val="004C2BC8"/>
    <w:rsid w:val="004C31D6"/>
    <w:rsid w:val="004D0C8A"/>
    <w:rsid w:val="004D1194"/>
    <w:rsid w:val="004D2C1E"/>
    <w:rsid w:val="004D781A"/>
    <w:rsid w:val="004D7CF7"/>
    <w:rsid w:val="004E52D9"/>
    <w:rsid w:val="004F4973"/>
    <w:rsid w:val="004F761A"/>
    <w:rsid w:val="00504C33"/>
    <w:rsid w:val="00506E81"/>
    <w:rsid w:val="00514213"/>
    <w:rsid w:val="00520F4D"/>
    <w:rsid w:val="005211A4"/>
    <w:rsid w:val="0053100D"/>
    <w:rsid w:val="00531395"/>
    <w:rsid w:val="00531A2A"/>
    <w:rsid w:val="00536121"/>
    <w:rsid w:val="00541557"/>
    <w:rsid w:val="00556ECB"/>
    <w:rsid w:val="00557E34"/>
    <w:rsid w:val="005603E8"/>
    <w:rsid w:val="00564222"/>
    <w:rsid w:val="005740EF"/>
    <w:rsid w:val="0057621C"/>
    <w:rsid w:val="00585F3B"/>
    <w:rsid w:val="005910A7"/>
    <w:rsid w:val="005A2C24"/>
    <w:rsid w:val="005B0075"/>
    <w:rsid w:val="005B148C"/>
    <w:rsid w:val="005B32C3"/>
    <w:rsid w:val="005C0EDE"/>
    <w:rsid w:val="005C1964"/>
    <w:rsid w:val="005C1D59"/>
    <w:rsid w:val="005C7FE2"/>
    <w:rsid w:val="005F5757"/>
    <w:rsid w:val="005F6398"/>
    <w:rsid w:val="005F683C"/>
    <w:rsid w:val="00600C50"/>
    <w:rsid w:val="0060142F"/>
    <w:rsid w:val="006065E9"/>
    <w:rsid w:val="00606EC5"/>
    <w:rsid w:val="006311A6"/>
    <w:rsid w:val="00632522"/>
    <w:rsid w:val="00641E12"/>
    <w:rsid w:val="006436AD"/>
    <w:rsid w:val="0065366F"/>
    <w:rsid w:val="00655763"/>
    <w:rsid w:val="00657CB2"/>
    <w:rsid w:val="00671848"/>
    <w:rsid w:val="006727E6"/>
    <w:rsid w:val="0067527D"/>
    <w:rsid w:val="00676334"/>
    <w:rsid w:val="006827B9"/>
    <w:rsid w:val="00683921"/>
    <w:rsid w:val="00692D8A"/>
    <w:rsid w:val="00693D28"/>
    <w:rsid w:val="006A0268"/>
    <w:rsid w:val="006A6D2D"/>
    <w:rsid w:val="006A7745"/>
    <w:rsid w:val="006B4EA6"/>
    <w:rsid w:val="006B55BD"/>
    <w:rsid w:val="006C1AC5"/>
    <w:rsid w:val="006D1D5C"/>
    <w:rsid w:val="006D480F"/>
    <w:rsid w:val="006E50AF"/>
    <w:rsid w:val="006E5D57"/>
    <w:rsid w:val="006E6452"/>
    <w:rsid w:val="006E78B8"/>
    <w:rsid w:val="006F33F4"/>
    <w:rsid w:val="00703521"/>
    <w:rsid w:val="00704D7E"/>
    <w:rsid w:val="007154B3"/>
    <w:rsid w:val="0072204C"/>
    <w:rsid w:val="007230A8"/>
    <w:rsid w:val="0072485E"/>
    <w:rsid w:val="00744906"/>
    <w:rsid w:val="007476CE"/>
    <w:rsid w:val="007543A6"/>
    <w:rsid w:val="00774F4A"/>
    <w:rsid w:val="00777AB9"/>
    <w:rsid w:val="00782064"/>
    <w:rsid w:val="00786FDE"/>
    <w:rsid w:val="00790AB8"/>
    <w:rsid w:val="007A06EB"/>
    <w:rsid w:val="007B085C"/>
    <w:rsid w:val="007B15F9"/>
    <w:rsid w:val="007B2A41"/>
    <w:rsid w:val="007E6210"/>
    <w:rsid w:val="007E792B"/>
    <w:rsid w:val="0080376C"/>
    <w:rsid w:val="00805848"/>
    <w:rsid w:val="00814DE9"/>
    <w:rsid w:val="00820518"/>
    <w:rsid w:val="0082085D"/>
    <w:rsid w:val="00832168"/>
    <w:rsid w:val="008322FA"/>
    <w:rsid w:val="008345C6"/>
    <w:rsid w:val="0083676A"/>
    <w:rsid w:val="00841FFC"/>
    <w:rsid w:val="008422B6"/>
    <w:rsid w:val="00851C76"/>
    <w:rsid w:val="00852B0B"/>
    <w:rsid w:val="00860730"/>
    <w:rsid w:val="00860DED"/>
    <w:rsid w:val="008615AA"/>
    <w:rsid w:val="00864E2E"/>
    <w:rsid w:val="008734D0"/>
    <w:rsid w:val="00880AA9"/>
    <w:rsid w:val="008904E5"/>
    <w:rsid w:val="00893085"/>
    <w:rsid w:val="00893F72"/>
    <w:rsid w:val="008A37C1"/>
    <w:rsid w:val="008A4011"/>
    <w:rsid w:val="008A43C5"/>
    <w:rsid w:val="008B5598"/>
    <w:rsid w:val="008C788E"/>
    <w:rsid w:val="008D1DC6"/>
    <w:rsid w:val="008D4284"/>
    <w:rsid w:val="008D7879"/>
    <w:rsid w:val="008F0186"/>
    <w:rsid w:val="008F6014"/>
    <w:rsid w:val="0090439B"/>
    <w:rsid w:val="009143AF"/>
    <w:rsid w:val="009166DE"/>
    <w:rsid w:val="00941B7E"/>
    <w:rsid w:val="00952D81"/>
    <w:rsid w:val="0095335F"/>
    <w:rsid w:val="00966A7D"/>
    <w:rsid w:val="0097392A"/>
    <w:rsid w:val="00973CAF"/>
    <w:rsid w:val="00991FE0"/>
    <w:rsid w:val="00995B76"/>
    <w:rsid w:val="00996976"/>
    <w:rsid w:val="009A2B77"/>
    <w:rsid w:val="009B5D9F"/>
    <w:rsid w:val="009C0D64"/>
    <w:rsid w:val="009C3DC7"/>
    <w:rsid w:val="009F48BB"/>
    <w:rsid w:val="009F5EF0"/>
    <w:rsid w:val="00A02473"/>
    <w:rsid w:val="00A20F63"/>
    <w:rsid w:val="00A23EFF"/>
    <w:rsid w:val="00A31599"/>
    <w:rsid w:val="00A335DF"/>
    <w:rsid w:val="00A36DBB"/>
    <w:rsid w:val="00A4666B"/>
    <w:rsid w:val="00A51015"/>
    <w:rsid w:val="00A6696B"/>
    <w:rsid w:val="00A76E58"/>
    <w:rsid w:val="00A835DE"/>
    <w:rsid w:val="00A84BF6"/>
    <w:rsid w:val="00A8734A"/>
    <w:rsid w:val="00A90ED9"/>
    <w:rsid w:val="00A95552"/>
    <w:rsid w:val="00A95639"/>
    <w:rsid w:val="00AA7232"/>
    <w:rsid w:val="00AC5056"/>
    <w:rsid w:val="00AC5393"/>
    <w:rsid w:val="00AD21FB"/>
    <w:rsid w:val="00AD7728"/>
    <w:rsid w:val="00AE3AF5"/>
    <w:rsid w:val="00AF6367"/>
    <w:rsid w:val="00AF6A86"/>
    <w:rsid w:val="00B04981"/>
    <w:rsid w:val="00B05012"/>
    <w:rsid w:val="00B1606E"/>
    <w:rsid w:val="00B166A4"/>
    <w:rsid w:val="00B30FD8"/>
    <w:rsid w:val="00B45A54"/>
    <w:rsid w:val="00B5133E"/>
    <w:rsid w:val="00B556F0"/>
    <w:rsid w:val="00B62E7E"/>
    <w:rsid w:val="00B63243"/>
    <w:rsid w:val="00B96CA3"/>
    <w:rsid w:val="00BA41A4"/>
    <w:rsid w:val="00BB78CA"/>
    <w:rsid w:val="00BC6519"/>
    <w:rsid w:val="00BD7236"/>
    <w:rsid w:val="00BE226F"/>
    <w:rsid w:val="00C04AC7"/>
    <w:rsid w:val="00C07717"/>
    <w:rsid w:val="00C4530D"/>
    <w:rsid w:val="00C54ECA"/>
    <w:rsid w:val="00C65250"/>
    <w:rsid w:val="00C830D8"/>
    <w:rsid w:val="00C83F30"/>
    <w:rsid w:val="00C84727"/>
    <w:rsid w:val="00C96396"/>
    <w:rsid w:val="00C971F1"/>
    <w:rsid w:val="00CA14A9"/>
    <w:rsid w:val="00CA2333"/>
    <w:rsid w:val="00CA3E44"/>
    <w:rsid w:val="00CA615A"/>
    <w:rsid w:val="00CB6EF9"/>
    <w:rsid w:val="00CC1F0C"/>
    <w:rsid w:val="00CC768B"/>
    <w:rsid w:val="00CC7CEA"/>
    <w:rsid w:val="00CE37E7"/>
    <w:rsid w:val="00CE3D8C"/>
    <w:rsid w:val="00CE4723"/>
    <w:rsid w:val="00CE549A"/>
    <w:rsid w:val="00CE5B4B"/>
    <w:rsid w:val="00CE6BDF"/>
    <w:rsid w:val="00CF09C6"/>
    <w:rsid w:val="00CF2E5C"/>
    <w:rsid w:val="00D01394"/>
    <w:rsid w:val="00D07D06"/>
    <w:rsid w:val="00D10434"/>
    <w:rsid w:val="00D1232F"/>
    <w:rsid w:val="00D17D96"/>
    <w:rsid w:val="00D23FCB"/>
    <w:rsid w:val="00D27AB7"/>
    <w:rsid w:val="00D3206E"/>
    <w:rsid w:val="00D33579"/>
    <w:rsid w:val="00D35AB4"/>
    <w:rsid w:val="00D41528"/>
    <w:rsid w:val="00D463CA"/>
    <w:rsid w:val="00D64A39"/>
    <w:rsid w:val="00D6616E"/>
    <w:rsid w:val="00D733B9"/>
    <w:rsid w:val="00D80CD5"/>
    <w:rsid w:val="00D813DB"/>
    <w:rsid w:val="00D85D90"/>
    <w:rsid w:val="00D86E2B"/>
    <w:rsid w:val="00D935E2"/>
    <w:rsid w:val="00D96029"/>
    <w:rsid w:val="00DA7095"/>
    <w:rsid w:val="00DD6CDF"/>
    <w:rsid w:val="00DD7B69"/>
    <w:rsid w:val="00DE331D"/>
    <w:rsid w:val="00DE3778"/>
    <w:rsid w:val="00DF661F"/>
    <w:rsid w:val="00DF7B06"/>
    <w:rsid w:val="00E017F9"/>
    <w:rsid w:val="00E06169"/>
    <w:rsid w:val="00E20A54"/>
    <w:rsid w:val="00E334A4"/>
    <w:rsid w:val="00E335A2"/>
    <w:rsid w:val="00E43338"/>
    <w:rsid w:val="00E433FE"/>
    <w:rsid w:val="00E46240"/>
    <w:rsid w:val="00E54AD5"/>
    <w:rsid w:val="00E61D70"/>
    <w:rsid w:val="00E65525"/>
    <w:rsid w:val="00E74900"/>
    <w:rsid w:val="00E9026E"/>
    <w:rsid w:val="00E9343E"/>
    <w:rsid w:val="00EA4631"/>
    <w:rsid w:val="00EB3A73"/>
    <w:rsid w:val="00ED6321"/>
    <w:rsid w:val="00EE1AD5"/>
    <w:rsid w:val="00EE2D56"/>
    <w:rsid w:val="00EF5F12"/>
    <w:rsid w:val="00F429E7"/>
    <w:rsid w:val="00F45A3C"/>
    <w:rsid w:val="00F47107"/>
    <w:rsid w:val="00F54459"/>
    <w:rsid w:val="00F572A7"/>
    <w:rsid w:val="00F732AA"/>
    <w:rsid w:val="00F82FA7"/>
    <w:rsid w:val="00F841D7"/>
    <w:rsid w:val="00F85FD2"/>
    <w:rsid w:val="00F97BDB"/>
    <w:rsid w:val="00FB2697"/>
    <w:rsid w:val="00FB6B4F"/>
    <w:rsid w:val="00FF18C4"/>
    <w:rsid w:val="00FF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20A54"/>
    <w:rPr>
      <w:sz w:val="24"/>
      <w:szCs w:val="24"/>
    </w:rPr>
  </w:style>
  <w:style w:type="paragraph" w:styleId="Nadpis1">
    <w:name w:val="heading 1"/>
    <w:basedOn w:val="Normlny"/>
    <w:next w:val="Normlny"/>
    <w:qFormat/>
    <w:rsid w:val="00485707"/>
    <w:pPr>
      <w:keepNext/>
      <w:numPr>
        <w:numId w:val="4"/>
      </w:numPr>
      <w:spacing w:before="240" w:after="120" w:line="360" w:lineRule="auto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E20A54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Nadpis3">
    <w:name w:val="heading 3"/>
    <w:basedOn w:val="Normlny"/>
    <w:next w:val="Normlny"/>
    <w:qFormat/>
    <w:rsid w:val="00485707"/>
    <w:pPr>
      <w:keepNext/>
      <w:numPr>
        <w:ilvl w:val="2"/>
        <w:numId w:val="4"/>
      </w:numPr>
      <w:tabs>
        <w:tab w:val="clear" w:pos="1440"/>
        <w:tab w:val="num" w:pos="360"/>
      </w:tabs>
      <w:spacing w:before="120" w:after="60" w:line="360" w:lineRule="auto"/>
      <w:ind w:left="360" w:hanging="360"/>
      <w:jc w:val="both"/>
      <w:outlineLvl w:val="2"/>
    </w:pPr>
    <w:rPr>
      <w:rFonts w:ascii="Arial" w:hAnsi="Arial"/>
      <w:b/>
      <w:szCs w:val="20"/>
    </w:rPr>
  </w:style>
  <w:style w:type="paragraph" w:styleId="Nadpis4">
    <w:name w:val="heading 4"/>
    <w:basedOn w:val="Normlny"/>
    <w:next w:val="Normlny"/>
    <w:qFormat/>
    <w:rsid w:val="00E20A54"/>
    <w:pPr>
      <w:keepNext/>
      <w:outlineLvl w:val="3"/>
    </w:pPr>
    <w:rPr>
      <w:rFonts w:ascii="Arial" w:hAnsi="Arial"/>
      <w:szCs w:val="20"/>
    </w:rPr>
  </w:style>
  <w:style w:type="paragraph" w:styleId="Nadpis6">
    <w:name w:val="heading 6"/>
    <w:basedOn w:val="Normlny"/>
    <w:next w:val="Normlny"/>
    <w:qFormat/>
    <w:rsid w:val="00485707"/>
    <w:pPr>
      <w:keepNext/>
      <w:tabs>
        <w:tab w:val="left" w:pos="567"/>
        <w:tab w:val="left" w:pos="709"/>
        <w:tab w:val="decimal" w:pos="8222"/>
      </w:tabs>
      <w:spacing w:before="240" w:after="120" w:line="360" w:lineRule="auto"/>
      <w:jc w:val="center"/>
      <w:outlineLvl w:val="5"/>
    </w:pPr>
    <w:rPr>
      <w:rFonts w:ascii="Arial" w:hAnsi="Arial"/>
      <w:b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arCharChar">
    <w:name w:val="Car Char Char"/>
    <w:basedOn w:val="Normlny"/>
    <w:rsid w:val="00E20A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Zarkazkladnhotextu">
    <w:name w:val="Body Text Indent"/>
    <w:basedOn w:val="Normlny"/>
    <w:link w:val="ZarkazkladnhotextuChar"/>
    <w:rsid w:val="00E20A54"/>
    <w:pPr>
      <w:ind w:left="360"/>
      <w:jc w:val="both"/>
    </w:pPr>
    <w:rPr>
      <w:rFonts w:ascii="Arial" w:hAnsi="Arial"/>
      <w:szCs w:val="20"/>
    </w:rPr>
  </w:style>
  <w:style w:type="paragraph" w:styleId="Pta">
    <w:name w:val="footer"/>
    <w:basedOn w:val="Normlny"/>
    <w:link w:val="PtaChar"/>
    <w:rsid w:val="00E20A54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E20A54"/>
    <w:rPr>
      <w:rFonts w:ascii="Arial" w:hAnsi="Arial"/>
      <w:color w:val="000000"/>
      <w:sz w:val="20"/>
      <w:szCs w:val="20"/>
      <w:lang w:eastAsia="cs-CZ"/>
    </w:rPr>
  </w:style>
  <w:style w:type="character" w:styleId="Hypertextovprepojenie">
    <w:name w:val="Hyperlink"/>
    <w:basedOn w:val="Predvolenpsmoodseku"/>
    <w:rsid w:val="00E20A54"/>
    <w:rPr>
      <w:color w:val="0000FF"/>
      <w:u w:val="single"/>
    </w:rPr>
  </w:style>
  <w:style w:type="character" w:styleId="PouitHypertextovPrepojenie">
    <w:name w:val="FollowedHyperlink"/>
    <w:basedOn w:val="Predvolenpsmoodseku"/>
    <w:rsid w:val="00FF48A1"/>
    <w:rPr>
      <w:color w:val="800080"/>
      <w:u w:val="single"/>
    </w:rPr>
  </w:style>
  <w:style w:type="paragraph" w:styleId="Textbubliny">
    <w:name w:val="Balloon Text"/>
    <w:basedOn w:val="Normlny"/>
    <w:link w:val="TextbublinyChar"/>
    <w:rsid w:val="00557E3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657CB2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Zkladntext2">
    <w:name w:val="Body Text 2"/>
    <w:basedOn w:val="Normlny"/>
    <w:link w:val="Zkladntext2Char"/>
    <w:rsid w:val="00657CB2"/>
    <w:pPr>
      <w:spacing w:after="120" w:line="480" w:lineRule="auto"/>
    </w:pPr>
    <w:rPr>
      <w:rFonts w:ascii="Arial" w:hAnsi="Arial"/>
      <w:szCs w:val="20"/>
    </w:rPr>
  </w:style>
  <w:style w:type="paragraph" w:styleId="Zkladntext3">
    <w:name w:val="Body Text 3"/>
    <w:basedOn w:val="Normlny"/>
    <w:rsid w:val="00657CB2"/>
    <w:pPr>
      <w:spacing w:after="120"/>
    </w:pPr>
    <w:rPr>
      <w:rFonts w:ascii="Arial" w:hAnsi="Arial"/>
      <w:sz w:val="16"/>
      <w:szCs w:val="16"/>
    </w:rPr>
  </w:style>
  <w:style w:type="paragraph" w:styleId="Zarkazkladnhotextu3">
    <w:name w:val="Body Text Indent 3"/>
    <w:basedOn w:val="Normlny"/>
    <w:link w:val="Zarkazkladnhotextu3Char"/>
    <w:rsid w:val="00485707"/>
    <w:pPr>
      <w:spacing w:after="120"/>
      <w:ind w:left="283"/>
    </w:pPr>
    <w:rPr>
      <w:rFonts w:ascii="Arial" w:hAnsi="Arial"/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85707"/>
    <w:pPr>
      <w:spacing w:after="120" w:line="480" w:lineRule="auto"/>
      <w:ind w:left="283"/>
    </w:pPr>
    <w:rPr>
      <w:rFonts w:ascii="Arial" w:hAnsi="Arial"/>
      <w:szCs w:val="20"/>
    </w:rPr>
  </w:style>
  <w:style w:type="character" w:styleId="slostrany">
    <w:name w:val="page number"/>
    <w:basedOn w:val="Predvolenpsmoodseku"/>
    <w:rsid w:val="00485707"/>
  </w:style>
  <w:style w:type="paragraph" w:customStyle="1" w:styleId="kSk">
    <w:name w:val="kSk"/>
    <w:basedOn w:val="Normlny"/>
    <w:rsid w:val="00485707"/>
    <w:pPr>
      <w:tabs>
        <w:tab w:val="left" w:pos="426"/>
        <w:tab w:val="decimal" w:pos="8080"/>
      </w:tabs>
      <w:spacing w:after="240" w:line="360" w:lineRule="auto"/>
    </w:pPr>
    <w:rPr>
      <w:rFonts w:ascii="Arial" w:hAnsi="Arial"/>
      <w:szCs w:val="20"/>
    </w:rPr>
  </w:style>
  <w:style w:type="table" w:styleId="Mriekatabuky">
    <w:name w:val="Table Grid"/>
    <w:basedOn w:val="Normlnatabuka"/>
    <w:rsid w:val="0048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obecn">
    <w:name w:val="Všeobecný"/>
    <w:basedOn w:val="Normlny"/>
    <w:rsid w:val="00485707"/>
    <w:pPr>
      <w:jc w:val="both"/>
    </w:pPr>
    <w:rPr>
      <w:rFonts w:ascii="Arial" w:hAnsi="Arial"/>
      <w:szCs w:val="20"/>
      <w:lang w:eastAsia="cs-CZ"/>
    </w:rPr>
  </w:style>
  <w:style w:type="paragraph" w:customStyle="1" w:styleId="Char">
    <w:name w:val="Char"/>
    <w:basedOn w:val="Normlny"/>
    <w:rsid w:val="00475AA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semiHidden/>
    <w:rsid w:val="003B0253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7B085C"/>
  </w:style>
  <w:style w:type="character" w:customStyle="1" w:styleId="Nadpis2Char">
    <w:name w:val="Nadpis 2 Char"/>
    <w:basedOn w:val="Predvolenpsmoodseku"/>
    <w:link w:val="Nadpis2"/>
    <w:rsid w:val="007B085C"/>
    <w:rPr>
      <w:rFonts w:ascii="Arial" w:hAnsi="Arial"/>
      <w:b/>
      <w:sz w:val="22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7B085C"/>
    <w:rPr>
      <w:rFonts w:ascii="Arial" w:hAnsi="Arial"/>
      <w:sz w:val="16"/>
      <w:szCs w:val="16"/>
    </w:rPr>
  </w:style>
  <w:style w:type="character" w:customStyle="1" w:styleId="ZarkazkladnhotextuChar">
    <w:name w:val="Zarážka základného textu Char"/>
    <w:basedOn w:val="Predvolenpsmoodseku"/>
    <w:link w:val="Zarkazkladnhotextu"/>
    <w:rsid w:val="007B085C"/>
    <w:rPr>
      <w:rFonts w:ascii="Arial" w:hAnsi="Arial"/>
      <w:sz w:val="24"/>
    </w:rPr>
  </w:style>
  <w:style w:type="character" w:customStyle="1" w:styleId="ZkladntextChar">
    <w:name w:val="Základný text Char"/>
    <w:basedOn w:val="Predvolenpsmoodseku"/>
    <w:link w:val="Zkladntext"/>
    <w:rsid w:val="007B085C"/>
    <w:rPr>
      <w:rFonts w:ascii="Arial" w:hAnsi="Arial"/>
      <w:color w:val="000000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7B085C"/>
    <w:rPr>
      <w:rFonts w:ascii="Arial" w:hAnsi="Arial"/>
      <w:sz w:val="24"/>
    </w:rPr>
  </w:style>
  <w:style w:type="character" w:customStyle="1" w:styleId="Zkladntext2Char">
    <w:name w:val="Základný text 2 Char"/>
    <w:basedOn w:val="Predvolenpsmoodseku"/>
    <w:link w:val="Zkladntext2"/>
    <w:rsid w:val="007B085C"/>
    <w:rPr>
      <w:rFonts w:ascii="Arial" w:hAnsi="Arial"/>
      <w:sz w:val="24"/>
    </w:rPr>
  </w:style>
  <w:style w:type="character" w:customStyle="1" w:styleId="PtaChar">
    <w:name w:val="Päta Char"/>
    <w:basedOn w:val="Predvolenpsmoodseku"/>
    <w:link w:val="Pta"/>
    <w:rsid w:val="007B085C"/>
    <w:rPr>
      <w:lang w:eastAsia="cs-CZ"/>
    </w:rPr>
  </w:style>
  <w:style w:type="character" w:customStyle="1" w:styleId="TextbublinyChar">
    <w:name w:val="Text bubliny Char"/>
    <w:basedOn w:val="Predvolenpsmoodseku"/>
    <w:link w:val="Textbubliny"/>
    <w:rsid w:val="007B085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99"/>
    <w:qFormat/>
    <w:rsid w:val="007B085C"/>
    <w:pPr>
      <w:ind w:left="720"/>
      <w:contextualSpacing/>
    </w:pPr>
    <w:rPr>
      <w:rFonts w:ascii="Arial" w:hAnsi="Arial"/>
      <w:szCs w:val="20"/>
    </w:rPr>
  </w:style>
  <w:style w:type="numbering" w:customStyle="1" w:styleId="Bezzoznamu2">
    <w:name w:val="Bez zoznamu2"/>
    <w:next w:val="Bezzoznamu"/>
    <w:uiPriority w:val="99"/>
    <w:semiHidden/>
    <w:unhideWhenUsed/>
    <w:rsid w:val="000A39AE"/>
  </w:style>
  <w:style w:type="numbering" w:customStyle="1" w:styleId="Bezzoznamu3">
    <w:name w:val="Bez zoznamu3"/>
    <w:next w:val="Bezzoznamu"/>
    <w:uiPriority w:val="99"/>
    <w:semiHidden/>
    <w:unhideWhenUsed/>
    <w:rsid w:val="009A2B77"/>
  </w:style>
  <w:style w:type="numbering" w:customStyle="1" w:styleId="Bezzoznamu4">
    <w:name w:val="Bez zoznamu4"/>
    <w:next w:val="Bezzoznamu"/>
    <w:uiPriority w:val="99"/>
    <w:semiHidden/>
    <w:unhideWhenUsed/>
    <w:rsid w:val="0045503B"/>
  </w:style>
  <w:style w:type="character" w:customStyle="1" w:styleId="HlavikaChar">
    <w:name w:val="Hlavička Char"/>
    <w:basedOn w:val="Predvolenpsmoodseku"/>
    <w:link w:val="Hlavika"/>
    <w:rsid w:val="0045503B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E20A54"/>
    <w:rPr>
      <w:sz w:val="24"/>
      <w:szCs w:val="24"/>
    </w:rPr>
  </w:style>
  <w:style w:type="paragraph" w:styleId="Nadpis1">
    <w:name w:val="heading 1"/>
    <w:basedOn w:val="Normlny"/>
    <w:next w:val="Normlny"/>
    <w:qFormat/>
    <w:rsid w:val="00485707"/>
    <w:pPr>
      <w:keepNext/>
      <w:numPr>
        <w:numId w:val="4"/>
      </w:numPr>
      <w:spacing w:before="240" w:after="120" w:line="360" w:lineRule="auto"/>
      <w:jc w:val="both"/>
      <w:outlineLvl w:val="0"/>
    </w:pPr>
    <w:rPr>
      <w:rFonts w:ascii="Arial" w:hAnsi="Arial"/>
      <w:b/>
      <w:kern w:val="28"/>
      <w:sz w:val="28"/>
      <w:szCs w:val="20"/>
    </w:rPr>
  </w:style>
  <w:style w:type="paragraph" w:styleId="Nadpis2">
    <w:name w:val="heading 2"/>
    <w:basedOn w:val="Normlny"/>
    <w:next w:val="Normlny"/>
    <w:link w:val="Nadpis2Char"/>
    <w:qFormat/>
    <w:rsid w:val="00E20A54"/>
    <w:pPr>
      <w:keepNext/>
      <w:jc w:val="both"/>
      <w:outlineLvl w:val="1"/>
    </w:pPr>
    <w:rPr>
      <w:rFonts w:ascii="Arial" w:hAnsi="Arial"/>
      <w:b/>
      <w:sz w:val="22"/>
      <w:szCs w:val="20"/>
    </w:rPr>
  </w:style>
  <w:style w:type="paragraph" w:styleId="Nadpis3">
    <w:name w:val="heading 3"/>
    <w:basedOn w:val="Normlny"/>
    <w:next w:val="Normlny"/>
    <w:qFormat/>
    <w:rsid w:val="00485707"/>
    <w:pPr>
      <w:keepNext/>
      <w:numPr>
        <w:ilvl w:val="2"/>
        <w:numId w:val="4"/>
      </w:numPr>
      <w:tabs>
        <w:tab w:val="clear" w:pos="1440"/>
        <w:tab w:val="num" w:pos="360"/>
      </w:tabs>
      <w:spacing w:before="120" w:after="60" w:line="360" w:lineRule="auto"/>
      <w:ind w:left="360" w:hanging="360"/>
      <w:jc w:val="both"/>
      <w:outlineLvl w:val="2"/>
    </w:pPr>
    <w:rPr>
      <w:rFonts w:ascii="Arial" w:hAnsi="Arial"/>
      <w:b/>
      <w:szCs w:val="20"/>
    </w:rPr>
  </w:style>
  <w:style w:type="paragraph" w:styleId="Nadpis4">
    <w:name w:val="heading 4"/>
    <w:basedOn w:val="Normlny"/>
    <w:next w:val="Normlny"/>
    <w:qFormat/>
    <w:rsid w:val="00E20A54"/>
    <w:pPr>
      <w:keepNext/>
      <w:outlineLvl w:val="3"/>
    </w:pPr>
    <w:rPr>
      <w:rFonts w:ascii="Arial" w:hAnsi="Arial"/>
      <w:szCs w:val="20"/>
    </w:rPr>
  </w:style>
  <w:style w:type="paragraph" w:styleId="Nadpis6">
    <w:name w:val="heading 6"/>
    <w:basedOn w:val="Normlny"/>
    <w:next w:val="Normlny"/>
    <w:qFormat/>
    <w:rsid w:val="00485707"/>
    <w:pPr>
      <w:keepNext/>
      <w:tabs>
        <w:tab w:val="left" w:pos="567"/>
        <w:tab w:val="left" w:pos="709"/>
        <w:tab w:val="decimal" w:pos="8222"/>
      </w:tabs>
      <w:spacing w:before="240" w:after="120" w:line="360" w:lineRule="auto"/>
      <w:jc w:val="center"/>
      <w:outlineLvl w:val="5"/>
    </w:pPr>
    <w:rPr>
      <w:rFonts w:ascii="Arial" w:hAnsi="Arial"/>
      <w:b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arCharChar">
    <w:name w:val="Car Char Char"/>
    <w:basedOn w:val="Normlny"/>
    <w:rsid w:val="00E20A54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Zarkazkladnhotextu">
    <w:name w:val="Body Text Indent"/>
    <w:basedOn w:val="Normlny"/>
    <w:link w:val="ZarkazkladnhotextuChar"/>
    <w:rsid w:val="00E20A54"/>
    <w:pPr>
      <w:ind w:left="360"/>
      <w:jc w:val="both"/>
    </w:pPr>
    <w:rPr>
      <w:rFonts w:ascii="Arial" w:hAnsi="Arial"/>
      <w:szCs w:val="20"/>
    </w:rPr>
  </w:style>
  <w:style w:type="paragraph" w:styleId="Pta">
    <w:name w:val="footer"/>
    <w:basedOn w:val="Normlny"/>
    <w:link w:val="PtaChar"/>
    <w:rsid w:val="00E20A54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Zkladntext">
    <w:name w:val="Body Text"/>
    <w:basedOn w:val="Normlny"/>
    <w:link w:val="ZkladntextChar"/>
    <w:rsid w:val="00E20A54"/>
    <w:rPr>
      <w:rFonts w:ascii="Arial" w:hAnsi="Arial"/>
      <w:color w:val="000000"/>
      <w:sz w:val="20"/>
      <w:szCs w:val="20"/>
      <w:lang w:eastAsia="cs-CZ"/>
    </w:rPr>
  </w:style>
  <w:style w:type="character" w:styleId="Hypertextovprepojenie">
    <w:name w:val="Hyperlink"/>
    <w:basedOn w:val="Predvolenpsmoodseku"/>
    <w:rsid w:val="00E20A54"/>
    <w:rPr>
      <w:color w:val="0000FF"/>
      <w:u w:val="single"/>
    </w:rPr>
  </w:style>
  <w:style w:type="character" w:styleId="PouitHypertextovPrepojenie">
    <w:name w:val="FollowedHyperlink"/>
    <w:basedOn w:val="Predvolenpsmoodseku"/>
    <w:rsid w:val="00FF48A1"/>
    <w:rPr>
      <w:color w:val="800080"/>
      <w:u w:val="single"/>
    </w:rPr>
  </w:style>
  <w:style w:type="paragraph" w:styleId="Textbubliny">
    <w:name w:val="Balloon Text"/>
    <w:basedOn w:val="Normlny"/>
    <w:link w:val="TextbublinyChar"/>
    <w:rsid w:val="00557E3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657CB2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Zkladntext2">
    <w:name w:val="Body Text 2"/>
    <w:basedOn w:val="Normlny"/>
    <w:link w:val="Zkladntext2Char"/>
    <w:rsid w:val="00657CB2"/>
    <w:pPr>
      <w:spacing w:after="120" w:line="480" w:lineRule="auto"/>
    </w:pPr>
    <w:rPr>
      <w:rFonts w:ascii="Arial" w:hAnsi="Arial"/>
      <w:szCs w:val="20"/>
    </w:rPr>
  </w:style>
  <w:style w:type="paragraph" w:styleId="Zkladntext3">
    <w:name w:val="Body Text 3"/>
    <w:basedOn w:val="Normlny"/>
    <w:rsid w:val="00657CB2"/>
    <w:pPr>
      <w:spacing w:after="120"/>
    </w:pPr>
    <w:rPr>
      <w:rFonts w:ascii="Arial" w:hAnsi="Arial"/>
      <w:sz w:val="16"/>
      <w:szCs w:val="16"/>
    </w:rPr>
  </w:style>
  <w:style w:type="paragraph" w:styleId="Zarkazkladnhotextu3">
    <w:name w:val="Body Text Indent 3"/>
    <w:basedOn w:val="Normlny"/>
    <w:link w:val="Zarkazkladnhotextu3Char"/>
    <w:rsid w:val="00485707"/>
    <w:pPr>
      <w:spacing w:after="120"/>
      <w:ind w:left="283"/>
    </w:pPr>
    <w:rPr>
      <w:rFonts w:ascii="Arial" w:hAnsi="Arial"/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85707"/>
    <w:pPr>
      <w:spacing w:after="120" w:line="480" w:lineRule="auto"/>
      <w:ind w:left="283"/>
    </w:pPr>
    <w:rPr>
      <w:rFonts w:ascii="Arial" w:hAnsi="Arial"/>
      <w:szCs w:val="20"/>
    </w:rPr>
  </w:style>
  <w:style w:type="character" w:styleId="slostrany">
    <w:name w:val="page number"/>
    <w:basedOn w:val="Predvolenpsmoodseku"/>
    <w:rsid w:val="00485707"/>
  </w:style>
  <w:style w:type="paragraph" w:customStyle="1" w:styleId="kSk">
    <w:name w:val="kSk"/>
    <w:basedOn w:val="Normlny"/>
    <w:rsid w:val="00485707"/>
    <w:pPr>
      <w:tabs>
        <w:tab w:val="left" w:pos="426"/>
        <w:tab w:val="decimal" w:pos="8080"/>
      </w:tabs>
      <w:spacing w:after="240" w:line="360" w:lineRule="auto"/>
    </w:pPr>
    <w:rPr>
      <w:rFonts w:ascii="Arial" w:hAnsi="Arial"/>
      <w:szCs w:val="20"/>
    </w:rPr>
  </w:style>
  <w:style w:type="table" w:styleId="Mriekatabuky">
    <w:name w:val="Table Grid"/>
    <w:basedOn w:val="Normlnatabuka"/>
    <w:rsid w:val="0048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obecn">
    <w:name w:val="Všeobecný"/>
    <w:basedOn w:val="Normlny"/>
    <w:rsid w:val="00485707"/>
    <w:pPr>
      <w:jc w:val="both"/>
    </w:pPr>
    <w:rPr>
      <w:rFonts w:ascii="Arial" w:hAnsi="Arial"/>
      <w:szCs w:val="20"/>
      <w:lang w:eastAsia="cs-CZ"/>
    </w:rPr>
  </w:style>
  <w:style w:type="paragraph" w:customStyle="1" w:styleId="Char">
    <w:name w:val="Char"/>
    <w:basedOn w:val="Normlny"/>
    <w:rsid w:val="00475AA9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truktradokumentu">
    <w:name w:val="Document Map"/>
    <w:basedOn w:val="Normlny"/>
    <w:semiHidden/>
    <w:rsid w:val="003B0253"/>
    <w:pPr>
      <w:shd w:val="clear" w:color="auto" w:fill="000080"/>
    </w:pPr>
    <w:rPr>
      <w:rFonts w:ascii="Tahoma" w:hAnsi="Tahoma" w:cs="Tahoma"/>
      <w:sz w:val="20"/>
      <w:szCs w:val="20"/>
    </w:rPr>
  </w:style>
  <w:style w:type="numbering" w:customStyle="1" w:styleId="Bezzoznamu1">
    <w:name w:val="Bez zoznamu1"/>
    <w:next w:val="Bezzoznamu"/>
    <w:uiPriority w:val="99"/>
    <w:semiHidden/>
    <w:unhideWhenUsed/>
    <w:rsid w:val="007B085C"/>
  </w:style>
  <w:style w:type="character" w:customStyle="1" w:styleId="Nadpis2Char">
    <w:name w:val="Nadpis 2 Char"/>
    <w:basedOn w:val="Predvolenpsmoodseku"/>
    <w:link w:val="Nadpis2"/>
    <w:rsid w:val="007B085C"/>
    <w:rPr>
      <w:rFonts w:ascii="Arial" w:hAnsi="Arial"/>
      <w:b/>
      <w:sz w:val="22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7B085C"/>
    <w:rPr>
      <w:rFonts w:ascii="Arial" w:hAnsi="Arial"/>
      <w:sz w:val="16"/>
      <w:szCs w:val="16"/>
    </w:rPr>
  </w:style>
  <w:style w:type="character" w:customStyle="1" w:styleId="ZarkazkladnhotextuChar">
    <w:name w:val="Zarážka základného textu Char"/>
    <w:basedOn w:val="Predvolenpsmoodseku"/>
    <w:link w:val="Zarkazkladnhotextu"/>
    <w:rsid w:val="007B085C"/>
    <w:rPr>
      <w:rFonts w:ascii="Arial" w:hAnsi="Arial"/>
      <w:sz w:val="24"/>
    </w:rPr>
  </w:style>
  <w:style w:type="character" w:customStyle="1" w:styleId="ZkladntextChar">
    <w:name w:val="Základný text Char"/>
    <w:basedOn w:val="Predvolenpsmoodseku"/>
    <w:link w:val="Zkladntext"/>
    <w:rsid w:val="007B085C"/>
    <w:rPr>
      <w:rFonts w:ascii="Arial" w:hAnsi="Arial"/>
      <w:color w:val="000000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7B085C"/>
    <w:rPr>
      <w:rFonts w:ascii="Arial" w:hAnsi="Arial"/>
      <w:sz w:val="24"/>
    </w:rPr>
  </w:style>
  <w:style w:type="character" w:customStyle="1" w:styleId="Zkladntext2Char">
    <w:name w:val="Základný text 2 Char"/>
    <w:basedOn w:val="Predvolenpsmoodseku"/>
    <w:link w:val="Zkladntext2"/>
    <w:rsid w:val="007B085C"/>
    <w:rPr>
      <w:rFonts w:ascii="Arial" w:hAnsi="Arial"/>
      <w:sz w:val="24"/>
    </w:rPr>
  </w:style>
  <w:style w:type="character" w:customStyle="1" w:styleId="PtaChar">
    <w:name w:val="Päta Char"/>
    <w:basedOn w:val="Predvolenpsmoodseku"/>
    <w:link w:val="Pta"/>
    <w:rsid w:val="007B085C"/>
    <w:rPr>
      <w:lang w:eastAsia="cs-CZ"/>
    </w:rPr>
  </w:style>
  <w:style w:type="character" w:customStyle="1" w:styleId="TextbublinyChar">
    <w:name w:val="Text bubliny Char"/>
    <w:basedOn w:val="Predvolenpsmoodseku"/>
    <w:link w:val="Textbubliny"/>
    <w:rsid w:val="007B085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99"/>
    <w:qFormat/>
    <w:rsid w:val="007B085C"/>
    <w:pPr>
      <w:ind w:left="720"/>
      <w:contextualSpacing/>
    </w:pPr>
    <w:rPr>
      <w:rFonts w:ascii="Arial" w:hAnsi="Arial"/>
      <w:szCs w:val="20"/>
    </w:rPr>
  </w:style>
  <w:style w:type="numbering" w:customStyle="1" w:styleId="Bezzoznamu2">
    <w:name w:val="Bez zoznamu2"/>
    <w:next w:val="Bezzoznamu"/>
    <w:uiPriority w:val="99"/>
    <w:semiHidden/>
    <w:unhideWhenUsed/>
    <w:rsid w:val="000A39AE"/>
  </w:style>
  <w:style w:type="numbering" w:customStyle="1" w:styleId="Bezzoznamu3">
    <w:name w:val="Bez zoznamu3"/>
    <w:next w:val="Bezzoznamu"/>
    <w:uiPriority w:val="99"/>
    <w:semiHidden/>
    <w:unhideWhenUsed/>
    <w:rsid w:val="009A2B77"/>
  </w:style>
  <w:style w:type="numbering" w:customStyle="1" w:styleId="Bezzoznamu4">
    <w:name w:val="Bez zoznamu4"/>
    <w:next w:val="Bezzoznamu"/>
    <w:uiPriority w:val="99"/>
    <w:semiHidden/>
    <w:unhideWhenUsed/>
    <w:rsid w:val="0045503B"/>
  </w:style>
  <w:style w:type="character" w:customStyle="1" w:styleId="HlavikaChar">
    <w:name w:val="Hlavička Char"/>
    <w:basedOn w:val="Predvolenpsmoodseku"/>
    <w:link w:val="Hlavika"/>
    <w:rsid w:val="0045503B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pi.sk/Main/Default.aspx?Template=~/Main/TArticles.ascx&amp;phContent=~/ZzSR/ShowRule.ascx&amp;RuleId=0&amp;FragmentId1=5345907&amp;FragmentId2=534590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188466313392199"/>
          <c:y val="0.22000047743159165"/>
          <c:w val="0.55775117376814642"/>
          <c:h val="0.5622234423251786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16"/>
          <c:dPt>
            <c:idx val="0"/>
            <c:bubble3D val="0"/>
            <c:explosion val="7"/>
            <c:spPr>
              <a:pattFill prst="pct70">
                <a:fgClr>
                  <a:srgbClr xmlns:mc="http://schemas.openxmlformats.org/markup-compatibility/2006" xmlns:a14="http://schemas.microsoft.com/office/drawing/2010/main" val="FFFFFF" mc:Ignorable="a14" a14:legacySpreadsheetColorIndex="9"/>
                </a:fgClr>
                <a:bgClr>
                  <a:srgbClr xmlns:mc="http://schemas.openxmlformats.org/markup-compatibility/2006" xmlns:a14="http://schemas.microsoft.com/office/drawing/2010/main" val="000000" mc:Ignorable="a14" a14:legacySpreadsheetColorIndex="8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explosion val="1"/>
            <c:spPr>
              <a:pattFill prst="smConfetti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explosion val="26"/>
            <c:spPr>
              <a:solidFill>
                <a:srgbClr val="FF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pattFill prst="pct60">
                <a:fgClr>
                  <a:srgbClr xmlns:mc="http://schemas.openxmlformats.org/markup-compatibility/2006" xmlns:a14="http://schemas.microsoft.com/office/drawing/2010/main" val="FFFFFF" mc:Ignorable="a14" a14:legacySpreadsheetColorIndex="9"/>
                </a:fgClr>
                <a:bgClr>
                  <a:srgbClr xmlns:mc="http://schemas.openxmlformats.org/markup-compatibility/2006" xmlns:a14="http://schemas.microsoft.com/office/drawing/2010/main" val="000000" mc:Ignorable="a14" a14:legacySpreadsheetColorIndex="8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pattFill prst="wdDnDiag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8.2482121029475469E-2"/>
                  <c:y val="7.43425317257605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starobné 
73,</a:t>
                    </a:r>
                    <a:r>
                      <a:rPr lang="sk-SK"/>
                      <a:t>56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0861320027923835"/>
                  <c:y val="3.075591540877979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predčasné star.
2,44%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5241643487577887E-2"/>
                  <c:y val="-4.0663635267564002E-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vdovecké
0,81%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358118156578743E-2"/>
                  <c:y val="-0.144673623114183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2.2717156563455319E-2"/>
                  <c:y val="-0.12752293819677032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sk-SK"/>
                      <a:t>invalidné
12,87%</a:t>
                    </a:r>
                  </a:p>
                </c:rich>
              </c:tx>
              <c:spPr>
                <a:noFill/>
                <a:ln w="25386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9262171920881849E-3"/>
                  <c:y val="-0.166704399249219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sirotské
0,8</a:t>
                    </a:r>
                    <a:r>
                      <a:rPr lang="sk-SK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0%" sourceLinked="0"/>
            <c:spPr>
              <a:noFill/>
              <a:ln w="25386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k-SK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Grafy!$B$117:$G$117</c:f>
              <c:strCache>
                <c:ptCount val="6"/>
                <c:pt idx="0">
                  <c:v>starobné </c:v>
                </c:pt>
                <c:pt idx="1">
                  <c:v>predčasné starobné</c:v>
                </c:pt>
                <c:pt idx="2">
                  <c:v>vdovecké</c:v>
                </c:pt>
                <c:pt idx="3">
                  <c:v>vdovské</c:v>
                </c:pt>
                <c:pt idx="4">
                  <c:v>invalidné</c:v>
                </c:pt>
                <c:pt idx="5">
                  <c:v>sirotské</c:v>
                </c:pt>
              </c:strCache>
            </c:strRef>
          </c:cat>
          <c:val>
            <c:numRef>
              <c:f>Grafy!$B$118:$G$118</c:f>
              <c:numCache>
                <c:formatCode>0.00</c:formatCode>
                <c:ptCount val="6"/>
                <c:pt idx="0">
                  <c:v>73.56</c:v>
                </c:pt>
                <c:pt idx="1">
                  <c:v>2.44</c:v>
                </c:pt>
                <c:pt idx="2" formatCode="General">
                  <c:v>0.81</c:v>
                </c:pt>
                <c:pt idx="3">
                  <c:v>9.52</c:v>
                </c:pt>
                <c:pt idx="4" formatCode="General">
                  <c:v>12.87</c:v>
                </c:pt>
                <c:pt idx="5" formatCode="General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6">
          <a:noFill/>
        </a:ln>
      </c:spPr>
    </c:plotArea>
    <c:plotVisOnly val="1"/>
    <c:dispBlanksAs val="zero"/>
    <c:showDLblsOverMax val="0"/>
  </c:chart>
  <c:spPr>
    <a:solidFill>
      <a:srgbClr val="FFFFFF"/>
    </a:solidFill>
    <a:ln>
      <a:noFill/>
    </a:ln>
  </c:spPr>
  <c:txPr>
    <a:bodyPr/>
    <a:lstStyle/>
    <a:p>
      <a:pPr>
        <a:defRPr sz="10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335728211799622"/>
          <c:y val="0.14345128907395996"/>
          <c:w val="0.70210118172326674"/>
          <c:h val="0.65904432806442481"/>
        </c:manualLayout>
      </c:layout>
      <c:lineChart>
        <c:grouping val="standard"/>
        <c:varyColors val="0"/>
        <c:ser>
          <c:idx val="0"/>
          <c:order val="0"/>
          <c:tx>
            <c:strRef>
              <c:f>Grafy!$A$5</c:f>
              <c:strCache>
                <c:ptCount val="1"/>
                <c:pt idx="0">
                  <c:v>rok</c:v>
                </c:pt>
              </c:strCache>
            </c:strRef>
          </c:tx>
          <c:spPr>
            <a:ln w="12693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pattFill prst="dashVert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8626022953565122E-2"/>
                  <c:y val="-9.1362326937514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2489145961312476E-2"/>
                  <c:y val="-8.4261396372016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192621364688664E-2"/>
                  <c:y val="-8.1070121223760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268575007212571E-2"/>
                  <c:y val="-8.3210130884415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8040714079640849E-2"/>
                  <c:y val="-9.039812373785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7744330216095641E-2"/>
                  <c:y val="-9.25979596231180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5735435885527715E-2"/>
                  <c:y val="-8.91922877711239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279122951454125E-2"/>
                  <c:y val="-8.0317754072315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6328485078775339E-2"/>
                  <c:y val="-8.38398193573918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6047863320034056E-2"/>
                  <c:y val="-8.6624183063591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8123816962557963E-2"/>
                  <c:y val="-9.0713782728378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3082335887638711E-2"/>
                  <c:y val="-8.1413714638220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2785811291014896E-2"/>
                  <c:y val="-9.128085153435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6510241849795586E-2"/>
                  <c:y val="-8.7275287928255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1.9851948801306002E-2"/>
                  <c:y val="-9.444256275060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4268434274133964E-2"/>
                  <c:y val="-8.2617455523159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0515223800778255E-2"/>
                  <c:y val="-9.3818693949287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9000091476501096E-2"/>
                  <c:y val="-0.102073083436632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794311568962725E-2"/>
                  <c:y val="-9.77902706729286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238221192804917E-2"/>
                  <c:y val="-9.6678480600124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0332911001749016E-2"/>
                  <c:y val="-9.86748607643556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1.8626266775467866E-2"/>
                  <c:y val="-9.64238117685400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0512117416906731E-2"/>
                  <c:y val="-9.48294545221758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6.2294261638503781E-2"/>
                  <c:y val="-0.1617471082640588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" sourceLinked="0"/>
            <c:spPr>
              <a:noFill/>
              <a:ln w="25387">
                <a:noFill/>
              </a:ln>
            </c:spPr>
            <c:txPr>
              <a:bodyPr rot="-5400000" vert="horz"/>
              <a:lstStyle/>
              <a:p>
                <a:pPr algn="ctr" rtl="0">
                  <a:defRPr/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Grafy!$B$4:$S$4</c:f>
              <c:strCache>
                <c:ptCount val="18"/>
                <c:pt idx="0">
                  <c:v>k 31.1.2011</c:v>
                </c:pt>
                <c:pt idx="1">
                  <c:v>k 28.2.2011</c:v>
                </c:pt>
                <c:pt idx="2">
                  <c:v>k 31.3.2011</c:v>
                </c:pt>
                <c:pt idx="3">
                  <c:v>k 30.4.2011</c:v>
                </c:pt>
                <c:pt idx="4">
                  <c:v>k 31.5.2011</c:v>
                </c:pt>
                <c:pt idx="5">
                  <c:v>k 30.6.2011</c:v>
                </c:pt>
                <c:pt idx="6">
                  <c:v>k 31.7.2011</c:v>
                </c:pt>
                <c:pt idx="7">
                  <c:v>k 31.8.2011</c:v>
                </c:pt>
                <c:pt idx="8">
                  <c:v>k 30.9.2011</c:v>
                </c:pt>
                <c:pt idx="9">
                  <c:v>k 31.10.2011</c:v>
                </c:pt>
                <c:pt idx="10">
                  <c:v>k 30.11.2011</c:v>
                </c:pt>
                <c:pt idx="11">
                  <c:v>k 31.12.2011</c:v>
                </c:pt>
                <c:pt idx="12">
                  <c:v>k 31.1.2012</c:v>
                </c:pt>
                <c:pt idx="13">
                  <c:v>k 29.2.2012</c:v>
                </c:pt>
                <c:pt idx="14">
                  <c:v>k 31.3.2012</c:v>
                </c:pt>
                <c:pt idx="15">
                  <c:v>k 30.4.2012</c:v>
                </c:pt>
                <c:pt idx="16">
                  <c:v>k 31.5.2012</c:v>
                </c:pt>
                <c:pt idx="17">
                  <c:v>k 30.6.2012</c:v>
                </c:pt>
              </c:strCache>
            </c:strRef>
          </c:cat>
          <c:val>
            <c:numRef>
              <c:f>Grafy!$B$5:$S$5</c:f>
              <c:numCache>
                <c:formatCode>#,##0</c:formatCode>
                <c:ptCount val="18"/>
                <c:pt idx="0">
                  <c:v>1599184</c:v>
                </c:pt>
                <c:pt idx="1">
                  <c:v>1597730</c:v>
                </c:pt>
                <c:pt idx="2">
                  <c:v>1588616</c:v>
                </c:pt>
                <c:pt idx="3">
                  <c:v>1588812</c:v>
                </c:pt>
                <c:pt idx="4">
                  <c:v>1589031</c:v>
                </c:pt>
                <c:pt idx="5" formatCode="0">
                  <c:v>1588977</c:v>
                </c:pt>
                <c:pt idx="6" formatCode="0">
                  <c:v>1588427</c:v>
                </c:pt>
                <c:pt idx="7" formatCode="0">
                  <c:v>1588371</c:v>
                </c:pt>
                <c:pt idx="8" formatCode="0">
                  <c:v>1587963</c:v>
                </c:pt>
                <c:pt idx="9" formatCode="0">
                  <c:v>1586841</c:v>
                </c:pt>
                <c:pt idx="10" formatCode="0">
                  <c:v>1591491</c:v>
                </c:pt>
                <c:pt idx="11" formatCode="0">
                  <c:v>1595772</c:v>
                </c:pt>
                <c:pt idx="12">
                  <c:v>1594513</c:v>
                </c:pt>
                <c:pt idx="13">
                  <c:v>1593568</c:v>
                </c:pt>
                <c:pt idx="14">
                  <c:v>1595736</c:v>
                </c:pt>
                <c:pt idx="15">
                  <c:v>1599329</c:v>
                </c:pt>
                <c:pt idx="16">
                  <c:v>1600342</c:v>
                </c:pt>
                <c:pt idx="17" formatCode="0">
                  <c:v>1601636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3173">
              <a:solidFill>
                <a:srgbClr val="000000"/>
              </a:solidFill>
              <a:prstDash val="solid"/>
            </a:ln>
          </c:spPr>
        </c:dropLines>
        <c:marker val="1"/>
        <c:smooth val="0"/>
        <c:axId val="131841024"/>
        <c:axId val="131846912"/>
      </c:lineChart>
      <c:catAx>
        <c:axId val="131841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-3600000" vert="horz"/>
          <a:lstStyle/>
          <a:p>
            <a:pPr>
              <a:defRPr/>
            </a:pPr>
            <a:endParaRPr lang="sk-SK"/>
          </a:p>
        </c:txPr>
        <c:crossAx val="131846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1846912"/>
        <c:scaling>
          <c:orientation val="minMax"/>
          <c:max val="1610000"/>
          <c:min val="1530000"/>
        </c:scaling>
        <c:delete val="0"/>
        <c:axPos val="l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sk-SK"/>
                  <a:t>počty</a:t>
                </a:r>
              </a:p>
            </c:rich>
          </c:tx>
          <c:layout>
            <c:manualLayout>
              <c:xMode val="edge"/>
              <c:yMode val="edge"/>
              <c:x val="8.5409461580673557E-2"/>
              <c:y val="0.43243285065557285"/>
            </c:manualLayout>
          </c:layout>
          <c:overlay val="0"/>
          <c:spPr>
            <a:noFill/>
            <a:ln w="25387">
              <a:noFill/>
            </a:ln>
          </c:spPr>
        </c:title>
        <c:numFmt formatCode="#,##0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sk-SK"/>
          </a:p>
        </c:txPr>
        <c:crossAx val="131841024"/>
        <c:crosses val="autoZero"/>
        <c:crossBetween val="between"/>
        <c:majorUnit val="10000"/>
      </c:valAx>
      <c:spPr>
        <a:solidFill>
          <a:srgbClr val="FFFFFF"/>
        </a:solidFill>
        <a:ln w="25387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sk-SK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DC556-14B7-4F63-B4D6-E80AA0585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6356</Words>
  <Characters>36232</Characters>
  <Application>Microsoft Office Word</Application>
  <DocSecurity>0</DocSecurity>
  <Lines>301</Lines>
  <Paragraphs>85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>Sociálna poisťovňa</Company>
  <LinksUpToDate>false</LinksUpToDate>
  <CharactersWithSpaces>42503</CharactersWithSpaces>
  <SharedDoc>false</SharedDoc>
  <HLinks>
    <vt:vector size="6" baseType="variant">
      <vt:variant>
        <vt:i4>8126497</vt:i4>
      </vt:variant>
      <vt:variant>
        <vt:i4>0</vt:i4>
      </vt:variant>
      <vt:variant>
        <vt:i4>0</vt:i4>
      </vt:variant>
      <vt:variant>
        <vt:i4>5</vt:i4>
      </vt:variant>
      <vt:variant>
        <vt:lpwstr>http://www.epi.sk/Main/Default.aspx?Template=~/Main/TArticles.ascx&amp;phContent=~/ZzSR/ShowRule.ascx&amp;RuleId=0&amp;FragmentId1=5345907&amp;FragmentId2=5345908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szabova_z</dc:creator>
  <cp:keywords/>
  <dc:description/>
  <cp:lastModifiedBy>jano</cp:lastModifiedBy>
  <cp:revision>7</cp:revision>
  <cp:lastPrinted>2011-03-30T06:07:00Z</cp:lastPrinted>
  <dcterms:created xsi:type="dcterms:W3CDTF">2012-07-26T11:24:00Z</dcterms:created>
  <dcterms:modified xsi:type="dcterms:W3CDTF">2012-08-13T12:28:00Z</dcterms:modified>
</cp:coreProperties>
</file>