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CB2" w:rsidRPr="00657CB2" w:rsidRDefault="00657CB2" w:rsidP="00657CB2">
      <w:pPr>
        <w:rPr>
          <w:rFonts w:ascii="Arial" w:hAnsi="Arial" w:cs="Arial"/>
        </w:rPr>
      </w:pPr>
      <w:r w:rsidRPr="00657CB2">
        <w:rPr>
          <w:rFonts w:ascii="Arial" w:hAnsi="Arial" w:cs="Arial"/>
        </w:rPr>
        <w:t xml:space="preserve">Materiál predkladaný na </w:t>
      </w:r>
      <w:r w:rsidR="00907146">
        <w:rPr>
          <w:rFonts w:ascii="Arial" w:hAnsi="Arial" w:cs="Arial"/>
        </w:rPr>
        <w:t>3</w:t>
      </w:r>
      <w:r w:rsidR="0053100D">
        <w:rPr>
          <w:rFonts w:ascii="Arial" w:hAnsi="Arial" w:cs="Arial"/>
        </w:rPr>
        <w:t>/1</w:t>
      </w:r>
      <w:r w:rsidR="00040C67">
        <w:rPr>
          <w:rFonts w:ascii="Arial" w:hAnsi="Arial" w:cs="Arial"/>
        </w:rPr>
        <w:t>2</w:t>
      </w:r>
      <w:r w:rsidRPr="00657CB2">
        <w:rPr>
          <w:rFonts w:ascii="Arial" w:hAnsi="Arial" w:cs="Arial"/>
        </w:rPr>
        <w:t xml:space="preserve"> zasadnutie</w:t>
      </w:r>
    </w:p>
    <w:p w:rsidR="00657CB2" w:rsidRPr="00657CB2" w:rsidRDefault="00657CB2" w:rsidP="00657CB2">
      <w:pPr>
        <w:rPr>
          <w:rFonts w:ascii="Arial" w:hAnsi="Arial" w:cs="Arial"/>
        </w:rPr>
      </w:pPr>
      <w:r w:rsidRPr="00657CB2">
        <w:rPr>
          <w:rFonts w:ascii="Arial" w:hAnsi="Arial" w:cs="Arial"/>
        </w:rPr>
        <w:t>Dozornej rady Sociálnej poisťovne</w:t>
      </w:r>
    </w:p>
    <w:p w:rsidR="00657CB2" w:rsidRPr="00657CB2" w:rsidRDefault="00657CB2" w:rsidP="00657CB2">
      <w:pPr>
        <w:rPr>
          <w:rFonts w:ascii="Arial" w:hAnsi="Arial" w:cs="Arial"/>
        </w:rPr>
      </w:pPr>
      <w:r w:rsidRPr="00657CB2">
        <w:rPr>
          <w:rFonts w:ascii="Arial" w:hAnsi="Arial" w:cs="Arial"/>
        </w:rPr>
        <w:t xml:space="preserve">konané </w:t>
      </w:r>
      <w:r w:rsidR="00025C71">
        <w:rPr>
          <w:rFonts w:ascii="Arial" w:hAnsi="Arial" w:cs="Arial"/>
        </w:rPr>
        <w:t xml:space="preserve">dňa </w:t>
      </w:r>
      <w:r w:rsidR="00960230">
        <w:rPr>
          <w:rFonts w:ascii="Arial" w:hAnsi="Arial" w:cs="Arial"/>
        </w:rPr>
        <w:t>2</w:t>
      </w:r>
      <w:r w:rsidR="00907146">
        <w:rPr>
          <w:rFonts w:ascii="Arial" w:hAnsi="Arial" w:cs="Arial"/>
        </w:rPr>
        <w:t>9</w:t>
      </w:r>
      <w:r w:rsidR="00CE4723">
        <w:rPr>
          <w:rFonts w:ascii="Arial" w:hAnsi="Arial" w:cs="Arial"/>
        </w:rPr>
        <w:t xml:space="preserve">. </w:t>
      </w:r>
      <w:r w:rsidR="00907146">
        <w:rPr>
          <w:rFonts w:ascii="Arial" w:hAnsi="Arial" w:cs="Arial"/>
        </w:rPr>
        <w:t>júna</w:t>
      </w:r>
      <w:r w:rsidR="00CE4723">
        <w:rPr>
          <w:rFonts w:ascii="Arial" w:hAnsi="Arial" w:cs="Arial"/>
        </w:rPr>
        <w:t xml:space="preserve"> 201</w:t>
      </w:r>
      <w:r w:rsidR="00040C67">
        <w:rPr>
          <w:rFonts w:ascii="Arial" w:hAnsi="Arial" w:cs="Arial"/>
        </w:rPr>
        <w:t>2</w:t>
      </w:r>
    </w:p>
    <w:p w:rsidR="00657CB2" w:rsidRPr="00657CB2" w:rsidRDefault="00657CB2" w:rsidP="00657CB2">
      <w:pPr>
        <w:rPr>
          <w:rFonts w:ascii="Arial" w:hAnsi="Arial" w:cs="Arial"/>
        </w:rPr>
      </w:pPr>
    </w:p>
    <w:p w:rsidR="00657CB2" w:rsidRPr="005D0790" w:rsidRDefault="00657CB2" w:rsidP="00657CB2">
      <w:pPr>
        <w:rPr>
          <w:rFonts w:cs="Arial"/>
        </w:rPr>
      </w:pPr>
    </w:p>
    <w:p w:rsidR="00657CB2" w:rsidRPr="005D0790" w:rsidRDefault="00657CB2" w:rsidP="00657CB2">
      <w:pPr>
        <w:rPr>
          <w:rFonts w:cs="Arial"/>
        </w:rPr>
      </w:pPr>
    </w:p>
    <w:p w:rsidR="00657CB2" w:rsidRPr="00D960B4" w:rsidRDefault="00960230" w:rsidP="00657CB2">
      <w:pPr>
        <w:jc w:val="center"/>
        <w:rPr>
          <w:rFonts w:ascii="Arial Black" w:hAnsi="Arial Black"/>
          <w:sz w:val="52"/>
          <w:szCs w:val="52"/>
        </w:rPr>
      </w:pPr>
      <w:r>
        <w:rPr>
          <w:rFonts w:ascii="Arial Black" w:hAnsi="Arial Black"/>
          <w:sz w:val="52"/>
          <w:szCs w:val="52"/>
        </w:rPr>
        <w:t>2</w:t>
      </w:r>
      <w:bookmarkStart w:id="0" w:name="_GoBack"/>
      <w:bookmarkEnd w:id="0"/>
    </w:p>
    <w:p w:rsidR="00657CB2" w:rsidRPr="00B1538A" w:rsidRDefault="00657CB2" w:rsidP="00657CB2">
      <w:pPr>
        <w:rPr>
          <w:rFonts w:cs="Arial"/>
        </w:rPr>
      </w:pPr>
    </w:p>
    <w:p w:rsidR="00657CB2" w:rsidRPr="00B1538A" w:rsidRDefault="00657CB2" w:rsidP="00657CB2">
      <w:pPr>
        <w:pStyle w:val="Zkladntext"/>
        <w:jc w:val="center"/>
        <w:rPr>
          <w:rFonts w:cs="Arial"/>
          <w:b/>
          <w:caps/>
          <w:sz w:val="28"/>
        </w:rPr>
      </w:pPr>
      <w:r w:rsidRPr="00B1538A">
        <w:rPr>
          <w:rFonts w:cs="Arial"/>
          <w:b/>
          <w:caps/>
          <w:sz w:val="28"/>
        </w:rPr>
        <w:t xml:space="preserve">správa o hospodárení sociálnej poisťovne </w:t>
      </w:r>
      <w:r w:rsidRPr="00B1538A">
        <w:rPr>
          <w:rFonts w:cs="Arial"/>
          <w:b/>
          <w:caps/>
          <w:sz w:val="28"/>
        </w:rPr>
        <w:br/>
      </w:r>
      <w:r w:rsidR="00F429E7">
        <w:rPr>
          <w:rFonts w:cs="Arial"/>
          <w:b/>
          <w:caps/>
          <w:sz w:val="28"/>
        </w:rPr>
        <w:t xml:space="preserve">v mesiacoch január až </w:t>
      </w:r>
      <w:r w:rsidR="00907146">
        <w:rPr>
          <w:rFonts w:cs="Arial"/>
          <w:b/>
          <w:caps/>
          <w:sz w:val="28"/>
        </w:rPr>
        <w:t>máj</w:t>
      </w:r>
      <w:r w:rsidR="00F429E7">
        <w:rPr>
          <w:rFonts w:cs="Arial"/>
          <w:b/>
          <w:caps/>
          <w:sz w:val="28"/>
        </w:rPr>
        <w:t xml:space="preserve"> 2012</w:t>
      </w:r>
      <w:r w:rsidRPr="00B1538A">
        <w:rPr>
          <w:rFonts w:cs="Arial"/>
          <w:b/>
          <w:caps/>
          <w:sz w:val="28"/>
        </w:rPr>
        <w:t xml:space="preserve"> </w:t>
      </w:r>
    </w:p>
    <w:p w:rsidR="00657CB2" w:rsidRDefault="00657CB2" w:rsidP="00657CB2">
      <w:pPr>
        <w:jc w:val="both"/>
      </w:pPr>
    </w:p>
    <w:p w:rsidR="00657CB2" w:rsidRDefault="00657CB2" w:rsidP="00657CB2">
      <w:pPr>
        <w:jc w:val="both"/>
      </w:pPr>
    </w:p>
    <w:p w:rsidR="00657CB2" w:rsidRPr="00657CB2" w:rsidRDefault="00657CB2" w:rsidP="00657CB2">
      <w:pPr>
        <w:jc w:val="both"/>
        <w:rPr>
          <w:rFonts w:ascii="Arial" w:hAnsi="Arial" w:cs="Arial"/>
        </w:rPr>
      </w:pPr>
    </w:p>
    <w:p w:rsidR="00657CB2" w:rsidRPr="00657CB2" w:rsidRDefault="00657CB2" w:rsidP="00657CB2">
      <w:pPr>
        <w:tabs>
          <w:tab w:val="left" w:pos="4860"/>
        </w:tabs>
        <w:rPr>
          <w:rFonts w:ascii="Arial" w:hAnsi="Arial" w:cs="Arial"/>
          <w:b/>
        </w:rPr>
      </w:pPr>
      <w:r w:rsidRPr="00657CB2">
        <w:rPr>
          <w:rFonts w:ascii="Arial" w:hAnsi="Arial" w:cs="Arial"/>
          <w:b/>
        </w:rPr>
        <w:t>Dôvod predloženia:</w:t>
      </w:r>
      <w:r w:rsidRPr="00657CB2">
        <w:rPr>
          <w:rFonts w:ascii="Arial" w:hAnsi="Arial" w:cs="Arial"/>
          <w:b/>
        </w:rPr>
        <w:tab/>
        <w:t>Materiál obsahuje:</w:t>
      </w:r>
    </w:p>
    <w:p w:rsidR="00657CB2" w:rsidRPr="00657CB2" w:rsidRDefault="00657CB2" w:rsidP="00657CB2">
      <w:pPr>
        <w:tabs>
          <w:tab w:val="left" w:pos="5760"/>
        </w:tabs>
        <w:ind w:left="5760" w:hanging="5760"/>
        <w:rPr>
          <w:rFonts w:ascii="Arial" w:hAnsi="Arial" w:cs="Arial"/>
          <w:b/>
        </w:rPr>
      </w:pPr>
    </w:p>
    <w:p w:rsidR="00657CB2" w:rsidRPr="00657CB2" w:rsidRDefault="00657CB2" w:rsidP="00657CB2">
      <w:pPr>
        <w:tabs>
          <w:tab w:val="left" w:pos="4860"/>
          <w:tab w:val="left" w:pos="5220"/>
        </w:tabs>
        <w:rPr>
          <w:rFonts w:ascii="Arial" w:hAnsi="Arial" w:cs="Arial"/>
        </w:rPr>
      </w:pPr>
      <w:r w:rsidRPr="00657CB2">
        <w:rPr>
          <w:rFonts w:ascii="Arial" w:hAnsi="Arial" w:cs="Arial"/>
        </w:rPr>
        <w:t xml:space="preserve">realizácia vecného a časového plánu </w:t>
      </w:r>
      <w:r w:rsidRPr="00657CB2">
        <w:rPr>
          <w:rFonts w:ascii="Arial" w:hAnsi="Arial" w:cs="Arial"/>
        </w:rPr>
        <w:tab/>
        <w:t xml:space="preserve">1. </w:t>
      </w:r>
      <w:r w:rsidRPr="00657CB2">
        <w:rPr>
          <w:rFonts w:ascii="Arial" w:hAnsi="Arial" w:cs="Arial"/>
        </w:rPr>
        <w:tab/>
        <w:t>Návrh uznesenia Dozornej rady</w:t>
      </w:r>
    </w:p>
    <w:p w:rsidR="00657CB2" w:rsidRPr="00657CB2" w:rsidRDefault="00657CB2" w:rsidP="00657CB2">
      <w:pPr>
        <w:tabs>
          <w:tab w:val="left" w:pos="4860"/>
          <w:tab w:val="left" w:pos="5220"/>
        </w:tabs>
        <w:rPr>
          <w:rFonts w:ascii="Arial" w:hAnsi="Arial" w:cs="Arial"/>
        </w:rPr>
      </w:pPr>
      <w:r w:rsidRPr="00657CB2">
        <w:rPr>
          <w:rFonts w:ascii="Arial" w:hAnsi="Arial" w:cs="Arial"/>
        </w:rPr>
        <w:t>konania zasadnutí Dozornej rady</w:t>
      </w:r>
      <w:r w:rsidRPr="00657CB2">
        <w:rPr>
          <w:rFonts w:ascii="Arial" w:hAnsi="Arial" w:cs="Arial"/>
        </w:rPr>
        <w:tab/>
      </w:r>
      <w:r w:rsidRPr="00657CB2">
        <w:rPr>
          <w:rFonts w:ascii="Arial" w:hAnsi="Arial" w:cs="Arial"/>
        </w:rPr>
        <w:tab/>
        <w:t>Sociálnej poisťovne</w:t>
      </w:r>
    </w:p>
    <w:p w:rsidR="00657CB2" w:rsidRPr="00657CB2" w:rsidRDefault="00657CB2" w:rsidP="00657CB2">
      <w:pPr>
        <w:tabs>
          <w:tab w:val="left" w:pos="4860"/>
          <w:tab w:val="left" w:pos="5220"/>
        </w:tabs>
        <w:rPr>
          <w:rFonts w:ascii="Arial" w:hAnsi="Arial" w:cs="Arial"/>
        </w:rPr>
      </w:pPr>
      <w:r w:rsidRPr="00657CB2">
        <w:rPr>
          <w:rFonts w:ascii="Arial" w:hAnsi="Arial" w:cs="Arial"/>
        </w:rPr>
        <w:t>Sociálnej poisťovne v r</w:t>
      </w:r>
      <w:r w:rsidR="00AE3AF5">
        <w:rPr>
          <w:rFonts w:ascii="Arial" w:hAnsi="Arial" w:cs="Arial"/>
        </w:rPr>
        <w:t>oku 20</w:t>
      </w:r>
      <w:r w:rsidR="0053100D">
        <w:rPr>
          <w:rFonts w:ascii="Arial" w:hAnsi="Arial" w:cs="Arial"/>
        </w:rPr>
        <w:t>1</w:t>
      </w:r>
      <w:r w:rsidR="00040C67">
        <w:rPr>
          <w:rFonts w:ascii="Arial" w:hAnsi="Arial" w:cs="Arial"/>
        </w:rPr>
        <w:t>2</w:t>
      </w:r>
      <w:r w:rsidRPr="00657CB2">
        <w:rPr>
          <w:rFonts w:ascii="Arial" w:hAnsi="Arial" w:cs="Arial"/>
        </w:rPr>
        <w:tab/>
      </w:r>
    </w:p>
    <w:p w:rsidR="00657CB2" w:rsidRPr="00657CB2" w:rsidRDefault="00657CB2" w:rsidP="00657CB2">
      <w:pPr>
        <w:tabs>
          <w:tab w:val="left" w:pos="4860"/>
          <w:tab w:val="left" w:pos="5220"/>
        </w:tabs>
        <w:rPr>
          <w:rFonts w:ascii="Arial" w:hAnsi="Arial" w:cs="Arial"/>
        </w:rPr>
      </w:pPr>
      <w:r w:rsidRPr="00657CB2">
        <w:rPr>
          <w:rFonts w:ascii="Arial" w:hAnsi="Arial" w:cs="Arial"/>
        </w:rPr>
        <w:tab/>
        <w:t xml:space="preserve">2. </w:t>
      </w:r>
      <w:r w:rsidRPr="00657CB2">
        <w:rPr>
          <w:rFonts w:ascii="Arial" w:hAnsi="Arial" w:cs="Arial"/>
        </w:rPr>
        <w:tab/>
        <w:t>Predkladaciu správu</w:t>
      </w:r>
    </w:p>
    <w:p w:rsidR="00657CB2" w:rsidRPr="00657CB2" w:rsidRDefault="00657CB2" w:rsidP="00657CB2">
      <w:pPr>
        <w:tabs>
          <w:tab w:val="left" w:pos="4860"/>
          <w:tab w:val="left" w:pos="5220"/>
        </w:tabs>
        <w:rPr>
          <w:rFonts w:ascii="Arial" w:hAnsi="Arial" w:cs="Arial"/>
        </w:rPr>
      </w:pPr>
      <w:r w:rsidRPr="00657CB2">
        <w:rPr>
          <w:rFonts w:ascii="Arial" w:hAnsi="Arial" w:cs="Arial"/>
        </w:rPr>
        <w:tab/>
      </w:r>
    </w:p>
    <w:p w:rsidR="00657CB2" w:rsidRPr="00657CB2" w:rsidRDefault="00657CB2" w:rsidP="0053100D">
      <w:pPr>
        <w:numPr>
          <w:ilvl w:val="0"/>
          <w:numId w:val="2"/>
        </w:numPr>
        <w:tabs>
          <w:tab w:val="left" w:pos="4860"/>
        </w:tabs>
        <w:rPr>
          <w:rFonts w:ascii="Arial" w:hAnsi="Arial" w:cs="Arial"/>
        </w:rPr>
      </w:pPr>
      <w:r w:rsidRPr="00657CB2">
        <w:rPr>
          <w:rFonts w:ascii="Arial" w:hAnsi="Arial" w:cs="Arial"/>
        </w:rPr>
        <w:t>Správu o</w:t>
      </w:r>
      <w:r w:rsidR="00D10434">
        <w:rPr>
          <w:rFonts w:ascii="Arial" w:hAnsi="Arial" w:cs="Arial"/>
        </w:rPr>
        <w:t> </w:t>
      </w:r>
      <w:r w:rsidRPr="00657CB2">
        <w:rPr>
          <w:rFonts w:ascii="Arial" w:hAnsi="Arial" w:cs="Arial"/>
        </w:rPr>
        <w:t>hospodárení</w:t>
      </w:r>
      <w:r w:rsidR="00D10434">
        <w:rPr>
          <w:rFonts w:ascii="Arial" w:hAnsi="Arial" w:cs="Arial"/>
        </w:rPr>
        <w:t xml:space="preserve"> </w:t>
      </w:r>
      <w:r w:rsidRPr="00657CB2">
        <w:rPr>
          <w:rFonts w:ascii="Arial" w:hAnsi="Arial" w:cs="Arial"/>
        </w:rPr>
        <w:t>Sociálnej poisťovne</w:t>
      </w:r>
      <w:r w:rsidR="0053100D">
        <w:rPr>
          <w:rFonts w:ascii="Arial" w:hAnsi="Arial" w:cs="Arial"/>
        </w:rPr>
        <w:t xml:space="preserve"> </w:t>
      </w:r>
      <w:r w:rsidR="00F429E7">
        <w:rPr>
          <w:rFonts w:ascii="Arial" w:hAnsi="Arial" w:cs="Arial"/>
        </w:rPr>
        <w:t xml:space="preserve">mesiacoch január až </w:t>
      </w:r>
      <w:r w:rsidR="00907146">
        <w:rPr>
          <w:rFonts w:ascii="Arial" w:hAnsi="Arial" w:cs="Arial"/>
        </w:rPr>
        <w:t>máj</w:t>
      </w:r>
      <w:r w:rsidR="000B5A7C">
        <w:rPr>
          <w:rFonts w:ascii="Arial" w:hAnsi="Arial" w:cs="Arial"/>
        </w:rPr>
        <w:t xml:space="preserve"> 201</w:t>
      </w:r>
      <w:r w:rsidR="00F429E7">
        <w:rPr>
          <w:rFonts w:ascii="Arial" w:hAnsi="Arial" w:cs="Arial"/>
        </w:rPr>
        <w:t>2</w:t>
      </w:r>
      <w:r w:rsidR="000B5A7C">
        <w:rPr>
          <w:rFonts w:ascii="Arial" w:hAnsi="Arial" w:cs="Arial"/>
        </w:rPr>
        <w:t xml:space="preserve"> </w:t>
      </w:r>
      <w:r w:rsidR="00392264">
        <w:rPr>
          <w:rFonts w:ascii="Arial" w:hAnsi="Arial" w:cs="Arial"/>
        </w:rPr>
        <w:t xml:space="preserve"> </w:t>
      </w:r>
      <w:r w:rsidRPr="00657CB2">
        <w:rPr>
          <w:rFonts w:ascii="Arial" w:hAnsi="Arial" w:cs="Arial"/>
        </w:rPr>
        <w:t xml:space="preserve"> </w:t>
      </w:r>
    </w:p>
    <w:p w:rsidR="00657CB2" w:rsidRPr="00657CB2" w:rsidRDefault="00657CB2" w:rsidP="00657CB2">
      <w:pPr>
        <w:tabs>
          <w:tab w:val="left" w:pos="4860"/>
          <w:tab w:val="left" w:pos="5220"/>
        </w:tabs>
        <w:rPr>
          <w:rFonts w:ascii="Arial" w:hAnsi="Arial" w:cs="Arial"/>
        </w:rPr>
      </w:pPr>
      <w:r w:rsidRPr="00657CB2">
        <w:rPr>
          <w:rFonts w:ascii="Arial" w:hAnsi="Arial" w:cs="Arial"/>
        </w:rPr>
        <w:tab/>
      </w:r>
    </w:p>
    <w:p w:rsidR="00657CB2" w:rsidRDefault="00657CB2" w:rsidP="00657CB2">
      <w:pPr>
        <w:rPr>
          <w:rFonts w:ascii="Arial" w:hAnsi="Arial" w:cs="Arial"/>
        </w:rPr>
      </w:pPr>
    </w:p>
    <w:p w:rsidR="00096632" w:rsidRDefault="00096632" w:rsidP="00657CB2">
      <w:pPr>
        <w:rPr>
          <w:rFonts w:ascii="Arial" w:hAnsi="Arial" w:cs="Arial"/>
        </w:rPr>
      </w:pPr>
    </w:p>
    <w:p w:rsidR="00096632" w:rsidRPr="00657CB2" w:rsidRDefault="00096632" w:rsidP="00657CB2">
      <w:pPr>
        <w:rPr>
          <w:rFonts w:ascii="Arial" w:hAnsi="Arial" w:cs="Arial"/>
        </w:rPr>
      </w:pPr>
    </w:p>
    <w:p w:rsidR="00657CB2" w:rsidRPr="00657CB2" w:rsidRDefault="00657CB2" w:rsidP="00657CB2">
      <w:pPr>
        <w:rPr>
          <w:rFonts w:ascii="Arial" w:hAnsi="Arial" w:cs="Arial"/>
        </w:rPr>
      </w:pPr>
    </w:p>
    <w:p w:rsidR="00657CB2" w:rsidRPr="00657CB2" w:rsidRDefault="00657CB2" w:rsidP="00657CB2">
      <w:pPr>
        <w:rPr>
          <w:rFonts w:ascii="Arial" w:hAnsi="Arial" w:cs="Arial"/>
        </w:rPr>
      </w:pPr>
    </w:p>
    <w:p w:rsidR="00657CB2" w:rsidRPr="00657CB2" w:rsidRDefault="00657CB2" w:rsidP="00657CB2">
      <w:pPr>
        <w:rPr>
          <w:rFonts w:ascii="Arial" w:hAnsi="Arial" w:cs="Arial"/>
          <w:b/>
        </w:rPr>
      </w:pPr>
      <w:r w:rsidRPr="00657CB2">
        <w:rPr>
          <w:rFonts w:ascii="Arial" w:hAnsi="Arial" w:cs="Arial"/>
          <w:b/>
        </w:rPr>
        <w:t>Materiál predkladá:</w:t>
      </w:r>
    </w:p>
    <w:p w:rsidR="00657CB2" w:rsidRPr="00657CB2" w:rsidRDefault="00657CB2" w:rsidP="00657CB2">
      <w:pPr>
        <w:rPr>
          <w:rFonts w:ascii="Arial" w:hAnsi="Arial" w:cs="Arial"/>
        </w:rPr>
      </w:pPr>
    </w:p>
    <w:p w:rsidR="00657CB2" w:rsidRPr="00657CB2" w:rsidRDefault="00657CB2" w:rsidP="00657CB2">
      <w:pPr>
        <w:rPr>
          <w:rFonts w:ascii="Arial" w:hAnsi="Arial" w:cs="Arial"/>
        </w:rPr>
      </w:pPr>
      <w:r w:rsidRPr="00657CB2">
        <w:rPr>
          <w:rFonts w:ascii="Arial" w:hAnsi="Arial" w:cs="Arial"/>
        </w:rPr>
        <w:t xml:space="preserve">Ing. </w:t>
      </w:r>
      <w:r w:rsidR="00435B59">
        <w:rPr>
          <w:rFonts w:ascii="Arial" w:hAnsi="Arial" w:cs="Arial"/>
        </w:rPr>
        <w:t>Ľuboš Lopatka, PhD.</w:t>
      </w:r>
    </w:p>
    <w:p w:rsidR="00657CB2" w:rsidRPr="00657CB2" w:rsidRDefault="00657CB2" w:rsidP="00657CB2">
      <w:pPr>
        <w:rPr>
          <w:rFonts w:ascii="Arial" w:hAnsi="Arial" w:cs="Arial"/>
        </w:rPr>
      </w:pPr>
      <w:r w:rsidRPr="00657CB2">
        <w:rPr>
          <w:rFonts w:ascii="Arial" w:hAnsi="Arial" w:cs="Arial"/>
        </w:rPr>
        <w:t>generálny riaditeľ Sociálnej poisťovne</w:t>
      </w:r>
    </w:p>
    <w:p w:rsidR="00657CB2" w:rsidRDefault="00657CB2" w:rsidP="00657CB2">
      <w:pPr>
        <w:pStyle w:val="Pta"/>
        <w:rPr>
          <w:rFonts w:ascii="Arial" w:hAnsi="Arial" w:cs="Arial"/>
        </w:rPr>
      </w:pPr>
    </w:p>
    <w:p w:rsidR="00657CB2" w:rsidRDefault="00657CB2" w:rsidP="00657CB2">
      <w:pPr>
        <w:pStyle w:val="Pta"/>
        <w:rPr>
          <w:rFonts w:ascii="Arial" w:hAnsi="Arial" w:cs="Arial"/>
        </w:rPr>
        <w:sectPr w:rsidR="00657CB2" w:rsidSect="00506E81">
          <w:headerReference w:type="default" r:id="rId9"/>
          <w:footerReference w:type="default" r:id="rId10"/>
          <w:pgSz w:w="11906" w:h="16838" w:code="9"/>
          <w:pgMar w:top="2835" w:right="1418" w:bottom="1418" w:left="1418" w:header="709" w:footer="709" w:gutter="0"/>
          <w:cols w:space="708"/>
          <w:docGrid w:linePitch="360"/>
        </w:sectPr>
      </w:pPr>
    </w:p>
    <w:p w:rsidR="00657CB2" w:rsidRPr="00657CB2" w:rsidRDefault="00657CB2" w:rsidP="00657CB2">
      <w:pPr>
        <w:pStyle w:val="Nadpis4"/>
        <w:spacing w:line="360" w:lineRule="auto"/>
        <w:jc w:val="center"/>
        <w:rPr>
          <w:rFonts w:cs="Arial"/>
          <w:b/>
          <w:szCs w:val="24"/>
        </w:rPr>
      </w:pPr>
      <w:r w:rsidRPr="00657CB2">
        <w:rPr>
          <w:rFonts w:cs="Arial"/>
          <w:b/>
          <w:szCs w:val="24"/>
        </w:rPr>
        <w:lastRenderedPageBreak/>
        <w:t xml:space="preserve">Návrh uznesenia </w:t>
      </w:r>
      <w:r w:rsidRPr="00657CB2">
        <w:rPr>
          <w:rFonts w:cs="Arial"/>
          <w:b/>
          <w:szCs w:val="24"/>
        </w:rPr>
        <w:br/>
        <w:t>Dozornej rady Sociálnej poisťovne</w:t>
      </w:r>
    </w:p>
    <w:p w:rsidR="00657CB2" w:rsidRDefault="00657CB2" w:rsidP="00657CB2">
      <w:pPr>
        <w:jc w:val="both"/>
      </w:pPr>
    </w:p>
    <w:p w:rsidR="00657CB2" w:rsidRDefault="00657CB2" w:rsidP="00657CB2">
      <w:pPr>
        <w:jc w:val="both"/>
      </w:pPr>
    </w:p>
    <w:p w:rsidR="00657CB2" w:rsidRDefault="00657CB2" w:rsidP="00657CB2">
      <w:pPr>
        <w:jc w:val="both"/>
      </w:pPr>
    </w:p>
    <w:p w:rsidR="00657CB2" w:rsidRPr="00C675A7" w:rsidRDefault="00657CB2" w:rsidP="00657CB2">
      <w:pPr>
        <w:pStyle w:val="Zkladntext2"/>
        <w:spacing w:after="0" w:line="240" w:lineRule="auto"/>
        <w:rPr>
          <w:b/>
        </w:rPr>
      </w:pPr>
      <w:r w:rsidRPr="00C675A7">
        <w:rPr>
          <w:b/>
        </w:rPr>
        <w:t>Dozorná rada Sociálnej poisťovne</w:t>
      </w:r>
    </w:p>
    <w:p w:rsidR="00657CB2" w:rsidRPr="00AF30AF" w:rsidRDefault="00657CB2" w:rsidP="00657CB2">
      <w:pPr>
        <w:pStyle w:val="Zkladntext2"/>
        <w:spacing w:after="0" w:line="240" w:lineRule="auto"/>
        <w:rPr>
          <w:rFonts w:cs="Arial"/>
          <w:szCs w:val="24"/>
        </w:rPr>
      </w:pPr>
    </w:p>
    <w:p w:rsidR="00657CB2" w:rsidRPr="00AF30AF" w:rsidRDefault="00657CB2" w:rsidP="00657CB2">
      <w:pPr>
        <w:pStyle w:val="Zkladntext2"/>
        <w:spacing w:after="0" w:line="240" w:lineRule="auto"/>
        <w:rPr>
          <w:rFonts w:cs="Arial"/>
          <w:szCs w:val="24"/>
        </w:rPr>
      </w:pPr>
    </w:p>
    <w:p w:rsidR="00657CB2" w:rsidRPr="00AF30AF" w:rsidRDefault="00657CB2" w:rsidP="00657CB2">
      <w:pPr>
        <w:pStyle w:val="Zkladntext2"/>
        <w:spacing w:after="0" w:line="240" w:lineRule="auto"/>
        <w:rPr>
          <w:rFonts w:cs="Arial"/>
          <w:szCs w:val="24"/>
        </w:rPr>
      </w:pPr>
    </w:p>
    <w:p w:rsidR="00415F50" w:rsidRPr="00415F50" w:rsidRDefault="00D10434" w:rsidP="00657CB2">
      <w:pPr>
        <w:pStyle w:val="Zkladntext3"/>
        <w:tabs>
          <w:tab w:val="left" w:pos="5103"/>
        </w:tabs>
        <w:spacing w:after="0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berie na vedomie </w:t>
      </w:r>
    </w:p>
    <w:p w:rsidR="00657CB2" w:rsidRPr="000B5A7C" w:rsidRDefault="00657CB2" w:rsidP="00657CB2">
      <w:pPr>
        <w:pStyle w:val="Zkladntext3"/>
        <w:tabs>
          <w:tab w:val="left" w:pos="5103"/>
        </w:tabs>
        <w:spacing w:after="0"/>
        <w:rPr>
          <w:rFonts w:cs="Arial"/>
          <w:sz w:val="24"/>
          <w:szCs w:val="24"/>
        </w:rPr>
      </w:pPr>
      <w:r w:rsidRPr="000B5A7C">
        <w:rPr>
          <w:rFonts w:cs="Arial"/>
          <w:sz w:val="24"/>
          <w:szCs w:val="24"/>
        </w:rPr>
        <w:t xml:space="preserve">správu o hospodárení Sociálnej poisťovne </w:t>
      </w:r>
      <w:r w:rsidR="000B5A7C" w:rsidRPr="000B5A7C">
        <w:rPr>
          <w:rFonts w:cs="Arial"/>
          <w:sz w:val="24"/>
          <w:szCs w:val="24"/>
        </w:rPr>
        <w:t>v</w:t>
      </w:r>
      <w:r w:rsidR="00E017F9">
        <w:rPr>
          <w:rFonts w:cs="Arial"/>
          <w:sz w:val="24"/>
          <w:szCs w:val="24"/>
        </w:rPr>
        <w:t xml:space="preserve"> mesiacoch január až </w:t>
      </w:r>
      <w:r w:rsidR="00907146">
        <w:rPr>
          <w:rFonts w:cs="Arial"/>
          <w:sz w:val="24"/>
          <w:szCs w:val="24"/>
        </w:rPr>
        <w:t>máj</w:t>
      </w:r>
      <w:r w:rsidR="00E017F9">
        <w:rPr>
          <w:rFonts w:cs="Arial"/>
          <w:sz w:val="24"/>
          <w:szCs w:val="24"/>
        </w:rPr>
        <w:t xml:space="preserve"> 2012</w:t>
      </w:r>
      <w:r w:rsidR="005F5757">
        <w:rPr>
          <w:rFonts w:cs="Arial"/>
          <w:sz w:val="24"/>
          <w:szCs w:val="24"/>
        </w:rPr>
        <w:t>.</w:t>
      </w:r>
    </w:p>
    <w:p w:rsidR="00657CB2" w:rsidRPr="00D06742" w:rsidRDefault="00657CB2" w:rsidP="00657CB2">
      <w:pPr>
        <w:pStyle w:val="Zarkazkladnhotextu"/>
        <w:jc w:val="left"/>
        <w:rPr>
          <w:szCs w:val="24"/>
        </w:rPr>
      </w:pPr>
    </w:p>
    <w:p w:rsidR="005910A7" w:rsidRPr="005910A7" w:rsidRDefault="00657CB2" w:rsidP="005910A7">
      <w:pPr>
        <w:spacing w:before="240" w:after="120"/>
        <w:jc w:val="center"/>
        <w:rPr>
          <w:rFonts w:ascii="Arial" w:hAnsi="Arial" w:cs="Arial"/>
          <w:b/>
        </w:rPr>
      </w:pPr>
      <w:r>
        <w:br w:type="page"/>
      </w:r>
      <w:r w:rsidR="005910A7" w:rsidRPr="005910A7">
        <w:rPr>
          <w:rFonts w:ascii="Arial" w:hAnsi="Arial" w:cs="Arial"/>
          <w:b/>
        </w:rPr>
        <w:lastRenderedPageBreak/>
        <w:t>Predkladacia správa</w:t>
      </w:r>
    </w:p>
    <w:p w:rsidR="005910A7" w:rsidRPr="005910A7" w:rsidRDefault="005910A7" w:rsidP="005910A7">
      <w:pPr>
        <w:spacing w:before="240" w:after="120"/>
        <w:ind w:firstLine="720"/>
        <w:jc w:val="both"/>
        <w:rPr>
          <w:rFonts w:ascii="Arial" w:hAnsi="Arial" w:cs="Arial"/>
        </w:rPr>
      </w:pPr>
      <w:r w:rsidRPr="005910A7">
        <w:rPr>
          <w:rFonts w:ascii="Arial" w:hAnsi="Arial" w:cs="Arial"/>
        </w:rPr>
        <w:t>Správa o hospodárení Sociálnej poisťovne v</w:t>
      </w:r>
      <w:r w:rsidR="00E017F9">
        <w:rPr>
          <w:rFonts w:ascii="Arial" w:hAnsi="Arial" w:cs="Arial"/>
        </w:rPr>
        <w:t xml:space="preserve"> mesiacoch január až </w:t>
      </w:r>
      <w:r w:rsidR="00881B4E">
        <w:rPr>
          <w:rFonts w:ascii="Arial" w:hAnsi="Arial" w:cs="Arial"/>
        </w:rPr>
        <w:t>máj</w:t>
      </w:r>
      <w:r w:rsidR="00E017F9">
        <w:rPr>
          <w:rFonts w:ascii="Arial" w:hAnsi="Arial" w:cs="Arial"/>
        </w:rPr>
        <w:t xml:space="preserve"> 2012</w:t>
      </w:r>
      <w:r w:rsidRPr="005910A7">
        <w:rPr>
          <w:rFonts w:ascii="Arial" w:hAnsi="Arial" w:cs="Arial"/>
        </w:rPr>
        <w:t xml:space="preserve"> sa predkladá na </w:t>
      </w:r>
      <w:r w:rsidR="00881B4E">
        <w:rPr>
          <w:rFonts w:ascii="Arial" w:hAnsi="Arial" w:cs="Arial"/>
        </w:rPr>
        <w:t>3</w:t>
      </w:r>
      <w:r w:rsidRPr="005910A7">
        <w:rPr>
          <w:rFonts w:ascii="Arial" w:hAnsi="Arial" w:cs="Arial"/>
        </w:rPr>
        <w:t>/1</w:t>
      </w:r>
      <w:r w:rsidR="00040C67">
        <w:rPr>
          <w:rFonts w:ascii="Arial" w:hAnsi="Arial" w:cs="Arial"/>
        </w:rPr>
        <w:t>2</w:t>
      </w:r>
      <w:r w:rsidRPr="005910A7">
        <w:rPr>
          <w:rFonts w:ascii="Arial" w:hAnsi="Arial" w:cs="Arial"/>
        </w:rPr>
        <w:t xml:space="preserve"> zasadnutie Doz</w:t>
      </w:r>
      <w:r w:rsidR="00A47FA6">
        <w:rPr>
          <w:rFonts w:ascii="Arial" w:hAnsi="Arial" w:cs="Arial"/>
        </w:rPr>
        <w:t xml:space="preserve">ornej rady Sociálnej poisťovne </w:t>
      </w:r>
      <w:r w:rsidRPr="005910A7">
        <w:rPr>
          <w:rFonts w:ascii="Arial" w:hAnsi="Arial" w:cs="Arial"/>
        </w:rPr>
        <w:t>v nadväznosti na vecný a časový plán konania zasadnutí Dozornej rady Sociálnej poisťovne v roku 201</w:t>
      </w:r>
      <w:r w:rsidR="00040C67">
        <w:rPr>
          <w:rFonts w:ascii="Arial" w:hAnsi="Arial" w:cs="Arial"/>
        </w:rPr>
        <w:t>2</w:t>
      </w:r>
      <w:r w:rsidRPr="005910A7">
        <w:rPr>
          <w:rFonts w:ascii="Arial" w:hAnsi="Arial" w:cs="Arial"/>
        </w:rPr>
        <w:t>.</w:t>
      </w:r>
    </w:p>
    <w:p w:rsidR="00A02473" w:rsidRPr="00A02473" w:rsidRDefault="00A02473" w:rsidP="00A76E58">
      <w:pPr>
        <w:spacing w:before="240" w:after="120"/>
        <w:jc w:val="center"/>
        <w:rPr>
          <w:rFonts w:cs="Arial"/>
        </w:rPr>
      </w:pPr>
    </w:p>
    <w:p w:rsidR="005646D8" w:rsidRPr="005646D8" w:rsidRDefault="00485707" w:rsidP="005646D8">
      <w:pPr>
        <w:pStyle w:val="Zarkazkladnhotextu"/>
        <w:ind w:left="0"/>
        <w:jc w:val="center"/>
        <w:rPr>
          <w:b/>
          <w:sz w:val="28"/>
          <w:szCs w:val="28"/>
        </w:rPr>
      </w:pPr>
      <w:r w:rsidRPr="00A02473">
        <w:br w:type="page"/>
      </w:r>
      <w:r w:rsidR="005646D8" w:rsidRPr="005646D8">
        <w:rPr>
          <w:b/>
          <w:sz w:val="28"/>
          <w:szCs w:val="28"/>
        </w:rPr>
        <w:lastRenderedPageBreak/>
        <w:t xml:space="preserve">Správa o hospodárení Sociálnej poisťovne </w:t>
      </w:r>
      <w:r w:rsidR="005646D8" w:rsidRPr="005646D8">
        <w:rPr>
          <w:b/>
          <w:sz w:val="28"/>
          <w:szCs w:val="28"/>
        </w:rPr>
        <w:br/>
        <w:t>v mesiacoch január až máj 2012</w:t>
      </w:r>
    </w:p>
    <w:p w:rsidR="005646D8" w:rsidRPr="005646D8" w:rsidRDefault="005646D8" w:rsidP="005646D8">
      <w:pPr>
        <w:spacing w:before="240" w:after="120"/>
        <w:ind w:firstLine="709"/>
        <w:jc w:val="both"/>
        <w:rPr>
          <w:rFonts w:ascii="Arial" w:hAnsi="Arial" w:cs="Arial"/>
        </w:rPr>
      </w:pPr>
      <w:r w:rsidRPr="005646D8">
        <w:rPr>
          <w:rFonts w:ascii="Arial" w:hAnsi="Arial" w:cs="Arial"/>
        </w:rPr>
        <w:t>Návrh rozpočtu Sociálnej poisťovne na rok 2012 schválila Národná rada Slovenskej republiky (NR SR) uznesením č. 755 z 8. decembra 2011. Schválený rozpočet Sociálnej poisťovne na rok 2012 (ďalej len „schválený rozpočet“) je zostavený v podmienkach zákona č. 461/2003 Z. z. o sociálnom poistení v znení neskorších predpisov (ďalej len „zákon o sociálnom poistení“) účinných k termínu spracovávania materiálu. Zohľadňuje očakávané výsledky hospodárenia Sociálnej poisťovne v roku 2011, vplyv makroekonomických ukazovateľov zverejnených Inštitútom finančnej politiky Ministerstva financií Slovenskej republiky dňa 2. novembra 2011 a Ministerstvom financií Slovenskej republiky navrhovanú výšku príjmov a výdavkov.</w:t>
      </w:r>
    </w:p>
    <w:p w:rsidR="005646D8" w:rsidRPr="005646D8" w:rsidRDefault="005646D8" w:rsidP="005646D8">
      <w:pPr>
        <w:spacing w:before="240" w:after="120"/>
        <w:ind w:firstLine="709"/>
        <w:jc w:val="both"/>
        <w:rPr>
          <w:rFonts w:ascii="Arial" w:hAnsi="Arial" w:cs="Arial"/>
        </w:rPr>
      </w:pPr>
      <w:r w:rsidRPr="005646D8">
        <w:rPr>
          <w:rFonts w:ascii="Arial" w:hAnsi="Arial" w:cs="Arial"/>
          <w:szCs w:val="20"/>
        </w:rPr>
        <w:t>Do ostatných príjmov Sociálnej poisťovne v roku 2012 bol zapracovaný transfer finančných prostriedkov zo</w:t>
      </w:r>
      <w:r w:rsidRPr="005646D8">
        <w:rPr>
          <w:rFonts w:ascii="Arial" w:hAnsi="Arial" w:cs="Arial"/>
        </w:rPr>
        <w:t xml:space="preserve"> štátneho rozpočtu Slovenskej republiky (ŠR SR) vo výške 1 780 000 tis. Eur na krytie deficitu vzniknutého dôsledkom zavedenia II. piliera a ako finančná výpomoc z dôvodu platobnej neschopnosti základného fondu starobného poistenia, v zmysle § 157 ods. 4 zákona o sociálnom poistení v znení neskorších predpisov a o zmene a doplnení niektorých zákonov.</w:t>
      </w:r>
    </w:p>
    <w:p w:rsidR="005646D8" w:rsidRPr="005646D8" w:rsidRDefault="005646D8" w:rsidP="005646D8">
      <w:pPr>
        <w:spacing w:before="240" w:after="120"/>
        <w:ind w:firstLine="709"/>
        <w:jc w:val="both"/>
        <w:rPr>
          <w:rFonts w:ascii="Arial" w:hAnsi="Arial" w:cs="Arial"/>
          <w:szCs w:val="20"/>
        </w:rPr>
      </w:pPr>
      <w:r w:rsidRPr="005646D8">
        <w:rPr>
          <w:rFonts w:ascii="Arial" w:hAnsi="Arial" w:cs="Arial"/>
        </w:rPr>
        <w:t xml:space="preserve">Dňa 2. decembra 2011 bol schválený zákon NR SR č. 521/2011 Z. z., ktorým sa mení a dopĺňa zákon č. 461/2003 Z. z. o sociálnom poistení v znení neskorších predpisov s účinnosťou od 1. januára 2012, resp. 1. februára 2012. </w:t>
      </w:r>
      <w:r w:rsidRPr="005646D8">
        <w:rPr>
          <w:rFonts w:ascii="Arial" w:hAnsi="Arial" w:cs="Arial"/>
          <w:szCs w:val="20"/>
        </w:rPr>
        <w:t xml:space="preserve">Vplyv tohto zákona, v porovnaní so schváleným rozpočtom, </w:t>
      </w:r>
      <w:r w:rsidRPr="005646D8">
        <w:rPr>
          <w:rFonts w:ascii="Arial" w:hAnsi="Arial" w:cs="Arial"/>
        </w:rPr>
        <w:t xml:space="preserve">zlepšuje bilanciu </w:t>
      </w:r>
      <w:r w:rsidRPr="005646D8">
        <w:rPr>
          <w:rFonts w:ascii="Arial" w:hAnsi="Arial" w:cs="Arial"/>
          <w:szCs w:val="20"/>
        </w:rPr>
        <w:t>Sociálnej poisťovne</w:t>
      </w:r>
      <w:r w:rsidRPr="005646D8">
        <w:rPr>
          <w:rFonts w:ascii="Arial" w:hAnsi="Arial" w:cs="Arial"/>
        </w:rPr>
        <w:t xml:space="preserve"> v bežnom roku o 227 tis. Eur (zníženie príjmov o 9 397 tis. Eur a  zníženie výdavkov Sociálnej poisťovne o 9 624 tis. Eur).</w:t>
      </w:r>
    </w:p>
    <w:p w:rsidR="005646D8" w:rsidRPr="005646D8" w:rsidRDefault="005646D8" w:rsidP="005646D8">
      <w:pPr>
        <w:spacing w:before="240" w:after="120"/>
        <w:ind w:firstLine="709"/>
        <w:jc w:val="both"/>
        <w:rPr>
          <w:rFonts w:ascii="Arial" w:hAnsi="Arial" w:cs="Arial"/>
          <w:szCs w:val="20"/>
        </w:rPr>
      </w:pPr>
      <w:r w:rsidRPr="005646D8">
        <w:rPr>
          <w:rFonts w:ascii="Arial" w:hAnsi="Arial" w:cs="Arial"/>
          <w:szCs w:val="20"/>
        </w:rPr>
        <w:t xml:space="preserve">Dopady zmien vyplývajúcich z novely zákona o sociálnom poistení na hospodárenie Sociálnej poisťovne v roku 2012 sa premietajú v bilancii Sociálnej poisťovne uvedenej v prílohe súhrnná bilancia v stĺpci 3 – upravený rozpočet na rok 2012 (ďalej len „upravený rozpočet“). </w:t>
      </w:r>
    </w:p>
    <w:p w:rsidR="005646D8" w:rsidRPr="005646D8" w:rsidRDefault="005646D8" w:rsidP="005646D8">
      <w:pPr>
        <w:spacing w:before="240" w:after="120"/>
        <w:ind w:firstLine="709"/>
        <w:jc w:val="both"/>
        <w:rPr>
          <w:rFonts w:ascii="Arial" w:hAnsi="Arial" w:cs="Arial"/>
          <w:szCs w:val="20"/>
        </w:rPr>
      </w:pPr>
      <w:r w:rsidRPr="005646D8">
        <w:rPr>
          <w:rFonts w:ascii="Arial" w:hAnsi="Arial" w:cs="Arial"/>
          <w:szCs w:val="20"/>
        </w:rPr>
        <w:t>Pri tvorbe správneho fondu sa vychádzalo zo zákonom stanovenej tvorby správneho fondu najviac vo výške 2,4 % z príjmov z poistného, 0,5 % z príspevkov na starobné dôchodkové sporenie (SDS) a ďalších ustanovených príjmov v § 168 ods. 2 zákona o sociálnom poistení.</w:t>
      </w:r>
    </w:p>
    <w:p w:rsidR="005646D8" w:rsidRPr="005646D8" w:rsidRDefault="005646D8" w:rsidP="005646D8">
      <w:pPr>
        <w:widowControl w:val="0"/>
        <w:tabs>
          <w:tab w:val="left" w:pos="709"/>
        </w:tabs>
        <w:spacing w:before="240" w:after="120"/>
        <w:ind w:firstLine="720"/>
        <w:jc w:val="both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t>Príjmy Sociálnej poisťovne v mesiacoch január až máj 2012 (bez prevodu z minulých rokov) dosiahli výšku 2 685 125 tis. Eur, čo je 41,15 %-né plnenie upraveného rozpočtu a 102,64 %-né plnenie časového rozpisu rozpočtu na január až máj 2012 (ďalej len „časový rozpis“). V príjmoch je zahrnutých 741 667 tis. Eur zo ŠR SR na krytie deficitu v dôsledku zavedenia II. piliera</w:t>
      </w:r>
      <w:r w:rsidRPr="005646D8">
        <w:rPr>
          <w:rFonts w:ascii="Arial" w:hAnsi="Arial" w:cs="Arial"/>
        </w:rPr>
        <w:t xml:space="preserve"> a ako finančná výpomoc z dôvodu platobnej neschopnosti základného fondu starobného poistenia, v zmysle § 157 ods. 4 zákona o sociálnom poistení v znení neskorších predpisov a o zmene a doplnení niektorých zákonov.</w:t>
      </w:r>
      <w:r w:rsidRPr="005646D8">
        <w:rPr>
          <w:rFonts w:ascii="Arial" w:hAnsi="Arial"/>
          <w:szCs w:val="20"/>
        </w:rPr>
        <w:t xml:space="preserve"> </w:t>
      </w:r>
    </w:p>
    <w:p w:rsidR="005646D8" w:rsidRPr="005646D8" w:rsidRDefault="005646D8" w:rsidP="005646D8">
      <w:pPr>
        <w:widowControl w:val="0"/>
        <w:tabs>
          <w:tab w:val="left" w:pos="709"/>
        </w:tabs>
        <w:spacing w:before="240" w:after="120"/>
        <w:ind w:firstLine="720"/>
        <w:jc w:val="both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t xml:space="preserve">Zdroje Sociálnej poisťovne, vrátane prevodu prostriedkov z minulého roka </w:t>
      </w:r>
      <w:r w:rsidRPr="005646D8">
        <w:rPr>
          <w:rFonts w:ascii="Arial" w:hAnsi="Arial"/>
          <w:szCs w:val="20"/>
        </w:rPr>
        <w:br/>
        <w:t>(v súlade s návrhom účtovnej závierky Sociálnej poisťovne za rok 2011), v hodnotenom období predstavovali 3 242 006 tis. Eur.</w:t>
      </w:r>
    </w:p>
    <w:p w:rsidR="005646D8" w:rsidRPr="005646D8" w:rsidRDefault="005646D8" w:rsidP="005646D8">
      <w:pPr>
        <w:widowControl w:val="0"/>
        <w:tabs>
          <w:tab w:val="left" w:pos="709"/>
        </w:tabs>
        <w:spacing w:before="240" w:after="120"/>
        <w:ind w:firstLine="720"/>
        <w:jc w:val="both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lastRenderedPageBreak/>
        <w:t xml:space="preserve">Výdavky (náklady) Sociálnej poisťovne v mesiacoch január až máj 2012 dosiahli výšku 2 657 624 tis. Eur, čo je 40,89 %-né plnenie upraveného rozpočtu a 98,90 %-né plnenie časového rozpisu. </w:t>
      </w:r>
    </w:p>
    <w:p w:rsidR="005646D8" w:rsidRPr="005646D8" w:rsidRDefault="005646D8" w:rsidP="005646D8">
      <w:pPr>
        <w:widowControl w:val="0"/>
        <w:tabs>
          <w:tab w:val="decimal" w:pos="8280"/>
        </w:tabs>
        <w:spacing w:before="240" w:after="120"/>
        <w:ind w:firstLine="720"/>
        <w:jc w:val="both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t>Z porovnania príjmov a výdavkov vyplýva bilančný rozdiel v bežnom roku v sume 27 501 tis. Eur. Hospodárenie Sociálnej poisťovne k 31. máju 2012 (vrátane prevodu z minulých rokov) skončilo bilančným rozdielom 584 382 tis. Eur.</w:t>
      </w:r>
    </w:p>
    <w:p w:rsidR="005646D8" w:rsidRPr="005646D8" w:rsidRDefault="005646D8" w:rsidP="005646D8">
      <w:pPr>
        <w:spacing w:before="240"/>
        <w:ind w:firstLine="720"/>
        <w:jc w:val="both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t xml:space="preserve">Vplyv zavedenia II. piliera na hospodárenie Sociálnej poisťovne sa prejavil v základných fondoch za hodnotené obdobie nasledovne: </w:t>
      </w:r>
    </w:p>
    <w:p w:rsidR="005646D8" w:rsidRPr="005646D8" w:rsidRDefault="005646D8" w:rsidP="005646D8">
      <w:pPr>
        <w:numPr>
          <w:ilvl w:val="0"/>
          <w:numId w:val="3"/>
        </w:numPr>
        <w:tabs>
          <w:tab w:val="num" w:pos="720"/>
        </w:tabs>
        <w:ind w:left="720" w:hanging="720"/>
        <w:jc w:val="both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t>dôchodkovým správcovským spoločnostiam (DSS) boli postúpené príspevky na SDS vo výške 376 902 tis. Eur,</w:t>
      </w:r>
    </w:p>
    <w:p w:rsidR="005646D8" w:rsidRPr="005646D8" w:rsidRDefault="005646D8" w:rsidP="005646D8">
      <w:pPr>
        <w:numPr>
          <w:ilvl w:val="0"/>
          <w:numId w:val="3"/>
        </w:numPr>
        <w:tabs>
          <w:tab w:val="num" w:pos="720"/>
        </w:tabs>
        <w:spacing w:after="120"/>
        <w:ind w:left="720" w:hanging="720"/>
        <w:jc w:val="both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t>na vykrytie deficitu boli poskytnuté finančné prostriedky zo ŠR SR v sume 741 667 tis. Eur.</w:t>
      </w:r>
    </w:p>
    <w:p w:rsidR="005646D8" w:rsidRPr="005646D8" w:rsidRDefault="005646D8" w:rsidP="005646D8">
      <w:pPr>
        <w:spacing w:before="240" w:after="120"/>
        <w:ind w:firstLine="709"/>
        <w:jc w:val="both"/>
        <w:rPr>
          <w:rFonts w:ascii="Arial" w:hAnsi="Arial"/>
        </w:rPr>
      </w:pPr>
      <w:r w:rsidRPr="005646D8">
        <w:rPr>
          <w:rFonts w:ascii="Arial" w:hAnsi="Arial"/>
          <w:szCs w:val="20"/>
        </w:rPr>
        <w:t>Prehľady o vývoji príjmov, výdavkov a počtoch zamestnancov Sociálnej poisťovne k 31. máju 2012 sú v prílohách – ústredie Sociálnej poisťovne, pobočky Sociálnej poisťovne a zamestnanci Sociálnej poisťovne.</w:t>
      </w:r>
    </w:p>
    <w:p w:rsidR="005646D8" w:rsidRPr="005646D8" w:rsidRDefault="005646D8" w:rsidP="005646D8">
      <w:pPr>
        <w:tabs>
          <w:tab w:val="left" w:pos="720"/>
          <w:tab w:val="decimal" w:pos="8280"/>
        </w:tabs>
        <w:spacing w:before="240" w:after="120"/>
        <w:jc w:val="both"/>
        <w:rPr>
          <w:rFonts w:ascii="Arial" w:hAnsi="Arial" w:cs="Arial"/>
        </w:rPr>
      </w:pPr>
      <w:r w:rsidRPr="005646D8">
        <w:rPr>
          <w:rFonts w:ascii="Arial" w:hAnsi="Arial" w:cs="Arial"/>
          <w:b/>
        </w:rPr>
        <w:t>1.</w:t>
      </w:r>
      <w:r w:rsidRPr="005646D8">
        <w:rPr>
          <w:rFonts w:ascii="Arial" w:hAnsi="Arial" w:cs="Arial"/>
          <w:b/>
        </w:rPr>
        <w:tab/>
        <w:t>Príjmy Sociálnej poisťovne</w:t>
      </w:r>
      <w:r w:rsidRPr="005646D8">
        <w:rPr>
          <w:rFonts w:ascii="Arial" w:hAnsi="Arial" w:cs="Arial"/>
        </w:rPr>
        <w:t xml:space="preserve">, t. j. finančné prostriedky z poistného, pokút a penále a ostatné príjmy, vrátane finančných prostriedkov zo ŠR SR, v mesiacoch január až máj 2012 predstavovali </w:t>
      </w:r>
      <w:r w:rsidRPr="005646D8">
        <w:rPr>
          <w:rFonts w:ascii="Arial" w:hAnsi="Arial" w:cs="Arial"/>
        </w:rPr>
        <w:tab/>
      </w:r>
      <w:r w:rsidRPr="005646D8">
        <w:rPr>
          <w:rFonts w:ascii="Arial" w:hAnsi="Arial" w:cs="Arial"/>
          <w:b/>
        </w:rPr>
        <w:t>2 685 125 tis. Eur,</w:t>
      </w:r>
      <w:r w:rsidRPr="005646D8">
        <w:rPr>
          <w:rFonts w:ascii="Arial" w:hAnsi="Arial" w:cs="Arial"/>
          <w:b/>
        </w:rPr>
        <w:br/>
      </w:r>
      <w:r w:rsidRPr="005646D8">
        <w:rPr>
          <w:rFonts w:ascii="Arial" w:hAnsi="Arial" w:cs="Arial"/>
        </w:rPr>
        <w:t>čo je 41,15 %-né plnenie upraveného rozpočtu v sume</w:t>
      </w:r>
      <w:r w:rsidRPr="005646D8">
        <w:rPr>
          <w:rFonts w:ascii="Arial" w:hAnsi="Arial" w:cs="Arial"/>
        </w:rPr>
        <w:tab/>
        <w:t>6 525 214 tis. Eur</w:t>
      </w:r>
      <w:r w:rsidRPr="005646D8">
        <w:rPr>
          <w:rFonts w:ascii="Arial" w:hAnsi="Arial" w:cs="Arial"/>
        </w:rPr>
        <w:br/>
        <w:t>a 102,64 %-né plnenie časového rozpisu vo výške</w:t>
      </w:r>
      <w:r w:rsidRPr="005646D8">
        <w:rPr>
          <w:rFonts w:ascii="Arial" w:hAnsi="Arial" w:cs="Arial"/>
        </w:rPr>
        <w:tab/>
        <w:t>2 616 040 tis. Eur.</w:t>
      </w:r>
    </w:p>
    <w:p w:rsidR="005646D8" w:rsidRPr="005646D8" w:rsidRDefault="005646D8" w:rsidP="005646D8">
      <w:pPr>
        <w:tabs>
          <w:tab w:val="left" w:pos="4680"/>
          <w:tab w:val="decimal" w:pos="8080"/>
        </w:tabs>
        <w:spacing w:before="240" w:after="120"/>
        <w:ind w:firstLine="720"/>
        <w:jc w:val="both"/>
        <w:rPr>
          <w:rFonts w:ascii="Arial" w:hAnsi="Arial" w:cs="Arial"/>
        </w:rPr>
      </w:pPr>
      <w:r w:rsidRPr="005646D8">
        <w:rPr>
          <w:rFonts w:ascii="Arial" w:hAnsi="Arial" w:cs="Arial"/>
        </w:rPr>
        <w:t>Štruktúra skutočných príjmov Sociálnej poisťovne a ich porovnanie s časovým rozpisom je takáto:</w:t>
      </w:r>
    </w:p>
    <w:tbl>
      <w:tblPr>
        <w:tblW w:w="8896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4"/>
        <w:gridCol w:w="1045"/>
        <w:gridCol w:w="1215"/>
        <w:gridCol w:w="1046"/>
        <w:gridCol w:w="1046"/>
      </w:tblGrid>
      <w:tr w:rsidR="005646D8" w:rsidRPr="005646D8" w:rsidTr="00CA1E63">
        <w:tc>
          <w:tcPr>
            <w:tcW w:w="4544" w:type="dxa"/>
            <w:tcBorders>
              <w:top w:val="nil"/>
              <w:bottom w:val="nil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4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1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46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46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v tis. Eur</w:t>
            </w:r>
          </w:p>
        </w:tc>
      </w:tr>
      <w:tr w:rsidR="005646D8" w:rsidRPr="005646D8" w:rsidTr="00CA1E63">
        <w:tc>
          <w:tcPr>
            <w:tcW w:w="454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Príjmy</w:t>
            </w:r>
          </w:p>
        </w:tc>
        <w:tc>
          <w:tcPr>
            <w:tcW w:w="10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Časový rozpis</w:t>
            </w:r>
          </w:p>
        </w:tc>
        <w:tc>
          <w:tcPr>
            <w:tcW w:w="121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Skutočnosť</w:t>
            </w:r>
          </w:p>
        </w:tc>
        <w:tc>
          <w:tcPr>
            <w:tcW w:w="10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Rozdiel</w:t>
            </w:r>
          </w:p>
        </w:tc>
        <w:tc>
          <w:tcPr>
            <w:tcW w:w="104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% plnenia (2/1)</w:t>
            </w:r>
          </w:p>
        </w:tc>
      </w:tr>
      <w:tr w:rsidR="005646D8" w:rsidRPr="005646D8" w:rsidTr="00CA1E63">
        <w:tc>
          <w:tcPr>
            <w:tcW w:w="45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1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(2-1)</w:t>
            </w:r>
          </w:p>
        </w:tc>
        <w:tc>
          <w:tcPr>
            <w:tcW w:w="10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646D8" w:rsidRPr="005646D8" w:rsidTr="00CA1E63">
        <w:tc>
          <w:tcPr>
            <w:tcW w:w="45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0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5646D8" w:rsidRPr="005646D8" w:rsidTr="00CA1E63">
        <w:tc>
          <w:tcPr>
            <w:tcW w:w="45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príjmy celkom</w:t>
            </w:r>
          </w:p>
        </w:tc>
        <w:tc>
          <w:tcPr>
            <w:tcW w:w="10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2 616 040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2 685 125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69 085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102,64</w:t>
            </w:r>
          </w:p>
        </w:tc>
      </w:tr>
      <w:tr w:rsidR="005646D8" w:rsidRPr="005646D8" w:rsidTr="00CA1E63">
        <w:tc>
          <w:tcPr>
            <w:tcW w:w="45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v tom:</w:t>
            </w:r>
          </w:p>
        </w:tc>
        <w:tc>
          <w:tcPr>
            <w:tcW w:w="10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5646D8" w:rsidRPr="005646D8" w:rsidTr="00CA1E63">
        <w:tc>
          <w:tcPr>
            <w:tcW w:w="45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príjmy z bežného poistného od ekonomicky aktívneho obyvateľstva (EAO)</w:t>
            </w:r>
          </w:p>
        </w:tc>
        <w:tc>
          <w:tcPr>
            <w:tcW w:w="10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1 727 886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1 735 360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7 474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100,43</w:t>
            </w:r>
          </w:p>
        </w:tc>
      </w:tr>
      <w:tr w:rsidR="005646D8" w:rsidRPr="005646D8" w:rsidTr="00CA1E63">
        <w:tc>
          <w:tcPr>
            <w:tcW w:w="45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príjmy z dlžného poistného  </w:t>
            </w:r>
          </w:p>
        </w:tc>
        <w:tc>
          <w:tcPr>
            <w:tcW w:w="10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59 270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105 210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45 940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177,51</w:t>
            </w:r>
          </w:p>
        </w:tc>
      </w:tr>
      <w:tr w:rsidR="005646D8" w:rsidRPr="005646D8" w:rsidTr="00CA1E63">
        <w:tc>
          <w:tcPr>
            <w:tcW w:w="45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príjmy zo sankcií</w:t>
            </w:r>
          </w:p>
        </w:tc>
        <w:tc>
          <w:tcPr>
            <w:tcW w:w="10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1 762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5 287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3 525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300,06</w:t>
            </w:r>
          </w:p>
        </w:tc>
      </w:tr>
      <w:tr w:rsidR="005646D8" w:rsidRPr="005646D8" w:rsidTr="00CA1E63">
        <w:tc>
          <w:tcPr>
            <w:tcW w:w="45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príjmy z poistného od štátu vrátane 0,5 % z príspevkov na SDS</w:t>
            </w:r>
          </w:p>
        </w:tc>
        <w:tc>
          <w:tcPr>
            <w:tcW w:w="10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67 920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80 364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12 444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118,32</w:t>
            </w:r>
          </w:p>
        </w:tc>
      </w:tr>
      <w:tr w:rsidR="005646D8" w:rsidRPr="005646D8" w:rsidTr="00CA1E63">
        <w:tc>
          <w:tcPr>
            <w:tcW w:w="4544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príjmy od Sociálnej poisťovne</w:t>
            </w:r>
          </w:p>
        </w:tc>
        <w:tc>
          <w:tcPr>
            <w:tcW w:w="1045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871</w:t>
            </w:r>
          </w:p>
        </w:tc>
        <w:tc>
          <w:tcPr>
            <w:tcW w:w="1215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796</w:t>
            </w:r>
          </w:p>
        </w:tc>
        <w:tc>
          <w:tcPr>
            <w:tcW w:w="1046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-75</w:t>
            </w:r>
          </w:p>
        </w:tc>
        <w:tc>
          <w:tcPr>
            <w:tcW w:w="1046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91,39</w:t>
            </w:r>
          </w:p>
        </w:tc>
      </w:tr>
      <w:tr w:rsidR="005646D8" w:rsidRPr="005646D8" w:rsidTr="00CA1E63">
        <w:tc>
          <w:tcPr>
            <w:tcW w:w="4544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ostatné príjmy </w:t>
            </w:r>
          </w:p>
        </w:tc>
        <w:tc>
          <w:tcPr>
            <w:tcW w:w="1045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745 944</w:t>
            </w:r>
          </w:p>
        </w:tc>
        <w:tc>
          <w:tcPr>
            <w:tcW w:w="1215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747 445</w:t>
            </w:r>
          </w:p>
        </w:tc>
        <w:tc>
          <w:tcPr>
            <w:tcW w:w="1046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1 501</w:t>
            </w:r>
          </w:p>
        </w:tc>
        <w:tc>
          <w:tcPr>
            <w:tcW w:w="1046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100,20</w:t>
            </w:r>
          </w:p>
        </w:tc>
      </w:tr>
      <w:tr w:rsidR="005646D8" w:rsidRPr="005646D8" w:rsidTr="00CA1E63">
        <w:tc>
          <w:tcPr>
            <w:tcW w:w="4544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z toho príjmy zo ŠR</w:t>
            </w:r>
          </w:p>
        </w:tc>
        <w:tc>
          <w:tcPr>
            <w:tcW w:w="1045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741 665</w:t>
            </w:r>
          </w:p>
        </w:tc>
        <w:tc>
          <w:tcPr>
            <w:tcW w:w="1215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741 667</w:t>
            </w:r>
          </w:p>
        </w:tc>
        <w:tc>
          <w:tcPr>
            <w:tcW w:w="1046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46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100,00</w:t>
            </w:r>
          </w:p>
        </w:tc>
      </w:tr>
      <w:tr w:rsidR="005646D8" w:rsidRPr="005646D8" w:rsidTr="00CA1E63">
        <w:tc>
          <w:tcPr>
            <w:tcW w:w="4544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príspevky na SDS zaplatené zamestnávateľom po uplynutí 60 dní</w:t>
            </w:r>
          </w:p>
        </w:tc>
        <w:tc>
          <w:tcPr>
            <w:tcW w:w="1045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10 722</w:t>
            </w:r>
          </w:p>
        </w:tc>
        <w:tc>
          <w:tcPr>
            <w:tcW w:w="1215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8 908</w:t>
            </w:r>
          </w:p>
        </w:tc>
        <w:tc>
          <w:tcPr>
            <w:tcW w:w="1046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-1 814</w:t>
            </w:r>
          </w:p>
        </w:tc>
        <w:tc>
          <w:tcPr>
            <w:tcW w:w="1046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83,08</w:t>
            </w:r>
          </w:p>
        </w:tc>
      </w:tr>
      <w:tr w:rsidR="005646D8" w:rsidRPr="005646D8" w:rsidTr="00CA1E63">
        <w:tc>
          <w:tcPr>
            <w:tcW w:w="45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príjmy správneho fondu z príspevkov na SDS (EAO)</w:t>
            </w:r>
          </w:p>
        </w:tc>
        <w:tc>
          <w:tcPr>
            <w:tcW w:w="10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1 665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1 755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90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105,41</w:t>
            </w:r>
          </w:p>
        </w:tc>
      </w:tr>
    </w:tbl>
    <w:p w:rsidR="005646D8" w:rsidRPr="005646D8" w:rsidRDefault="005646D8" w:rsidP="005646D8">
      <w:pPr>
        <w:tabs>
          <w:tab w:val="decimal" w:pos="8280"/>
          <w:tab w:val="right" w:pos="8820"/>
          <w:tab w:val="right" w:pos="9000"/>
        </w:tabs>
        <w:spacing w:before="240" w:after="120"/>
        <w:ind w:firstLine="709"/>
        <w:jc w:val="both"/>
        <w:rPr>
          <w:rFonts w:ascii="Arial" w:hAnsi="Arial" w:cs="Arial"/>
        </w:rPr>
      </w:pPr>
      <w:r w:rsidRPr="005646D8">
        <w:rPr>
          <w:rFonts w:ascii="Arial" w:hAnsi="Arial" w:cs="Arial"/>
          <w:b/>
          <w:bCs/>
        </w:rPr>
        <w:t xml:space="preserve">V absolútnom vyjadrení je plnenie príjmov celkom oproti časovému rozpisu vyššie o 69 085 tis. Eur. </w:t>
      </w:r>
      <w:r w:rsidRPr="005646D8">
        <w:rPr>
          <w:rFonts w:ascii="Arial" w:hAnsi="Arial" w:cs="Arial"/>
        </w:rPr>
        <w:t>Na túto skutočnosť malo v</w:t>
      </w:r>
      <w:r w:rsidRPr="005646D8">
        <w:rPr>
          <w:rFonts w:ascii="Arial" w:hAnsi="Arial" w:cs="Arial"/>
          <w:b/>
          <w:bCs/>
        </w:rPr>
        <w:t xml:space="preserve"> </w:t>
      </w:r>
      <w:r w:rsidRPr="005646D8">
        <w:rPr>
          <w:rFonts w:ascii="Arial" w:hAnsi="Arial" w:cs="Arial"/>
        </w:rPr>
        <w:t> rozhodujúcej miere vplyv plnenie</w:t>
      </w:r>
      <w:r w:rsidRPr="005646D8">
        <w:rPr>
          <w:rFonts w:ascii="Arial" w:hAnsi="Arial" w:cs="Arial"/>
          <w:b/>
          <w:bCs/>
        </w:rPr>
        <w:t xml:space="preserve"> </w:t>
      </w:r>
      <w:r w:rsidRPr="005646D8">
        <w:rPr>
          <w:rFonts w:ascii="Arial" w:hAnsi="Arial" w:cs="Arial"/>
        </w:rPr>
        <w:t>príjmov z </w:t>
      </w:r>
      <w:r w:rsidRPr="005646D8">
        <w:rPr>
          <w:rFonts w:ascii="Arial" w:hAnsi="Arial" w:cs="Arial"/>
          <w:b/>
          <w:bCs/>
        </w:rPr>
        <w:t>dlžného poistného</w:t>
      </w:r>
      <w:r w:rsidRPr="005646D8">
        <w:rPr>
          <w:rFonts w:ascii="Arial" w:hAnsi="Arial" w:cs="Arial"/>
        </w:rPr>
        <w:t xml:space="preserve">, keď v porovnaní s časovým rozpisom sú tieto </w:t>
      </w:r>
      <w:r w:rsidRPr="005646D8">
        <w:rPr>
          <w:rFonts w:ascii="Arial" w:hAnsi="Arial" w:cs="Arial"/>
          <w:b/>
          <w:bCs/>
        </w:rPr>
        <w:t xml:space="preserve">vyššie o 45 940 tis. Eur. </w:t>
      </w:r>
      <w:r w:rsidRPr="005646D8">
        <w:rPr>
          <w:rFonts w:ascii="Arial" w:hAnsi="Arial" w:cs="Arial"/>
          <w:szCs w:val="20"/>
        </w:rPr>
        <w:t xml:space="preserve">Plnenie príjmov od </w:t>
      </w:r>
      <w:r w:rsidRPr="005646D8">
        <w:rPr>
          <w:rFonts w:ascii="Arial" w:hAnsi="Arial" w:cs="Arial"/>
          <w:b/>
          <w:szCs w:val="20"/>
        </w:rPr>
        <w:t>EAO z bežného poistného</w:t>
      </w:r>
      <w:r w:rsidRPr="005646D8">
        <w:rPr>
          <w:rFonts w:ascii="Arial" w:hAnsi="Arial" w:cs="Arial"/>
          <w:szCs w:val="20"/>
        </w:rPr>
        <w:t xml:space="preserve"> je, </w:t>
      </w:r>
      <w:r w:rsidRPr="005646D8">
        <w:rPr>
          <w:rFonts w:ascii="Arial" w:hAnsi="Arial" w:cs="Arial"/>
        </w:rPr>
        <w:t>v porovnaní s časovým rozpisom,</w:t>
      </w:r>
      <w:r w:rsidRPr="005646D8">
        <w:rPr>
          <w:rFonts w:ascii="Arial" w:hAnsi="Arial" w:cs="Arial"/>
          <w:szCs w:val="20"/>
        </w:rPr>
        <w:t xml:space="preserve"> vyššie </w:t>
      </w:r>
      <w:r w:rsidRPr="005646D8">
        <w:rPr>
          <w:rFonts w:ascii="Arial" w:hAnsi="Arial" w:cs="Arial"/>
          <w:b/>
          <w:szCs w:val="20"/>
        </w:rPr>
        <w:t>o 7 474 tis. Eur.</w:t>
      </w:r>
    </w:p>
    <w:p w:rsidR="005646D8" w:rsidRPr="005646D8" w:rsidRDefault="005646D8" w:rsidP="005646D8">
      <w:pPr>
        <w:tabs>
          <w:tab w:val="decimal" w:pos="8280"/>
          <w:tab w:val="right" w:pos="8820"/>
          <w:tab w:val="right" w:pos="9000"/>
        </w:tabs>
        <w:spacing w:before="240" w:after="120"/>
        <w:ind w:firstLine="709"/>
        <w:jc w:val="both"/>
        <w:rPr>
          <w:rFonts w:ascii="Arial" w:hAnsi="Arial" w:cs="Arial"/>
          <w:szCs w:val="20"/>
        </w:rPr>
      </w:pPr>
      <w:r w:rsidRPr="005646D8">
        <w:rPr>
          <w:rFonts w:ascii="Arial" w:hAnsi="Arial" w:cs="Arial"/>
          <w:szCs w:val="20"/>
        </w:rPr>
        <w:t>Podľa jednotlivých druhov poistenia boli príjmy z bežného poistného od EAO v mesiacoch január až máj 2012 nasledovné:</w:t>
      </w:r>
    </w:p>
    <w:tbl>
      <w:tblPr>
        <w:tblW w:w="9115" w:type="dxa"/>
        <w:tblInd w:w="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82"/>
        <w:gridCol w:w="1308"/>
        <w:gridCol w:w="1308"/>
        <w:gridCol w:w="1308"/>
        <w:gridCol w:w="1309"/>
      </w:tblGrid>
      <w:tr w:rsidR="005646D8" w:rsidRPr="005646D8" w:rsidTr="00CA1E6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v tis. Eur</w:t>
            </w:r>
          </w:p>
        </w:tc>
      </w:tr>
      <w:tr w:rsidR="005646D8" w:rsidRPr="005646D8" w:rsidTr="00CA1E63"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Príjmy z bežného poistného od EAO</w:t>
            </w:r>
          </w:p>
        </w:tc>
        <w:tc>
          <w:tcPr>
            <w:tcW w:w="13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Časový rozpis</w:t>
            </w:r>
          </w:p>
        </w:tc>
        <w:tc>
          <w:tcPr>
            <w:tcW w:w="13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Skutočnosť </w:t>
            </w:r>
          </w:p>
        </w:tc>
        <w:tc>
          <w:tcPr>
            <w:tcW w:w="130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Rozdiel </w:t>
            </w:r>
          </w:p>
        </w:tc>
        <w:tc>
          <w:tcPr>
            <w:tcW w:w="13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% plnenia (2/1)</w:t>
            </w:r>
          </w:p>
        </w:tc>
      </w:tr>
      <w:tr w:rsidR="005646D8" w:rsidRPr="005646D8" w:rsidTr="00CA1E63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(2-1)</w:t>
            </w:r>
          </w:p>
        </w:tc>
        <w:tc>
          <w:tcPr>
            <w:tcW w:w="13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646D8" w:rsidRPr="005646D8" w:rsidTr="00CA1E63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5646D8" w:rsidRPr="005646D8" w:rsidTr="00CA1E63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Základný fond nemocenského poistenia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158 977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158 808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-169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99,89</w:t>
            </w:r>
          </w:p>
        </w:tc>
      </w:tr>
      <w:tr w:rsidR="005646D8" w:rsidRPr="005646D8" w:rsidTr="00CA1E63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Základný fond starobného poistenia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763 386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753 507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-9 879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98,71</w:t>
            </w:r>
          </w:p>
        </w:tc>
      </w:tr>
      <w:tr w:rsidR="005646D8" w:rsidRPr="005646D8" w:rsidTr="00CA1E63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Základný fond invalidného poistenia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345 252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356 678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11 426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103,31</w:t>
            </w:r>
          </w:p>
        </w:tc>
      </w:tr>
      <w:tr w:rsidR="005646D8" w:rsidRPr="005646D8" w:rsidTr="00CA1E63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Základný fond úrazového poistenia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49 247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51 689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2 442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104,96</w:t>
            </w:r>
          </w:p>
        </w:tc>
      </w:tr>
      <w:tr w:rsidR="005646D8" w:rsidRPr="005646D8" w:rsidTr="00CA1E63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Základný fond garančného poistenia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11 199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10 918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-281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97,49</w:t>
            </w:r>
          </w:p>
        </w:tc>
      </w:tr>
      <w:tr w:rsidR="005646D8" w:rsidRPr="005646D8" w:rsidTr="00CA1E63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Základný fond poistenia v nezamestnanosti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110 504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112 134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1 630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101,48</w:t>
            </w:r>
          </w:p>
        </w:tc>
      </w:tr>
      <w:tr w:rsidR="005646D8" w:rsidRPr="005646D8" w:rsidTr="00CA1E63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Rezervný fond solidarity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289 321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291 626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2 305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100,80</w:t>
            </w:r>
          </w:p>
        </w:tc>
      </w:tr>
      <w:tr w:rsidR="005646D8" w:rsidRPr="005646D8" w:rsidTr="00CA1E63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Spolu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1 727 886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1 735 360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7 474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100,43</w:t>
            </w:r>
          </w:p>
        </w:tc>
      </w:tr>
    </w:tbl>
    <w:p w:rsidR="005646D8" w:rsidRPr="005646D8" w:rsidRDefault="005646D8" w:rsidP="005646D8">
      <w:pPr>
        <w:tabs>
          <w:tab w:val="left" w:pos="720"/>
          <w:tab w:val="decimal" w:pos="8280"/>
        </w:tabs>
        <w:spacing w:after="120"/>
        <w:rPr>
          <w:rFonts w:ascii="Arial" w:hAnsi="Arial" w:cs="Arial"/>
          <w:szCs w:val="20"/>
        </w:rPr>
      </w:pPr>
    </w:p>
    <w:p w:rsidR="005646D8" w:rsidRPr="005646D8" w:rsidRDefault="005646D8" w:rsidP="005646D8">
      <w:pPr>
        <w:tabs>
          <w:tab w:val="left" w:pos="720"/>
          <w:tab w:val="decimal" w:pos="8280"/>
        </w:tabs>
        <w:spacing w:before="240" w:after="120"/>
        <w:ind w:firstLine="720"/>
        <w:jc w:val="both"/>
        <w:rPr>
          <w:rFonts w:ascii="Arial" w:hAnsi="Arial"/>
          <w:b/>
          <w:szCs w:val="20"/>
        </w:rPr>
      </w:pPr>
      <w:r w:rsidRPr="005646D8">
        <w:rPr>
          <w:rFonts w:ascii="Arial" w:hAnsi="Arial" w:cs="Arial"/>
          <w:szCs w:val="20"/>
        </w:rPr>
        <w:t>V príjmoch od EAO sú zahrnuté príjmy poistného od zamestnancov, zamestnávateľov, samostatne zárobkovo činných osôb a dobrovoľne poistených osôb</w:t>
      </w:r>
      <w:r w:rsidRPr="005646D8">
        <w:rPr>
          <w:rFonts w:ascii="Arial" w:hAnsi="Arial" w:cs="Arial"/>
        </w:rPr>
        <w:t xml:space="preserve">. </w:t>
      </w:r>
      <w:r w:rsidRPr="005646D8">
        <w:rPr>
          <w:rFonts w:ascii="Arial" w:eastAsiaTheme="minorHAnsi" w:hAnsi="Arial" w:cs="Arial"/>
          <w:lang w:eastAsia="en-US"/>
        </w:rPr>
        <w:t>Nižšie plnenie príjmov z bežného poistného je najmä v základnom fonde garančného poistenia a v základnom fonde starobného poistenia (vplyv postupovania vyššieho, ako predpokladaného, objemu príspevkov na SDS za EAO na účty DSS o 19 844 tis. Eur).</w:t>
      </w:r>
    </w:p>
    <w:p w:rsidR="005646D8" w:rsidRPr="005646D8" w:rsidRDefault="005646D8" w:rsidP="005646D8">
      <w:pPr>
        <w:tabs>
          <w:tab w:val="left" w:pos="720"/>
          <w:tab w:val="decimal" w:pos="8280"/>
        </w:tabs>
        <w:spacing w:before="240" w:after="120"/>
        <w:rPr>
          <w:rFonts w:ascii="Arial" w:hAnsi="Arial"/>
          <w:szCs w:val="20"/>
        </w:rPr>
      </w:pPr>
      <w:r w:rsidRPr="005646D8">
        <w:rPr>
          <w:rFonts w:ascii="Arial" w:hAnsi="Arial"/>
          <w:b/>
          <w:szCs w:val="20"/>
        </w:rPr>
        <w:t>1.1.</w:t>
      </w:r>
      <w:r w:rsidRPr="005646D8">
        <w:rPr>
          <w:rFonts w:ascii="Arial" w:hAnsi="Arial"/>
          <w:b/>
          <w:szCs w:val="20"/>
        </w:rPr>
        <w:tab/>
        <w:t xml:space="preserve">Poistné štátu </w:t>
      </w:r>
      <w:r w:rsidRPr="005646D8">
        <w:rPr>
          <w:rFonts w:ascii="Arial" w:hAnsi="Arial"/>
          <w:szCs w:val="20"/>
        </w:rPr>
        <w:t>(vrátane príjmov správneho fondu vo výške 0,5 % z príspevkov na SDS za sporiteľov štátu)</w:t>
      </w:r>
      <w:r w:rsidRPr="005646D8">
        <w:rPr>
          <w:rFonts w:ascii="Arial" w:hAnsi="Arial"/>
          <w:b/>
          <w:szCs w:val="20"/>
        </w:rPr>
        <w:t xml:space="preserve"> </w:t>
      </w:r>
      <w:r w:rsidRPr="005646D8">
        <w:rPr>
          <w:rFonts w:ascii="Arial" w:hAnsi="Arial"/>
          <w:szCs w:val="20"/>
        </w:rPr>
        <w:t xml:space="preserve">bolo vo výške </w:t>
      </w:r>
      <w:r w:rsidRPr="005646D8">
        <w:rPr>
          <w:rFonts w:ascii="Arial" w:hAnsi="Arial"/>
          <w:szCs w:val="20"/>
        </w:rPr>
        <w:tab/>
      </w:r>
      <w:r w:rsidRPr="005646D8">
        <w:rPr>
          <w:rFonts w:ascii="Arial" w:hAnsi="Arial"/>
          <w:b/>
          <w:szCs w:val="20"/>
        </w:rPr>
        <w:t xml:space="preserve">80 364 tis. Eur, </w:t>
      </w:r>
      <w:r w:rsidRPr="005646D8">
        <w:rPr>
          <w:rFonts w:ascii="Arial" w:hAnsi="Arial"/>
          <w:b/>
          <w:szCs w:val="20"/>
        </w:rPr>
        <w:br/>
      </w:r>
      <w:r w:rsidRPr="005646D8">
        <w:rPr>
          <w:rFonts w:ascii="Arial" w:hAnsi="Arial"/>
          <w:szCs w:val="20"/>
        </w:rPr>
        <w:t>čo je 46,12 % - né plnenie upraveného rozpočtu vo výške</w:t>
      </w:r>
      <w:r w:rsidRPr="005646D8">
        <w:rPr>
          <w:rFonts w:ascii="Arial" w:hAnsi="Arial"/>
          <w:szCs w:val="20"/>
        </w:rPr>
        <w:tab/>
        <w:t>174 251 tis. Eur</w:t>
      </w:r>
      <w:r w:rsidRPr="005646D8">
        <w:rPr>
          <w:rFonts w:ascii="Arial" w:hAnsi="Arial"/>
          <w:szCs w:val="20"/>
        </w:rPr>
        <w:br/>
      </w:r>
      <w:r w:rsidRPr="005646D8">
        <w:rPr>
          <w:rFonts w:ascii="Arial" w:hAnsi="Arial" w:cs="Arial"/>
        </w:rPr>
        <w:t>a 118,32 %- né plnenie časového rozpisu vo výške</w:t>
      </w:r>
      <w:r w:rsidRPr="005646D8">
        <w:rPr>
          <w:rFonts w:ascii="Arial" w:hAnsi="Arial" w:cs="Arial"/>
        </w:rPr>
        <w:tab/>
        <w:t>67 920 tis. Eur</w:t>
      </w:r>
      <w:r w:rsidRPr="005646D8">
        <w:rPr>
          <w:rFonts w:ascii="Arial" w:hAnsi="Arial"/>
          <w:szCs w:val="20"/>
        </w:rPr>
        <w:t>.</w:t>
      </w:r>
    </w:p>
    <w:p w:rsidR="005646D8" w:rsidRPr="005646D8" w:rsidRDefault="005646D8" w:rsidP="005646D8">
      <w:pPr>
        <w:tabs>
          <w:tab w:val="left" w:pos="709"/>
          <w:tab w:val="left" w:pos="5025"/>
        </w:tabs>
        <w:spacing w:after="120"/>
        <w:ind w:firstLine="720"/>
        <w:rPr>
          <w:rFonts w:ascii="Arial" w:hAnsi="Arial"/>
        </w:rPr>
      </w:pPr>
      <w:r w:rsidRPr="005646D8">
        <w:rPr>
          <w:rFonts w:ascii="Arial" w:hAnsi="Arial"/>
        </w:rPr>
        <w:t>Plnenie rozpočtu v tis. Eur:</w:t>
      </w:r>
    </w:p>
    <w:tbl>
      <w:tblPr>
        <w:tblW w:w="9360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80"/>
        <w:gridCol w:w="1440"/>
        <w:gridCol w:w="1080"/>
        <w:gridCol w:w="1260"/>
      </w:tblGrid>
      <w:tr w:rsidR="005646D8" w:rsidRPr="005646D8" w:rsidTr="00CA1E63">
        <w:trPr>
          <w:trHeight w:val="238"/>
        </w:trPr>
        <w:tc>
          <w:tcPr>
            <w:tcW w:w="5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Príjmy 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Časový rozpis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Skutočnosť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Rozdiel (2-1) </w:t>
            </w:r>
          </w:p>
        </w:tc>
      </w:tr>
      <w:tr w:rsidR="005646D8" w:rsidRPr="005646D8" w:rsidTr="00CA1E63">
        <w:trPr>
          <w:trHeight w:val="238"/>
        </w:trPr>
        <w:tc>
          <w:tcPr>
            <w:tcW w:w="5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5646D8" w:rsidRPr="005646D8" w:rsidTr="00CA1E63">
        <w:trPr>
          <w:trHeight w:val="238"/>
        </w:trPr>
        <w:tc>
          <w:tcPr>
            <w:tcW w:w="5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Starobné poistenie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38 344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47 980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9 636</w:t>
            </w:r>
          </w:p>
        </w:tc>
      </w:tr>
      <w:tr w:rsidR="005646D8" w:rsidRPr="005646D8" w:rsidTr="00CA1E63">
        <w:trPr>
          <w:trHeight w:val="238"/>
        </w:trPr>
        <w:tc>
          <w:tcPr>
            <w:tcW w:w="5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Invalidné poistenie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22 082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24 283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2 201</w:t>
            </w:r>
          </w:p>
        </w:tc>
      </w:tr>
      <w:tr w:rsidR="005646D8" w:rsidRPr="005646D8" w:rsidTr="00CA1E63">
        <w:trPr>
          <w:trHeight w:val="238"/>
        </w:trPr>
        <w:tc>
          <w:tcPr>
            <w:tcW w:w="5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Rezervný fond solidarity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7 354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7 981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627</w:t>
            </w:r>
          </w:p>
        </w:tc>
      </w:tr>
      <w:tr w:rsidR="005646D8" w:rsidRPr="005646D8" w:rsidTr="00CA1E63">
        <w:trPr>
          <w:trHeight w:val="238"/>
        </w:trPr>
        <w:tc>
          <w:tcPr>
            <w:tcW w:w="5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Príjmy správneho fondu  z príspevkov na SDS za poistencov štátu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-20</w:t>
            </w:r>
          </w:p>
        </w:tc>
      </w:tr>
      <w:tr w:rsidR="005646D8" w:rsidRPr="005646D8" w:rsidTr="00CA1E63">
        <w:trPr>
          <w:trHeight w:val="238"/>
        </w:trPr>
        <w:tc>
          <w:tcPr>
            <w:tcW w:w="5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Spolu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67 920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80 364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12 444</w:t>
            </w:r>
          </w:p>
        </w:tc>
      </w:tr>
    </w:tbl>
    <w:p w:rsidR="005646D8" w:rsidRPr="005646D8" w:rsidRDefault="005646D8" w:rsidP="005646D8">
      <w:pPr>
        <w:tabs>
          <w:tab w:val="left" w:pos="6840"/>
        </w:tabs>
        <w:spacing w:before="240" w:after="120"/>
        <w:ind w:firstLine="720"/>
        <w:jc w:val="both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t>Príjmy z poistného plateného štátom predstavujú finančné prostriedky, ktoré v hodnotenom období poukázalo Ministerstvo práce, sociálnych vecí a rodiny SR (MPSVR SR), znížené o  príspevky na SDS, ktoré Sociálna poisťovňa poukázala na príslušné účty DSS.</w:t>
      </w:r>
    </w:p>
    <w:p w:rsidR="005646D8" w:rsidRPr="005646D8" w:rsidRDefault="005646D8" w:rsidP="005646D8">
      <w:pPr>
        <w:tabs>
          <w:tab w:val="left" w:pos="720"/>
          <w:tab w:val="decimal" w:pos="8280"/>
        </w:tabs>
        <w:spacing w:before="240" w:after="120"/>
        <w:rPr>
          <w:rFonts w:ascii="Arial" w:hAnsi="Arial"/>
          <w:szCs w:val="20"/>
        </w:rPr>
      </w:pPr>
      <w:r w:rsidRPr="005646D8">
        <w:rPr>
          <w:rFonts w:ascii="Arial" w:hAnsi="Arial"/>
          <w:b/>
          <w:szCs w:val="20"/>
        </w:rPr>
        <w:t>1.2.</w:t>
      </w:r>
      <w:r w:rsidRPr="005646D8">
        <w:rPr>
          <w:rFonts w:ascii="Arial" w:hAnsi="Arial"/>
          <w:b/>
          <w:szCs w:val="20"/>
        </w:rPr>
        <w:tab/>
        <w:t xml:space="preserve">Sociálna poisťovňa </w:t>
      </w:r>
      <w:r w:rsidRPr="005646D8">
        <w:rPr>
          <w:rFonts w:ascii="Arial" w:hAnsi="Arial"/>
          <w:szCs w:val="20"/>
        </w:rPr>
        <w:t xml:space="preserve">zaplatila poistné v sume </w:t>
      </w:r>
      <w:r w:rsidRPr="005646D8">
        <w:rPr>
          <w:rFonts w:ascii="Arial" w:hAnsi="Arial"/>
          <w:szCs w:val="20"/>
        </w:rPr>
        <w:tab/>
        <w:t xml:space="preserve"> </w:t>
      </w:r>
      <w:r w:rsidRPr="005646D8">
        <w:rPr>
          <w:rFonts w:ascii="Arial" w:hAnsi="Arial"/>
          <w:b/>
          <w:szCs w:val="20"/>
        </w:rPr>
        <w:t>796 tis. Eur,</w:t>
      </w:r>
      <w:r w:rsidRPr="005646D8">
        <w:rPr>
          <w:rFonts w:ascii="Arial" w:hAnsi="Arial"/>
          <w:szCs w:val="20"/>
        </w:rPr>
        <w:br/>
        <w:t>čo je 38,09 % - né plnenie upraveného rozpočtu v sume</w:t>
      </w:r>
      <w:r w:rsidRPr="005646D8">
        <w:rPr>
          <w:rFonts w:ascii="Arial" w:hAnsi="Arial"/>
          <w:szCs w:val="20"/>
        </w:rPr>
        <w:tab/>
        <w:t>2 090 tis. Eur</w:t>
      </w:r>
      <w:r w:rsidRPr="005646D8">
        <w:rPr>
          <w:rFonts w:ascii="Arial" w:hAnsi="Arial"/>
          <w:szCs w:val="20"/>
        </w:rPr>
        <w:br/>
      </w:r>
      <w:r w:rsidRPr="005646D8">
        <w:rPr>
          <w:rFonts w:ascii="Arial" w:hAnsi="Arial" w:cs="Arial"/>
        </w:rPr>
        <w:t>a 91,39 % - né plnenie časového rozpisu v sume</w:t>
      </w:r>
      <w:r w:rsidRPr="005646D8">
        <w:rPr>
          <w:rFonts w:ascii="Arial" w:hAnsi="Arial" w:cs="Arial"/>
        </w:rPr>
        <w:tab/>
        <w:t>871 tis. Eur</w:t>
      </w:r>
      <w:r w:rsidRPr="005646D8">
        <w:rPr>
          <w:rFonts w:ascii="Arial" w:hAnsi="Arial"/>
          <w:szCs w:val="20"/>
        </w:rPr>
        <w:t>.</w:t>
      </w:r>
    </w:p>
    <w:p w:rsidR="005646D8" w:rsidRPr="005646D8" w:rsidRDefault="005646D8" w:rsidP="005646D8">
      <w:pPr>
        <w:tabs>
          <w:tab w:val="decimal" w:pos="8280"/>
        </w:tabs>
        <w:spacing w:before="240" w:after="120"/>
        <w:ind w:firstLine="709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t>Uvedená suma predstavuje poistné uhradené zo základného fondu úrazového poistenia do základného fondu starobného poistenia.</w:t>
      </w:r>
    </w:p>
    <w:p w:rsidR="005646D8" w:rsidRPr="005646D8" w:rsidRDefault="005646D8" w:rsidP="005646D8">
      <w:pPr>
        <w:tabs>
          <w:tab w:val="left" w:pos="709"/>
          <w:tab w:val="decimal" w:pos="8280"/>
        </w:tabs>
        <w:spacing w:before="240" w:after="120"/>
        <w:ind w:firstLine="720"/>
        <w:jc w:val="both"/>
        <w:rPr>
          <w:rFonts w:ascii="Arial" w:hAnsi="Arial" w:cs="Arial"/>
          <w:i/>
          <w:szCs w:val="20"/>
        </w:rPr>
      </w:pPr>
      <w:r w:rsidRPr="005646D8">
        <w:rPr>
          <w:rFonts w:ascii="Arial" w:hAnsi="Arial" w:cs="Arial"/>
          <w:b/>
          <w:szCs w:val="20"/>
        </w:rPr>
        <w:t>Ukazovateľ úspešnosti výberu poistného a príspevkov na SDS</w:t>
      </w:r>
      <w:r w:rsidRPr="005646D8">
        <w:rPr>
          <w:rFonts w:ascii="Arial" w:hAnsi="Arial" w:cs="Arial"/>
          <w:szCs w:val="20"/>
        </w:rPr>
        <w:t xml:space="preserve"> (ďalej len "úspešnosť výberu poistného") vyjadruje platobnú disciplínu odvádzateľov (právnických a fyzických osôb) voči Sociálnej poisťovni, ako aj úroveň vzájomnej komunikácie odvádzateľov poistného a pobočiek Sociálnej poisťovne (ďalej len „pobočky“), vrátane kvality práce pobočiek s pohľadávkami súvisiacimi s nezaplateným poistným. </w:t>
      </w:r>
      <w:r w:rsidRPr="005646D8">
        <w:rPr>
          <w:rFonts w:ascii="Arial" w:hAnsi="Arial" w:cs="Arial"/>
          <w:b/>
          <w:szCs w:val="20"/>
        </w:rPr>
        <w:t xml:space="preserve">Ukazovateľ úspešnosti výberu poistného </w:t>
      </w:r>
      <w:r w:rsidRPr="005646D8">
        <w:rPr>
          <w:rFonts w:ascii="Arial" w:hAnsi="Arial" w:cs="Arial"/>
          <w:szCs w:val="20"/>
        </w:rPr>
        <w:t xml:space="preserve">je stanovený </w:t>
      </w:r>
      <w:r w:rsidRPr="005646D8">
        <w:rPr>
          <w:rFonts w:ascii="Arial" w:hAnsi="Arial" w:cs="Arial"/>
          <w:szCs w:val="20"/>
        </w:rPr>
        <w:lastRenderedPageBreak/>
        <w:t>ako pomer uhradeného predpísaného poistného a príspevkov na SDS, pokút a penále a ich predpisu. V mesiacoch január až máj 2012 je jeho hodnota 96,70 </w:t>
      </w:r>
      <w:r w:rsidRPr="005646D8">
        <w:rPr>
          <w:rFonts w:ascii="Arial" w:hAnsi="Arial" w:cs="Arial"/>
          <w:b/>
          <w:szCs w:val="20"/>
        </w:rPr>
        <w:t>%.</w:t>
      </w:r>
    </w:p>
    <w:p w:rsidR="005646D8" w:rsidRPr="005646D8" w:rsidRDefault="005646D8" w:rsidP="005646D8">
      <w:pPr>
        <w:tabs>
          <w:tab w:val="left" w:pos="720"/>
          <w:tab w:val="decimal" w:pos="8280"/>
        </w:tabs>
        <w:spacing w:before="240" w:after="120"/>
        <w:rPr>
          <w:rFonts w:ascii="Arial" w:hAnsi="Arial" w:cs="Arial"/>
        </w:rPr>
      </w:pPr>
      <w:r w:rsidRPr="005646D8">
        <w:rPr>
          <w:rFonts w:ascii="Arial" w:hAnsi="Arial" w:cs="Arial"/>
          <w:b/>
        </w:rPr>
        <w:t xml:space="preserve">1.3. </w:t>
      </w:r>
      <w:r w:rsidRPr="005646D8">
        <w:rPr>
          <w:rFonts w:ascii="Arial" w:hAnsi="Arial" w:cs="Arial"/>
          <w:b/>
        </w:rPr>
        <w:tab/>
        <w:t xml:space="preserve">Ostatné príjmy </w:t>
      </w:r>
      <w:r w:rsidRPr="005646D8">
        <w:rPr>
          <w:rFonts w:ascii="Arial" w:hAnsi="Arial" w:cs="Arial"/>
        </w:rPr>
        <w:t xml:space="preserve">(vrátane prostriedkov zo ŠR SR) dosiahli </w:t>
      </w:r>
      <w:r w:rsidRPr="005646D8">
        <w:rPr>
          <w:rFonts w:ascii="Arial" w:hAnsi="Arial" w:cs="Arial"/>
        </w:rPr>
        <w:tab/>
      </w:r>
      <w:r w:rsidRPr="005646D8">
        <w:rPr>
          <w:rFonts w:ascii="Arial" w:hAnsi="Arial" w:cs="Arial"/>
        </w:rPr>
        <w:br/>
        <w:t xml:space="preserve">výšku </w:t>
      </w:r>
      <w:r w:rsidRPr="005646D8">
        <w:rPr>
          <w:rFonts w:ascii="Arial" w:hAnsi="Arial" w:cs="Arial"/>
        </w:rPr>
        <w:tab/>
      </w:r>
      <w:r w:rsidRPr="005646D8">
        <w:rPr>
          <w:rFonts w:ascii="Arial" w:hAnsi="Arial" w:cs="Arial"/>
        </w:rPr>
        <w:tab/>
      </w:r>
      <w:r w:rsidRPr="005646D8">
        <w:rPr>
          <w:rFonts w:ascii="Arial" w:hAnsi="Arial" w:cs="Arial"/>
          <w:b/>
        </w:rPr>
        <w:t>747 445 tis. Eur</w:t>
      </w:r>
      <w:r w:rsidRPr="005646D8">
        <w:rPr>
          <w:rFonts w:ascii="Arial" w:hAnsi="Arial" w:cs="Arial"/>
          <w:b/>
        </w:rPr>
        <w:br/>
      </w:r>
      <w:r w:rsidRPr="005646D8">
        <w:rPr>
          <w:rFonts w:ascii="Arial" w:hAnsi="Arial" w:cs="Arial"/>
        </w:rPr>
        <w:t>čo je 41,74 %- né plnenie upraveného rozpočtu vo výške</w:t>
      </w:r>
      <w:r w:rsidRPr="005646D8">
        <w:rPr>
          <w:rFonts w:ascii="Arial" w:hAnsi="Arial" w:cs="Arial"/>
        </w:rPr>
        <w:tab/>
        <w:t>1 790 783 tis. Eur</w:t>
      </w:r>
      <w:r w:rsidRPr="005646D8">
        <w:rPr>
          <w:rFonts w:ascii="Arial" w:hAnsi="Arial" w:cs="Arial"/>
        </w:rPr>
        <w:br/>
        <w:t>a 100,20 %- né plnenie časového rozpisu vo výške</w:t>
      </w:r>
      <w:r w:rsidRPr="005646D8">
        <w:rPr>
          <w:rFonts w:ascii="Arial" w:hAnsi="Arial" w:cs="Arial"/>
        </w:rPr>
        <w:tab/>
        <w:t>745 944 tis. Eur.</w:t>
      </w:r>
    </w:p>
    <w:p w:rsidR="005646D8" w:rsidRPr="005646D8" w:rsidRDefault="005646D8" w:rsidP="00EC6245">
      <w:pPr>
        <w:tabs>
          <w:tab w:val="left" w:pos="720"/>
          <w:tab w:val="decimal" w:pos="8280"/>
        </w:tabs>
        <w:spacing w:before="240" w:after="120"/>
        <w:ind w:firstLine="709"/>
        <w:jc w:val="both"/>
        <w:rPr>
          <w:rFonts w:ascii="Arial" w:hAnsi="Arial" w:cs="Arial"/>
        </w:rPr>
      </w:pPr>
      <w:r w:rsidRPr="005646D8">
        <w:rPr>
          <w:rFonts w:ascii="Arial" w:hAnsi="Arial" w:cs="Arial"/>
        </w:rPr>
        <w:t>Na celkovej výške ostatných príjmov sa, okrem príjmov zo ŠR SR vo výške 741 667 tis. Eur, podieľajú:</w:t>
      </w:r>
    </w:p>
    <w:p w:rsidR="005646D8" w:rsidRPr="005646D8" w:rsidRDefault="005646D8" w:rsidP="007C4BBA">
      <w:pPr>
        <w:numPr>
          <w:ilvl w:val="0"/>
          <w:numId w:val="10"/>
        </w:numPr>
        <w:tabs>
          <w:tab w:val="clear" w:pos="1440"/>
          <w:tab w:val="num" w:pos="709"/>
          <w:tab w:val="decimal" w:pos="8280"/>
        </w:tabs>
        <w:ind w:left="0" w:firstLine="0"/>
        <w:jc w:val="both"/>
        <w:rPr>
          <w:rFonts w:ascii="Arial" w:hAnsi="Arial" w:cs="Arial"/>
        </w:rPr>
      </w:pPr>
      <w:r w:rsidRPr="005646D8">
        <w:rPr>
          <w:rFonts w:ascii="Arial" w:hAnsi="Arial" w:cs="Arial"/>
        </w:rPr>
        <w:t>príjmy z úrokov na bežných účtoch a termínovaných vkladoch</w:t>
      </w:r>
      <w:r w:rsidRPr="005646D8">
        <w:rPr>
          <w:rFonts w:ascii="Arial" w:hAnsi="Arial" w:cs="Arial"/>
        </w:rPr>
        <w:tab/>
        <w:t>560 tis. Eur,</w:t>
      </w:r>
    </w:p>
    <w:p w:rsidR="005646D8" w:rsidRPr="005646D8" w:rsidRDefault="005646D8" w:rsidP="007C4BBA">
      <w:pPr>
        <w:numPr>
          <w:ilvl w:val="0"/>
          <w:numId w:val="10"/>
        </w:numPr>
        <w:tabs>
          <w:tab w:val="clear" w:pos="1440"/>
          <w:tab w:val="num" w:pos="709"/>
          <w:tab w:val="decimal" w:pos="8280"/>
        </w:tabs>
        <w:ind w:left="0" w:firstLine="0"/>
        <w:jc w:val="both"/>
        <w:rPr>
          <w:rFonts w:ascii="Arial" w:hAnsi="Arial" w:cs="Arial"/>
        </w:rPr>
      </w:pPr>
      <w:r w:rsidRPr="005646D8">
        <w:rPr>
          <w:rFonts w:ascii="Arial" w:hAnsi="Arial" w:cs="Arial"/>
        </w:rPr>
        <w:t>príjmy z majetku Sociálnej poisťovne (najmä z prenájmu)</w:t>
      </w:r>
      <w:r w:rsidRPr="005646D8">
        <w:rPr>
          <w:rFonts w:ascii="Arial" w:hAnsi="Arial" w:cs="Arial"/>
        </w:rPr>
        <w:tab/>
        <w:t>454 tis. Eur,</w:t>
      </w:r>
    </w:p>
    <w:p w:rsidR="005646D8" w:rsidRPr="005646D8" w:rsidRDefault="005646D8" w:rsidP="007C4BBA">
      <w:pPr>
        <w:numPr>
          <w:ilvl w:val="0"/>
          <w:numId w:val="10"/>
        </w:numPr>
        <w:tabs>
          <w:tab w:val="clear" w:pos="1440"/>
          <w:tab w:val="num" w:pos="709"/>
          <w:tab w:val="decimal" w:pos="8280"/>
        </w:tabs>
        <w:ind w:left="0" w:firstLine="0"/>
        <w:jc w:val="both"/>
        <w:rPr>
          <w:rFonts w:ascii="Arial" w:hAnsi="Arial" w:cs="Arial"/>
        </w:rPr>
      </w:pPr>
      <w:r w:rsidRPr="005646D8">
        <w:rPr>
          <w:rFonts w:ascii="Arial" w:hAnsi="Arial" w:cs="Arial"/>
        </w:rPr>
        <w:t>príjmy z úhrad preplatkov na dávkach a regresných náhrad</w:t>
      </w:r>
      <w:r w:rsidRPr="005646D8">
        <w:rPr>
          <w:rFonts w:ascii="Arial" w:hAnsi="Arial" w:cs="Arial"/>
        </w:rPr>
        <w:tab/>
        <w:t>2</w:t>
      </w:r>
      <w:r w:rsidRPr="005646D8">
        <w:rPr>
          <w:rFonts w:ascii="Arial" w:hAnsi="Arial"/>
          <w:szCs w:val="20"/>
        </w:rPr>
        <w:t> 781 </w:t>
      </w:r>
      <w:r w:rsidRPr="005646D8">
        <w:rPr>
          <w:rFonts w:ascii="Arial" w:hAnsi="Arial" w:cs="Arial"/>
        </w:rPr>
        <w:t>tis. Eur,</w:t>
      </w:r>
    </w:p>
    <w:p w:rsidR="005646D8" w:rsidRPr="005646D8" w:rsidRDefault="005646D8" w:rsidP="007C4BBA">
      <w:pPr>
        <w:numPr>
          <w:ilvl w:val="0"/>
          <w:numId w:val="10"/>
        </w:numPr>
        <w:tabs>
          <w:tab w:val="clear" w:pos="1440"/>
          <w:tab w:val="num" w:pos="709"/>
          <w:tab w:val="decimal" w:pos="8280"/>
        </w:tabs>
        <w:ind w:left="0" w:firstLine="0"/>
        <w:jc w:val="both"/>
        <w:rPr>
          <w:rFonts w:ascii="Arial" w:hAnsi="Arial" w:cs="Arial"/>
        </w:rPr>
      </w:pPr>
      <w:r w:rsidRPr="005646D8">
        <w:rPr>
          <w:rFonts w:ascii="Arial" w:hAnsi="Arial" w:cs="Arial"/>
        </w:rPr>
        <w:t>príjmy z úhrad preplatkov na zaniknutých dôchodkoch</w:t>
      </w:r>
      <w:r w:rsidRPr="005646D8">
        <w:rPr>
          <w:rFonts w:ascii="Arial" w:hAnsi="Arial" w:cs="Arial"/>
        </w:rPr>
        <w:tab/>
        <w:t>66 tis. Eur,</w:t>
      </w:r>
    </w:p>
    <w:p w:rsidR="005646D8" w:rsidRPr="005646D8" w:rsidRDefault="005646D8" w:rsidP="007C4BBA">
      <w:pPr>
        <w:numPr>
          <w:ilvl w:val="0"/>
          <w:numId w:val="10"/>
        </w:numPr>
        <w:tabs>
          <w:tab w:val="clear" w:pos="1440"/>
          <w:tab w:val="num" w:pos="709"/>
          <w:tab w:val="decimal" w:pos="8280"/>
        </w:tabs>
        <w:ind w:left="0" w:firstLine="0"/>
        <w:jc w:val="both"/>
        <w:rPr>
          <w:rFonts w:ascii="Arial" w:hAnsi="Arial" w:cs="Arial"/>
        </w:rPr>
      </w:pPr>
      <w:r w:rsidRPr="005646D8">
        <w:rPr>
          <w:rFonts w:ascii="Arial" w:hAnsi="Arial" w:cs="Arial"/>
        </w:rPr>
        <w:t>príjmy z úhrad poistného bez právneho titulu</w:t>
      </w:r>
      <w:r w:rsidRPr="005646D8">
        <w:rPr>
          <w:rFonts w:ascii="Arial" w:hAnsi="Arial" w:cs="Arial"/>
        </w:rPr>
        <w:tab/>
        <w:t>223 tis. Eur,</w:t>
      </w:r>
    </w:p>
    <w:p w:rsidR="005646D8" w:rsidRPr="005646D8" w:rsidRDefault="005646D8" w:rsidP="007C4BBA">
      <w:pPr>
        <w:numPr>
          <w:ilvl w:val="0"/>
          <w:numId w:val="10"/>
        </w:numPr>
        <w:tabs>
          <w:tab w:val="clear" w:pos="1440"/>
          <w:tab w:val="num" w:pos="709"/>
          <w:tab w:val="decimal" w:pos="8280"/>
        </w:tabs>
        <w:ind w:left="0" w:firstLine="0"/>
        <w:jc w:val="both"/>
        <w:rPr>
          <w:rFonts w:ascii="Arial" w:hAnsi="Arial" w:cs="Arial"/>
        </w:rPr>
      </w:pPr>
      <w:r w:rsidRPr="005646D8">
        <w:rPr>
          <w:rFonts w:ascii="Arial" w:hAnsi="Arial" w:cs="Arial"/>
        </w:rPr>
        <w:t>príjmy z pokút za porušovanie povinností</w:t>
      </w:r>
      <w:r w:rsidRPr="005646D8">
        <w:rPr>
          <w:rFonts w:ascii="Arial" w:hAnsi="Arial" w:cs="Arial"/>
        </w:rPr>
        <w:tab/>
        <w:t>78 tis. Eur</w:t>
      </w:r>
    </w:p>
    <w:p w:rsidR="005646D8" w:rsidRPr="005646D8" w:rsidRDefault="005646D8" w:rsidP="007C4BBA">
      <w:pPr>
        <w:numPr>
          <w:ilvl w:val="0"/>
          <w:numId w:val="10"/>
        </w:numPr>
        <w:tabs>
          <w:tab w:val="clear" w:pos="1440"/>
          <w:tab w:val="num" w:pos="709"/>
          <w:tab w:val="decimal" w:pos="8280"/>
        </w:tabs>
        <w:spacing w:after="120"/>
        <w:ind w:left="0" w:firstLine="0"/>
        <w:jc w:val="both"/>
        <w:rPr>
          <w:rFonts w:ascii="Arial" w:hAnsi="Arial" w:cs="Arial"/>
        </w:rPr>
      </w:pPr>
      <w:r w:rsidRPr="005646D8">
        <w:rPr>
          <w:rFonts w:ascii="Arial" w:hAnsi="Arial" w:cs="Arial"/>
        </w:rPr>
        <w:t>príjmy z úhrad administratívnych preplatkov a iné</w:t>
      </w:r>
      <w:r w:rsidRPr="005646D8">
        <w:rPr>
          <w:rFonts w:ascii="Arial" w:hAnsi="Arial" w:cs="Arial"/>
        </w:rPr>
        <w:tab/>
        <w:t>1 616 tis. Eur.</w:t>
      </w:r>
    </w:p>
    <w:p w:rsidR="005646D8" w:rsidRPr="005646D8" w:rsidRDefault="005646D8" w:rsidP="005646D8">
      <w:pPr>
        <w:spacing w:before="240" w:after="120"/>
        <w:ind w:firstLine="709"/>
        <w:jc w:val="both"/>
        <w:rPr>
          <w:rFonts w:ascii="Arial" w:hAnsi="Arial"/>
          <w:szCs w:val="20"/>
        </w:rPr>
      </w:pPr>
      <w:r w:rsidRPr="005646D8">
        <w:rPr>
          <w:rFonts w:ascii="Arial" w:hAnsi="Arial" w:cs="Arial"/>
        </w:rPr>
        <w:t>Okrem príjmov zo ŠR SR boli ostatné príjmy pripisované do jednotlivých fondov podľa vecnej príslušnosti. Úroky z bežných účtov pobočiek sa rozdelili do fondov percentuálne, zodpovedajúc podielu príjmov konkrétneho základného fondu a rezervného fondu solidarity na celkových príjmoch z poistného.</w:t>
      </w:r>
      <w:r w:rsidRPr="005646D8">
        <w:rPr>
          <w:rFonts w:ascii="Arial" w:hAnsi="Arial"/>
          <w:szCs w:val="20"/>
        </w:rPr>
        <w:t xml:space="preserve"> </w:t>
      </w:r>
    </w:p>
    <w:p w:rsidR="005646D8" w:rsidRPr="005646D8" w:rsidRDefault="005646D8" w:rsidP="005646D8">
      <w:pPr>
        <w:spacing w:before="240" w:after="120"/>
        <w:jc w:val="both"/>
        <w:rPr>
          <w:rFonts w:ascii="Arial" w:hAnsi="Arial" w:cs="Arial"/>
          <w:b/>
          <w:szCs w:val="20"/>
        </w:rPr>
      </w:pPr>
      <w:r w:rsidRPr="005646D8">
        <w:rPr>
          <w:rFonts w:ascii="Arial" w:hAnsi="Arial" w:cs="Arial"/>
          <w:b/>
          <w:szCs w:val="20"/>
        </w:rPr>
        <w:t>1.4.</w:t>
      </w:r>
      <w:r w:rsidRPr="005646D8">
        <w:rPr>
          <w:rFonts w:ascii="Arial" w:hAnsi="Arial" w:cs="Arial"/>
          <w:b/>
          <w:szCs w:val="20"/>
        </w:rPr>
        <w:tab/>
        <w:t>Tvorba fondov</w:t>
      </w:r>
    </w:p>
    <w:p w:rsidR="005646D8" w:rsidRPr="005646D8" w:rsidRDefault="005646D8" w:rsidP="005646D8">
      <w:pPr>
        <w:spacing w:before="240"/>
        <w:ind w:firstLine="709"/>
        <w:jc w:val="both"/>
        <w:rPr>
          <w:rFonts w:ascii="Arial" w:hAnsi="Arial" w:cs="Arial"/>
        </w:rPr>
      </w:pPr>
      <w:r w:rsidRPr="005646D8">
        <w:rPr>
          <w:rFonts w:ascii="Arial" w:hAnsi="Arial" w:cs="Arial"/>
        </w:rPr>
        <w:t>Z príjmov poistného, pokút, penále a ostatných príjmov v mesiacoch január až máj 2012 boli vytvorené jednotlivé fondy takto:</w:t>
      </w:r>
    </w:p>
    <w:tbl>
      <w:tblPr>
        <w:tblW w:w="8553" w:type="dxa"/>
        <w:tblInd w:w="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1340"/>
        <w:gridCol w:w="1560"/>
        <w:gridCol w:w="1400"/>
      </w:tblGrid>
      <w:tr w:rsidR="005646D8" w:rsidRPr="005646D8" w:rsidTr="00CA1E63">
        <w:trPr>
          <w:trHeight w:val="255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v tis. Eur</w:t>
            </w:r>
          </w:p>
        </w:tc>
      </w:tr>
      <w:tr w:rsidR="005646D8" w:rsidRPr="005646D8" w:rsidTr="00CA1E63">
        <w:trPr>
          <w:trHeight w:val="55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 xml:space="preserve">Fond  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Tvorba fondu v bežnom roku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Prevod zostatku z roku 2011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Tvorba fondu celkom</w:t>
            </w:r>
          </w:p>
        </w:tc>
      </w:tr>
      <w:tr w:rsidR="005646D8" w:rsidRPr="005646D8" w:rsidTr="00CA1E63">
        <w:trPr>
          <w:trHeight w:val="25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Základný fond nemocenského poistenia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164 250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46 289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210 539</w:t>
            </w:r>
          </w:p>
        </w:tc>
      </w:tr>
      <w:tr w:rsidR="005646D8" w:rsidRPr="005646D8" w:rsidTr="00CA1E63">
        <w:trPr>
          <w:trHeight w:val="25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Základný fond starobného poistenia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1 583 598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267 428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1 851 026</w:t>
            </w:r>
          </w:p>
        </w:tc>
      </w:tr>
      <w:tr w:rsidR="005646D8" w:rsidRPr="005646D8" w:rsidTr="00CA1E63">
        <w:trPr>
          <w:trHeight w:val="25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Základný fond invalidného poistenia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392 143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68 819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460 962</w:t>
            </w:r>
          </w:p>
        </w:tc>
      </w:tr>
      <w:tr w:rsidR="005646D8" w:rsidRPr="005646D8" w:rsidTr="00CA1E63">
        <w:trPr>
          <w:trHeight w:val="25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Základný fond úrazového poistenia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53 299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26 287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79 586</w:t>
            </w:r>
          </w:p>
        </w:tc>
      </w:tr>
      <w:tr w:rsidR="005646D8" w:rsidRPr="005646D8" w:rsidTr="00CA1E63">
        <w:trPr>
          <w:trHeight w:val="25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Základný fond garančného poistenia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20 336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49 398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69 734</w:t>
            </w:r>
          </w:p>
        </w:tc>
      </w:tr>
      <w:tr w:rsidR="005646D8" w:rsidRPr="005646D8" w:rsidTr="00CA1E63">
        <w:trPr>
          <w:trHeight w:val="25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Základný fond poistenia v nezamestnanosti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116 418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38 735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155 153</w:t>
            </w:r>
          </w:p>
        </w:tc>
      </w:tr>
      <w:tr w:rsidR="005646D8" w:rsidRPr="005646D8" w:rsidTr="00CA1E63">
        <w:trPr>
          <w:trHeight w:val="25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Rezervný fond solidarity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307 487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16 399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323 886</w:t>
            </w:r>
          </w:p>
        </w:tc>
      </w:tr>
      <w:tr w:rsidR="005646D8" w:rsidRPr="005646D8" w:rsidTr="00CA1E63">
        <w:trPr>
          <w:trHeight w:val="25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Správny fond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47 594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43 526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91 120</w:t>
            </w:r>
          </w:p>
        </w:tc>
      </w:tr>
      <w:tr w:rsidR="005646D8" w:rsidRPr="005646D8" w:rsidTr="00CA1E63">
        <w:trPr>
          <w:trHeight w:val="25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Spolu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2 685 125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556 881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3 242 006</w:t>
            </w:r>
          </w:p>
        </w:tc>
      </w:tr>
    </w:tbl>
    <w:p w:rsidR="005646D8" w:rsidRPr="005646D8" w:rsidRDefault="005646D8" w:rsidP="005646D8">
      <w:pPr>
        <w:ind w:firstLine="709"/>
        <w:jc w:val="both"/>
        <w:rPr>
          <w:rFonts w:ascii="Arial" w:hAnsi="Arial" w:cs="Arial"/>
        </w:rPr>
      </w:pPr>
    </w:p>
    <w:p w:rsidR="005646D8" w:rsidRPr="005646D8" w:rsidRDefault="005646D8" w:rsidP="005646D8">
      <w:pPr>
        <w:numPr>
          <w:ilvl w:val="0"/>
          <w:numId w:val="7"/>
        </w:numPr>
        <w:spacing w:before="240" w:after="120"/>
        <w:ind w:left="0" w:firstLine="0"/>
        <w:jc w:val="both"/>
        <w:rPr>
          <w:rFonts w:ascii="Arial" w:hAnsi="Arial"/>
          <w:b/>
          <w:sz w:val="28"/>
          <w:szCs w:val="28"/>
        </w:rPr>
      </w:pPr>
      <w:r w:rsidRPr="005646D8">
        <w:rPr>
          <w:rFonts w:ascii="Arial" w:hAnsi="Arial"/>
          <w:b/>
          <w:sz w:val="28"/>
          <w:szCs w:val="28"/>
        </w:rPr>
        <w:t>Pohľadávky</w:t>
      </w:r>
    </w:p>
    <w:p w:rsidR="005646D8" w:rsidRPr="005646D8" w:rsidRDefault="005646D8" w:rsidP="005646D8">
      <w:pPr>
        <w:spacing w:before="240" w:after="120"/>
        <w:ind w:firstLine="709"/>
        <w:jc w:val="both"/>
        <w:rPr>
          <w:rFonts w:ascii="Arial" w:hAnsi="Arial" w:cs="Arial"/>
          <w:szCs w:val="20"/>
        </w:rPr>
      </w:pPr>
      <w:r w:rsidRPr="005646D8">
        <w:rPr>
          <w:rFonts w:ascii="Arial" w:hAnsi="Arial" w:cs="Arial"/>
          <w:szCs w:val="20"/>
        </w:rPr>
        <w:t xml:space="preserve">Pohľadávky podľa § 148 zákona č. 461/2003 Z. z. o sociálnom poistení v znení neskorších predpisov (ďalej len „pohľadávky“) evidované Sociálnou poisťovňou k 31. máju 2012 dosiahli výšku 637 343 tis. Eur a oproti stavu k 31. decembru 2011 vzrástli o 73 583 tis. Eur (nárast o 13,0 %). Podiel pohľadávok predpísaných na základe právoplatného rozhodnutia k 31. máju 2012 predstavoval 93,8 % z celkových pohľadávok. Z celkového stavu pohľadávok predstavujú pohľadávky na poistnom na základe rozhodnutia 427 470 tis. Eur </w:t>
      </w:r>
      <w:r w:rsidRPr="005646D8">
        <w:rPr>
          <w:rFonts w:ascii="Arial" w:hAnsi="Arial" w:cs="Arial"/>
          <w:szCs w:val="20"/>
        </w:rPr>
        <w:lastRenderedPageBreak/>
        <w:t>(67,1 %), pohľadávky na penále 155 120 tis. Eur (24,3 %), nepredpísané pohľadávky 39 624 tis. Eur (6,2 %) a ostatné pohľadávky 15 129 tis. Eur (2,4 %). V rámci uvedených pohľadávok Sociálna poisťovňa eviduje k 31. máju 2012 pohľadávky z roku 1993 (pohľadávky štátu) v celkovom objeme 27 770 tis. Eur (4,4 % z celkového objemu pohľadávok) a pohľadávky zo zúčtovania poistného z roku 1994 na zdravotnom fonde v celkovom objeme 6 752 tis. Eur (1,1 %). Vývoj pohľadávok Sociálnej poisťovne podľa druhov a podľa fondov mesačne v roku 2012 je uvedený v prílohe.</w:t>
      </w:r>
    </w:p>
    <w:p w:rsidR="005646D8" w:rsidRPr="005646D8" w:rsidRDefault="005646D8" w:rsidP="005646D8">
      <w:pPr>
        <w:spacing w:before="240" w:after="120"/>
        <w:ind w:firstLine="567"/>
        <w:jc w:val="both"/>
        <w:rPr>
          <w:rFonts w:ascii="Arial" w:hAnsi="Arial" w:cs="Arial"/>
          <w:szCs w:val="20"/>
        </w:rPr>
      </w:pPr>
      <w:r w:rsidRPr="005646D8">
        <w:rPr>
          <w:rFonts w:ascii="Arial" w:hAnsi="Arial" w:cs="Arial"/>
          <w:szCs w:val="20"/>
        </w:rPr>
        <w:t xml:space="preserve">Sociálna poisťovňa v mesiaci máj 2012 podala návrhy na vykonanie exekúcie na vymáhané pohľadávky vo výške 14 109 tis. Eur. Od začiatku roka podali pobočky exekučné návrhy v celkovom objeme 75 631 tis. Eur. </w:t>
      </w:r>
      <w:r w:rsidRPr="005646D8">
        <w:rPr>
          <w:rFonts w:ascii="Arial" w:hAnsi="Arial" w:cs="Arial"/>
          <w:color w:val="000000"/>
          <w:szCs w:val="20"/>
        </w:rPr>
        <w:t>Podrobnejší prehľad je uvedený v prílohe</w:t>
      </w:r>
      <w:r w:rsidRPr="005646D8">
        <w:rPr>
          <w:rFonts w:ascii="Arial" w:hAnsi="Arial" w:cs="Arial"/>
          <w:szCs w:val="20"/>
        </w:rPr>
        <w:t>.</w:t>
      </w:r>
    </w:p>
    <w:p w:rsidR="005646D8" w:rsidRPr="005646D8" w:rsidRDefault="005646D8" w:rsidP="005646D8">
      <w:pPr>
        <w:spacing w:before="240" w:after="120"/>
        <w:ind w:firstLine="709"/>
        <w:jc w:val="both"/>
        <w:rPr>
          <w:rFonts w:ascii="Arial" w:hAnsi="Arial" w:cs="Arial"/>
          <w:szCs w:val="20"/>
        </w:rPr>
      </w:pPr>
      <w:r w:rsidRPr="005646D8">
        <w:rPr>
          <w:rFonts w:ascii="Arial" w:hAnsi="Arial" w:cs="Arial"/>
          <w:szCs w:val="20"/>
        </w:rPr>
        <w:t xml:space="preserve">Prehľad pohľadávok vymáhaných prostredníctvom </w:t>
      </w:r>
      <w:r w:rsidRPr="005646D8">
        <w:rPr>
          <w:rFonts w:ascii="Arial" w:hAnsi="Arial" w:cs="Arial"/>
          <w:i/>
          <w:szCs w:val="20"/>
        </w:rPr>
        <w:t>mandátnej správy</w:t>
      </w:r>
      <w:r w:rsidRPr="005646D8">
        <w:rPr>
          <w:rFonts w:ascii="Arial" w:hAnsi="Arial" w:cs="Arial"/>
          <w:szCs w:val="20"/>
        </w:rPr>
        <w:t xml:space="preserve"> spoločnosťou </w:t>
      </w:r>
      <w:proofErr w:type="spellStart"/>
      <w:r w:rsidRPr="005646D8">
        <w:rPr>
          <w:rFonts w:ascii="Arial" w:hAnsi="Arial" w:cs="Arial"/>
          <w:szCs w:val="20"/>
        </w:rPr>
        <w:t>General</w:t>
      </w:r>
      <w:proofErr w:type="spellEnd"/>
      <w:r w:rsidRPr="005646D8">
        <w:rPr>
          <w:rFonts w:ascii="Arial" w:hAnsi="Arial" w:cs="Arial"/>
          <w:szCs w:val="20"/>
        </w:rPr>
        <w:t xml:space="preserve"> </w:t>
      </w:r>
      <w:proofErr w:type="spellStart"/>
      <w:r w:rsidRPr="005646D8">
        <w:rPr>
          <w:rFonts w:ascii="Arial" w:hAnsi="Arial" w:cs="Arial"/>
          <w:szCs w:val="20"/>
        </w:rPr>
        <w:t>Factoring</w:t>
      </w:r>
      <w:proofErr w:type="spellEnd"/>
      <w:r w:rsidRPr="005646D8">
        <w:rPr>
          <w:rFonts w:ascii="Arial" w:hAnsi="Arial" w:cs="Arial"/>
          <w:szCs w:val="20"/>
        </w:rPr>
        <w:t xml:space="preserve"> a. s. je uvedený v prílohách. V roku 2012 Sociálna poisťovňa previedla do mandátnej správy spolu 823 pohľadávok v sume 676 tis. Eur. K 31. máju 2012 bolo spolu akceptovaných úhrad v objeme 540 tis. Eur. </w:t>
      </w:r>
    </w:p>
    <w:p w:rsidR="005646D8" w:rsidRPr="005646D8" w:rsidRDefault="005646D8" w:rsidP="005646D8">
      <w:pPr>
        <w:spacing w:before="240" w:after="120"/>
        <w:ind w:firstLine="709"/>
        <w:jc w:val="both"/>
        <w:rPr>
          <w:rFonts w:ascii="Arial" w:hAnsi="Arial" w:cs="Arial"/>
          <w:szCs w:val="20"/>
        </w:rPr>
      </w:pPr>
      <w:r w:rsidRPr="005646D8">
        <w:rPr>
          <w:rFonts w:ascii="Arial" w:hAnsi="Arial" w:cs="Arial"/>
          <w:szCs w:val="20"/>
        </w:rPr>
        <w:t>Od 1. januára 2012 do 31. mája 2012 vydala Sociálna poisťovňa spolu 943 rozhodnutí o </w:t>
      </w:r>
      <w:r w:rsidRPr="005646D8">
        <w:rPr>
          <w:rFonts w:ascii="Arial" w:hAnsi="Arial" w:cs="Arial"/>
          <w:i/>
          <w:szCs w:val="20"/>
        </w:rPr>
        <w:t>povolení splátok dlžných súm</w:t>
      </w:r>
      <w:r w:rsidRPr="005646D8">
        <w:rPr>
          <w:rFonts w:ascii="Arial" w:hAnsi="Arial" w:cs="Arial"/>
          <w:szCs w:val="20"/>
        </w:rPr>
        <w:t xml:space="preserve"> v celkovom objeme 2 816 tis. Eur. Z toho úspešne ukončených splátkových kalendárov (100 % úhrada) bolo 54 s uhradenou sumou 58 tis. Eur. K zrušeniu splátkových kalendárov z dôvodov ich nedodržania došlo v 278 prípadoch na celkovú sumu 461 tis. Eur, v ktorých bolo povolené splácanie. Ku dňu zrušenia rozhodnutia bolo uhradené zo sumy povolenej na splácanie v zmysle schváleného splátkového kalendára 85 tis. Eur. Naďalej aktívnych splátkových kalendárov je 611 na celkový objem pohľadávok 2297 tis. Eur. Z nich bolo od 1. januára 2011 do 31. mája 2012 uhradených 729 tis. Eur na základe rozhodnutí o povolení splátok dlžných súm. Prehľad vývoja povolení splátok dlžných súm v roku 2012 je uvedený v prílohe.</w:t>
      </w:r>
    </w:p>
    <w:p w:rsidR="005646D8" w:rsidRPr="005646D8" w:rsidRDefault="005646D8" w:rsidP="005646D8">
      <w:pPr>
        <w:spacing w:before="240" w:after="120"/>
        <w:ind w:firstLine="540"/>
        <w:jc w:val="both"/>
        <w:rPr>
          <w:rFonts w:ascii="Arial" w:hAnsi="Arial" w:cs="Arial"/>
          <w:color w:val="000000"/>
          <w:szCs w:val="20"/>
        </w:rPr>
      </w:pPr>
      <w:r w:rsidRPr="005646D8">
        <w:rPr>
          <w:rFonts w:ascii="Arial" w:hAnsi="Arial" w:cs="Arial"/>
          <w:color w:val="000000"/>
          <w:szCs w:val="20"/>
        </w:rPr>
        <w:t xml:space="preserve">Celkový objem pohľadávok na neuhradenom poistnom (ďalej len "pohľadávka") Sociálnej poisťovne evidovaných voči </w:t>
      </w:r>
      <w:r w:rsidRPr="005646D8">
        <w:rPr>
          <w:rFonts w:ascii="Arial" w:hAnsi="Arial" w:cs="Arial"/>
          <w:i/>
          <w:color w:val="000000"/>
          <w:szCs w:val="20"/>
        </w:rPr>
        <w:t>sledovaným zdravotníckym zariadeniam v pôsobnosti MZ SR a transformovaným zdravotníckym zariadeniam</w:t>
      </w:r>
      <w:r w:rsidRPr="005646D8">
        <w:rPr>
          <w:rFonts w:ascii="Arial" w:hAnsi="Arial" w:cs="Arial"/>
          <w:color w:val="000000"/>
          <w:szCs w:val="20"/>
        </w:rPr>
        <w:t xml:space="preserve"> dosiahol k 31. máju 2012 sumu 36 303 tis. Eur. Objem pohľadávok evidovaný k 31. máju 2012 v porovnaní s objemom pohľadávok k 31. decembru 2011 zaznamenal nárast o 17 492 tis. Eur, z toho za mesiac máj o 3 418 tis. Eur. </w:t>
      </w:r>
      <w:r w:rsidRPr="005646D8">
        <w:rPr>
          <w:rFonts w:ascii="Arial" w:hAnsi="Arial" w:cs="Arial"/>
          <w:szCs w:val="20"/>
        </w:rPr>
        <w:t>Vývoj pohľadávok voči zdravotníckym zariadeniam je uvedený v prílohe</w:t>
      </w:r>
      <w:r w:rsidRPr="005646D8">
        <w:rPr>
          <w:rFonts w:ascii="Arial" w:hAnsi="Arial" w:cs="Arial"/>
          <w:color w:val="000000"/>
          <w:szCs w:val="20"/>
        </w:rPr>
        <w:t xml:space="preserve">. </w:t>
      </w:r>
    </w:p>
    <w:p w:rsidR="005646D8" w:rsidRPr="005646D8" w:rsidRDefault="005646D8" w:rsidP="005646D8">
      <w:pPr>
        <w:spacing w:before="240" w:after="120"/>
        <w:ind w:firstLine="539"/>
        <w:jc w:val="both"/>
        <w:rPr>
          <w:rFonts w:ascii="Arial" w:hAnsi="Arial" w:cs="Arial"/>
          <w:color w:val="000000"/>
          <w:szCs w:val="20"/>
        </w:rPr>
      </w:pPr>
      <w:r w:rsidRPr="005646D8">
        <w:rPr>
          <w:rFonts w:ascii="Arial" w:hAnsi="Arial" w:cs="Arial"/>
          <w:color w:val="000000"/>
          <w:szCs w:val="20"/>
        </w:rPr>
        <w:t xml:space="preserve">Pohľadávky voči </w:t>
      </w:r>
      <w:r w:rsidRPr="005646D8">
        <w:rPr>
          <w:rFonts w:ascii="Arial" w:hAnsi="Arial" w:cs="Arial"/>
          <w:i/>
          <w:color w:val="000000"/>
          <w:szCs w:val="20"/>
        </w:rPr>
        <w:t>zdravotníckym zariadeniam v pôsobnosti MZ SR</w:t>
      </w:r>
      <w:r w:rsidRPr="005646D8">
        <w:rPr>
          <w:rFonts w:ascii="Arial" w:hAnsi="Arial" w:cs="Arial"/>
          <w:color w:val="000000"/>
          <w:szCs w:val="20"/>
        </w:rPr>
        <w:t xml:space="preserve"> dosiahli k 31. máju 2012 výšku 17 356 tis. Eur, čo predstavuje 47,8 % z celkového objemu pohľadávok voči všetkým sledovaným zdravotníckym zariadeniam. V porovnaní so stavom k 31. decembru 2011 sa pohľadávky voči týmto zdravotníckym zariadeniam zvýšili o 14 834 tis. Eur, z toho za mesiac máj o 2 770 tis. Eur. Nárast pohľadávok z titulu neplatenia mesačných odvodov v súčasnosti evidujeme pri 6 zdravotníckych zariadeniach v pôsobnosti MZ SR a to Univerzitnej nemocnici Bratislava, Fakultnej nemocnici s poliklinikou F. D. </w:t>
      </w:r>
      <w:proofErr w:type="spellStart"/>
      <w:r w:rsidRPr="005646D8">
        <w:rPr>
          <w:rFonts w:ascii="Arial" w:hAnsi="Arial" w:cs="Arial"/>
          <w:color w:val="000000"/>
          <w:szCs w:val="20"/>
        </w:rPr>
        <w:t>Roosevelta</w:t>
      </w:r>
      <w:proofErr w:type="spellEnd"/>
      <w:r w:rsidRPr="005646D8">
        <w:rPr>
          <w:rFonts w:ascii="Arial" w:hAnsi="Arial" w:cs="Arial"/>
          <w:color w:val="000000"/>
          <w:szCs w:val="20"/>
        </w:rPr>
        <w:t xml:space="preserve"> Banská Bystrica, Detskej fakultnej nemocnici s poliklinikou Bratislava, Fakultnej nemocnici Trnava, Národnej transfúznej službe SR, Bratislava a Detskej ozdravovni, Kremnické Bane. </w:t>
      </w:r>
    </w:p>
    <w:p w:rsidR="005646D8" w:rsidRPr="005646D8" w:rsidRDefault="005646D8" w:rsidP="005646D8">
      <w:pPr>
        <w:spacing w:before="240" w:after="120"/>
        <w:ind w:firstLine="540"/>
        <w:jc w:val="both"/>
        <w:rPr>
          <w:rFonts w:ascii="Arial" w:hAnsi="Arial" w:cs="Arial"/>
          <w:color w:val="000000"/>
          <w:szCs w:val="20"/>
        </w:rPr>
      </w:pPr>
      <w:r w:rsidRPr="005646D8">
        <w:rPr>
          <w:rFonts w:ascii="Arial" w:hAnsi="Arial" w:cs="Arial"/>
          <w:color w:val="000000"/>
          <w:szCs w:val="20"/>
        </w:rPr>
        <w:lastRenderedPageBreak/>
        <w:t xml:space="preserve">Voči </w:t>
      </w:r>
      <w:r w:rsidRPr="005646D8">
        <w:rPr>
          <w:rFonts w:ascii="Arial" w:hAnsi="Arial" w:cs="Arial"/>
          <w:i/>
          <w:color w:val="000000"/>
          <w:szCs w:val="20"/>
        </w:rPr>
        <w:t>transformovaným zdravotníckym zariadeniam</w:t>
      </w:r>
      <w:r w:rsidRPr="005646D8">
        <w:rPr>
          <w:rFonts w:ascii="Arial" w:hAnsi="Arial" w:cs="Arial"/>
          <w:color w:val="000000"/>
          <w:szCs w:val="20"/>
        </w:rPr>
        <w:t xml:space="preserve"> eviduje Sociálna poisťovňa k 31. máju 2012 pohľadávky vo výške 18 947 tis. Eur, čo predstavuje 52,2 % z celkového objemu pohľadávok voči všetkým sledovaným zdravotníckym zariadeniam. V porovnaní so stavom pohľadávok k 31. decembru 2011 sa pohľadávky voči týmto zdravotníckym zariadeniam zvýšili o 2 658 tis. Eur, z toho za mesiac máj o 648 tis. Eur. Nárast pohľadávok z titulu neplatenia mesačných odvodov v súčasnosti evidujeme pri 13 transformovaných zdravotníckych zariadeniach a to Nemocnici s poliklinikou Prievidza so sídlom v Bojniciach, Nemocnici s poliklinikou v Považskej Bystrici, Nemocnici s poliklinikou Sv. Lukáša Galanta, a. s., Liptovskej nemocnici s poliklinikou MUDr. Ivana Stodolu Liptovský Mikuláš, Kysuckej nemocnici s poliklinikou Čadca, Nemocnici s poliklinikou Myjava, Dolnooravskej nemocnici s poliklinikou MUDr. L. N. </w:t>
      </w:r>
      <w:proofErr w:type="spellStart"/>
      <w:r w:rsidRPr="005646D8">
        <w:rPr>
          <w:rFonts w:ascii="Arial" w:hAnsi="Arial" w:cs="Arial"/>
          <w:color w:val="000000"/>
          <w:szCs w:val="20"/>
        </w:rPr>
        <w:t>Jégého</w:t>
      </w:r>
      <w:proofErr w:type="spellEnd"/>
      <w:r w:rsidRPr="005646D8">
        <w:rPr>
          <w:rFonts w:ascii="Arial" w:hAnsi="Arial" w:cs="Arial"/>
          <w:color w:val="000000"/>
          <w:szCs w:val="20"/>
        </w:rPr>
        <w:t xml:space="preserve"> Dolný Kubín, Nemocnici s poliklinikou Ilava, n. o., Nemocnici s poliklinikou, </w:t>
      </w:r>
      <w:proofErr w:type="spellStart"/>
      <w:r w:rsidRPr="005646D8">
        <w:rPr>
          <w:rFonts w:ascii="Arial" w:hAnsi="Arial" w:cs="Arial"/>
          <w:color w:val="000000"/>
          <w:szCs w:val="20"/>
        </w:rPr>
        <w:t>n.o</w:t>
      </w:r>
      <w:proofErr w:type="spellEnd"/>
      <w:r w:rsidRPr="005646D8">
        <w:rPr>
          <w:rFonts w:ascii="Arial" w:hAnsi="Arial" w:cs="Arial"/>
          <w:color w:val="000000"/>
          <w:szCs w:val="20"/>
        </w:rPr>
        <w:t xml:space="preserve">. Revúca (prevzaté od Revúckej medicínsko-humanitnej, </w:t>
      </w:r>
      <w:proofErr w:type="spellStart"/>
      <w:r w:rsidRPr="005646D8">
        <w:rPr>
          <w:rFonts w:ascii="Arial" w:hAnsi="Arial" w:cs="Arial"/>
          <w:color w:val="000000"/>
          <w:szCs w:val="20"/>
        </w:rPr>
        <w:t>n.o</w:t>
      </w:r>
      <w:proofErr w:type="spellEnd"/>
      <w:r w:rsidRPr="005646D8">
        <w:rPr>
          <w:rFonts w:ascii="Arial" w:hAnsi="Arial" w:cs="Arial"/>
          <w:color w:val="000000"/>
          <w:szCs w:val="20"/>
        </w:rPr>
        <w:t xml:space="preserve">., Revúca), Hornooravskej nemocnici s poliklinikou Trstená, Sanatóriu Tatranská Kotlina </w:t>
      </w:r>
      <w:proofErr w:type="spellStart"/>
      <w:r w:rsidRPr="005646D8">
        <w:rPr>
          <w:rFonts w:ascii="Arial" w:hAnsi="Arial" w:cs="Arial"/>
          <w:color w:val="000000"/>
          <w:szCs w:val="20"/>
        </w:rPr>
        <w:t>n.o</w:t>
      </w:r>
      <w:proofErr w:type="spellEnd"/>
      <w:r w:rsidRPr="005646D8">
        <w:rPr>
          <w:rFonts w:ascii="Arial" w:hAnsi="Arial" w:cs="Arial"/>
          <w:color w:val="000000"/>
          <w:szCs w:val="20"/>
        </w:rPr>
        <w:t xml:space="preserve">., Všeobecnej nemocnici s poliklinikou, </w:t>
      </w:r>
      <w:proofErr w:type="spellStart"/>
      <w:r w:rsidRPr="005646D8">
        <w:rPr>
          <w:rFonts w:ascii="Arial" w:hAnsi="Arial" w:cs="Arial"/>
          <w:color w:val="000000"/>
          <w:szCs w:val="20"/>
        </w:rPr>
        <w:t>n.o</w:t>
      </w:r>
      <w:proofErr w:type="spellEnd"/>
      <w:r w:rsidRPr="005646D8">
        <w:rPr>
          <w:rFonts w:ascii="Arial" w:hAnsi="Arial" w:cs="Arial"/>
          <w:color w:val="000000"/>
          <w:szCs w:val="20"/>
        </w:rPr>
        <w:t>., Veľký Krtíš a Nemocnici s poliklinikou Skalica.</w:t>
      </w:r>
    </w:p>
    <w:p w:rsidR="005646D8" w:rsidRPr="005646D8" w:rsidRDefault="005646D8" w:rsidP="005646D8">
      <w:pPr>
        <w:tabs>
          <w:tab w:val="left" w:pos="5760"/>
        </w:tabs>
        <w:spacing w:before="240" w:after="120"/>
        <w:ind w:firstLine="540"/>
        <w:jc w:val="both"/>
        <w:rPr>
          <w:rFonts w:ascii="Arial" w:hAnsi="Arial" w:cs="Arial"/>
          <w:color w:val="000000"/>
          <w:szCs w:val="20"/>
        </w:rPr>
      </w:pPr>
      <w:r w:rsidRPr="005646D8">
        <w:rPr>
          <w:rFonts w:ascii="Arial" w:hAnsi="Arial" w:cs="Arial"/>
          <w:color w:val="000000"/>
          <w:szCs w:val="20"/>
        </w:rPr>
        <w:t xml:space="preserve">Sociálna poisťovňa eviduje k 31. máju 2012 celkovo 23 sledovaných zdravotníckych zariadení s pohľadávkou, z toho je 6 zdravotníckych zariadení v pôsobnosti MZ SR a 17 je transformovaných zdravotníckych zariadení. </w:t>
      </w:r>
    </w:p>
    <w:p w:rsidR="005646D8" w:rsidRPr="005646D8" w:rsidRDefault="005646D8" w:rsidP="005646D8">
      <w:pPr>
        <w:tabs>
          <w:tab w:val="left" w:pos="709"/>
        </w:tabs>
        <w:spacing w:before="240" w:after="120"/>
        <w:jc w:val="both"/>
        <w:rPr>
          <w:rFonts w:ascii="Arial" w:hAnsi="Arial"/>
          <w:b/>
          <w:sz w:val="28"/>
          <w:szCs w:val="20"/>
        </w:rPr>
      </w:pPr>
      <w:r w:rsidRPr="005646D8">
        <w:rPr>
          <w:rFonts w:ascii="Arial" w:hAnsi="Arial"/>
          <w:b/>
          <w:sz w:val="28"/>
          <w:szCs w:val="20"/>
        </w:rPr>
        <w:t>3.</w:t>
      </w:r>
      <w:r w:rsidRPr="005646D8">
        <w:rPr>
          <w:rFonts w:ascii="Arial" w:hAnsi="Arial"/>
          <w:b/>
          <w:sz w:val="28"/>
          <w:szCs w:val="20"/>
        </w:rPr>
        <w:tab/>
        <w:t>Výdavky (náklady) Sociálnej poisťovne</w:t>
      </w:r>
    </w:p>
    <w:p w:rsidR="005646D8" w:rsidRPr="005646D8" w:rsidRDefault="005646D8" w:rsidP="005646D8">
      <w:pPr>
        <w:tabs>
          <w:tab w:val="decimal" w:pos="8222"/>
        </w:tabs>
        <w:spacing w:before="240" w:after="120"/>
        <w:ind w:firstLine="709"/>
        <w:jc w:val="both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t>Výdavky (náklady) Sociálnej poisťovne v mesiacoch január až máj 2012 boli takéto:</w:t>
      </w:r>
    </w:p>
    <w:tbl>
      <w:tblPr>
        <w:tblW w:w="9795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7"/>
        <w:gridCol w:w="1275"/>
        <w:gridCol w:w="1276"/>
        <w:gridCol w:w="1276"/>
        <w:gridCol w:w="850"/>
        <w:gridCol w:w="850"/>
        <w:gridCol w:w="851"/>
      </w:tblGrid>
      <w:tr w:rsidR="005646D8" w:rsidRPr="005646D8" w:rsidTr="00CA1E63">
        <w:trPr>
          <w:trHeight w:val="255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ind w:left="-69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v tis. Eur</w:t>
            </w:r>
          </w:p>
        </w:tc>
      </w:tr>
      <w:tr w:rsidR="005646D8" w:rsidRPr="005646D8" w:rsidTr="00CA1E63">
        <w:trPr>
          <w:trHeight w:val="45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ind w:right="35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Ukazovateľ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 xml:space="preserve">Upravený rozpočet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 xml:space="preserve">Časový rozpis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Skutočnosť k 31.5.2012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% plnenia (3/1)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% plnenia (3/2)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Rozdiel</w:t>
            </w:r>
            <w:r w:rsidRPr="005646D8">
              <w:rPr>
                <w:rFonts w:ascii="Arial" w:hAnsi="Arial" w:cs="Arial"/>
                <w:sz w:val="20"/>
                <w:szCs w:val="20"/>
              </w:rPr>
              <w:br/>
              <w:t xml:space="preserve"> (3-2)</w:t>
            </w:r>
          </w:p>
        </w:tc>
      </w:tr>
      <w:tr w:rsidR="005646D8" w:rsidRPr="005646D8" w:rsidTr="00CA1E63">
        <w:trPr>
          <w:trHeight w:val="25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46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5646D8" w:rsidRPr="005646D8" w:rsidTr="00CA1E63">
        <w:trPr>
          <w:trHeight w:val="25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Použitie prostriedkov celkom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6 499 601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2 687 071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2 657 624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40,89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98,90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-29 447</w:t>
            </w:r>
          </w:p>
        </w:tc>
      </w:tr>
      <w:tr w:rsidR="005646D8" w:rsidRPr="005646D8" w:rsidTr="00CA1E63">
        <w:trPr>
          <w:trHeight w:val="25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v tom: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5646D8" w:rsidRPr="005646D8" w:rsidTr="00CA1E63">
        <w:trPr>
          <w:trHeight w:val="25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základný fond nemocenského poistenia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422 576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185 046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191 489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45,31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103,48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6 443</w:t>
            </w:r>
          </w:p>
        </w:tc>
      </w:tr>
      <w:tr w:rsidR="005646D8" w:rsidRPr="005646D8" w:rsidTr="00CA1E63">
        <w:trPr>
          <w:trHeight w:val="25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základný fond starobného poistenia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4 814 092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1 978 312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1 950 958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40,53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98,62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-27 354</w:t>
            </w:r>
          </w:p>
        </w:tc>
      </w:tr>
      <w:tr w:rsidR="005646D8" w:rsidRPr="005646D8" w:rsidTr="00CA1E63">
        <w:trPr>
          <w:trHeight w:val="25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základný fond invalidného poistenia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890 568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366 496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363 849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40,86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99,28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-2 647</w:t>
            </w:r>
          </w:p>
        </w:tc>
      </w:tr>
      <w:tr w:rsidR="005646D8" w:rsidRPr="005646D8" w:rsidTr="00CA1E63">
        <w:trPr>
          <w:trHeight w:val="25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základný fond úrazového poistenia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47 676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20 241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18 351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38,49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90,66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-1 890</w:t>
            </w:r>
          </w:p>
        </w:tc>
      </w:tr>
      <w:tr w:rsidR="005646D8" w:rsidRPr="005646D8" w:rsidTr="00CA1E63">
        <w:trPr>
          <w:trHeight w:val="25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základný fond garančného poistenia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41 073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16 811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15 695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38,21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93,36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-1 116</w:t>
            </w:r>
          </w:p>
        </w:tc>
      </w:tr>
      <w:tr w:rsidR="005646D8" w:rsidRPr="005646D8" w:rsidTr="00CA1E63">
        <w:trPr>
          <w:trHeight w:val="25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základný fond poistenia v nezamestnanosti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169 905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72 186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73 322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43,15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101,57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1 136</w:t>
            </w:r>
          </w:p>
        </w:tc>
      </w:tr>
      <w:tr w:rsidR="005646D8" w:rsidRPr="005646D8" w:rsidTr="00CA1E63">
        <w:trPr>
          <w:trHeight w:val="25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správny fond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113 711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47 979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43 960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38,66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91,62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-4 019</w:t>
            </w:r>
          </w:p>
        </w:tc>
      </w:tr>
    </w:tbl>
    <w:p w:rsidR="005646D8" w:rsidRPr="005646D8" w:rsidRDefault="005646D8" w:rsidP="005646D8">
      <w:pPr>
        <w:tabs>
          <w:tab w:val="decimal" w:pos="8222"/>
        </w:tabs>
        <w:spacing w:after="120"/>
        <w:ind w:firstLine="709"/>
        <w:jc w:val="both"/>
        <w:rPr>
          <w:rFonts w:ascii="Arial" w:hAnsi="Arial"/>
          <w:szCs w:val="20"/>
        </w:rPr>
      </w:pPr>
    </w:p>
    <w:p w:rsidR="005646D8" w:rsidRPr="005646D8" w:rsidRDefault="005646D8" w:rsidP="005646D8">
      <w:pPr>
        <w:tabs>
          <w:tab w:val="left" w:pos="709"/>
          <w:tab w:val="decimal" w:pos="8222"/>
        </w:tabs>
        <w:spacing w:before="120" w:after="120"/>
        <w:jc w:val="both"/>
        <w:rPr>
          <w:rFonts w:ascii="Arial" w:hAnsi="Arial"/>
          <w:szCs w:val="20"/>
        </w:rPr>
      </w:pPr>
      <w:r w:rsidRPr="005646D8">
        <w:rPr>
          <w:rFonts w:ascii="Arial" w:hAnsi="Arial"/>
          <w:b/>
          <w:color w:val="000000"/>
          <w:szCs w:val="20"/>
        </w:rPr>
        <w:t>3.1.</w:t>
      </w:r>
      <w:r w:rsidRPr="005646D8">
        <w:rPr>
          <w:rFonts w:ascii="Arial" w:hAnsi="Arial"/>
          <w:b/>
          <w:color w:val="000000"/>
          <w:szCs w:val="20"/>
        </w:rPr>
        <w:tab/>
        <w:t>Výdavky základného fondu nemocenského poistenia</w:t>
      </w:r>
      <w:r w:rsidRPr="005646D8">
        <w:rPr>
          <w:rFonts w:ascii="Arial" w:hAnsi="Arial"/>
          <w:b/>
          <w:color w:val="000000"/>
          <w:szCs w:val="20"/>
        </w:rPr>
        <w:tab/>
        <w:t>191 489</w:t>
      </w:r>
      <w:r w:rsidRPr="005646D8">
        <w:rPr>
          <w:rFonts w:ascii="Arial" w:hAnsi="Arial"/>
          <w:b/>
          <w:szCs w:val="20"/>
        </w:rPr>
        <w:t> tis. Eur</w:t>
      </w:r>
      <w:r w:rsidRPr="005646D8">
        <w:rPr>
          <w:rFonts w:ascii="Arial" w:hAnsi="Arial"/>
          <w:szCs w:val="20"/>
        </w:rPr>
        <w:t>,</w:t>
      </w:r>
      <w:r w:rsidRPr="005646D8">
        <w:rPr>
          <w:rFonts w:ascii="Arial" w:hAnsi="Arial"/>
          <w:b/>
          <w:color w:val="000000"/>
          <w:szCs w:val="20"/>
        </w:rPr>
        <w:br/>
      </w:r>
      <w:r w:rsidRPr="005646D8">
        <w:rPr>
          <w:rFonts w:ascii="Arial" w:hAnsi="Arial"/>
          <w:color w:val="000000"/>
          <w:szCs w:val="20"/>
        </w:rPr>
        <w:t xml:space="preserve">čo je 45,31 % upraveného </w:t>
      </w:r>
      <w:r w:rsidRPr="005646D8">
        <w:rPr>
          <w:rFonts w:ascii="Arial" w:hAnsi="Arial"/>
          <w:szCs w:val="20"/>
        </w:rPr>
        <w:t xml:space="preserve">rozpočtu </w:t>
      </w:r>
      <w:r w:rsidRPr="005646D8">
        <w:rPr>
          <w:rFonts w:ascii="Arial" w:hAnsi="Arial"/>
          <w:color w:val="000000"/>
          <w:szCs w:val="20"/>
        </w:rPr>
        <w:t>vo výške</w:t>
      </w:r>
      <w:r w:rsidRPr="005646D8">
        <w:rPr>
          <w:rFonts w:ascii="Arial" w:hAnsi="Arial"/>
          <w:color w:val="000000"/>
          <w:szCs w:val="20"/>
        </w:rPr>
        <w:tab/>
        <w:t>422 576 tis. Eur</w:t>
      </w:r>
      <w:r w:rsidRPr="005646D8">
        <w:rPr>
          <w:rFonts w:ascii="Arial" w:hAnsi="Arial"/>
          <w:szCs w:val="20"/>
        </w:rPr>
        <w:br/>
        <w:t>a 103,48 % časového rozpisu vo výške</w:t>
      </w:r>
      <w:r w:rsidRPr="005646D8">
        <w:rPr>
          <w:rFonts w:ascii="Arial" w:hAnsi="Arial"/>
          <w:szCs w:val="20"/>
        </w:rPr>
        <w:tab/>
        <w:t>185 046 tis. Eur</w:t>
      </w:r>
      <w:r w:rsidRPr="005646D8">
        <w:rPr>
          <w:rFonts w:ascii="Arial" w:hAnsi="Arial"/>
          <w:color w:val="000000"/>
          <w:szCs w:val="20"/>
        </w:rPr>
        <w:t>.</w:t>
      </w:r>
    </w:p>
    <w:p w:rsidR="005646D8" w:rsidRDefault="005646D8" w:rsidP="005646D8">
      <w:pPr>
        <w:spacing w:before="240" w:after="120"/>
        <w:ind w:firstLine="720"/>
        <w:jc w:val="both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t>V mesiacoch január až máj 2012 boli výdavky základného fondu nemocenského poistenia v členení na dávky v porovnaní s časovým rozpisom a v porovnaní s rovnakým obdobím roka 2011 takéto:</w:t>
      </w:r>
    </w:p>
    <w:p w:rsidR="009E7FC5" w:rsidRPr="005646D8" w:rsidRDefault="009E7FC5" w:rsidP="005646D8">
      <w:pPr>
        <w:spacing w:before="240" w:after="120"/>
        <w:ind w:firstLine="720"/>
        <w:jc w:val="both"/>
        <w:rPr>
          <w:rFonts w:ascii="Arial" w:hAnsi="Arial"/>
          <w:szCs w:val="20"/>
        </w:rPr>
      </w:pPr>
    </w:p>
    <w:tbl>
      <w:tblPr>
        <w:tblW w:w="9371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5"/>
        <w:gridCol w:w="867"/>
        <w:gridCol w:w="267"/>
        <w:gridCol w:w="893"/>
        <w:gridCol w:w="241"/>
        <w:gridCol w:w="1134"/>
        <w:gridCol w:w="765"/>
        <w:gridCol w:w="794"/>
        <w:gridCol w:w="992"/>
        <w:gridCol w:w="993"/>
      </w:tblGrid>
      <w:tr w:rsidR="005646D8" w:rsidRPr="005646D8" w:rsidTr="00CA1E63">
        <w:trPr>
          <w:trHeight w:val="255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v tis. Eur</w:t>
            </w:r>
          </w:p>
        </w:tc>
      </w:tr>
      <w:tr w:rsidR="005646D8" w:rsidRPr="005646D8" w:rsidTr="00CA1E63">
        <w:trPr>
          <w:trHeight w:val="255"/>
        </w:trPr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Druh dávky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Január až máj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Rozdiel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%  plnenia  (3/1)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Index (3/2) v %</w:t>
            </w:r>
          </w:p>
        </w:tc>
      </w:tr>
      <w:tr w:rsidR="005646D8" w:rsidRPr="005646D8" w:rsidTr="00CA1E63">
        <w:trPr>
          <w:trHeight w:val="510"/>
        </w:trPr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 xml:space="preserve">časový rozpis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skutočnosť 2011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skutočnosť 2012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(3-1)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(3-2)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46D8" w:rsidRPr="005646D8" w:rsidTr="00CA1E63">
        <w:trPr>
          <w:trHeight w:val="25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5646D8" w:rsidRPr="005646D8" w:rsidTr="00CA1E63">
        <w:trPr>
          <w:trHeight w:val="25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nemocenské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134 459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121 304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135 773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1 314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14 469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100,98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111,93</w:t>
            </w:r>
          </w:p>
        </w:tc>
      </w:tr>
      <w:tr w:rsidR="005646D8" w:rsidRPr="005646D8" w:rsidTr="00CA1E63">
        <w:trPr>
          <w:trHeight w:val="25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 xml:space="preserve">ošetrovné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4 874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4 872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4 790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-84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-82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98,28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98,32</w:t>
            </w:r>
          </w:p>
        </w:tc>
      </w:tr>
      <w:tr w:rsidR="005646D8" w:rsidRPr="005646D8" w:rsidTr="00CA1E63">
        <w:trPr>
          <w:trHeight w:val="25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vyrovnávacia dávka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-23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50,00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109,52</w:t>
            </w:r>
          </w:p>
        </w:tc>
      </w:tr>
      <w:tr w:rsidR="005646D8" w:rsidRPr="005646D8" w:rsidTr="00CA1E63">
        <w:trPr>
          <w:trHeight w:val="25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materské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45 667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40 893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50 903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5 236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10 010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111,47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124,48</w:t>
            </w:r>
          </w:p>
        </w:tc>
      </w:tr>
      <w:tr w:rsidR="005646D8" w:rsidRPr="005646D8" w:rsidTr="00CA1E63">
        <w:trPr>
          <w:trHeight w:val="25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zúčtovanie dávok § 112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</w:tr>
      <w:tr w:rsidR="005646D8" w:rsidRPr="005646D8" w:rsidTr="00CA1E63">
        <w:trPr>
          <w:trHeight w:val="25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Celkom výdavky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185 046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167 088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191 489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6 443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24 401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103,48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114,60</w:t>
            </w:r>
          </w:p>
        </w:tc>
      </w:tr>
    </w:tbl>
    <w:p w:rsidR="005646D8" w:rsidRPr="005646D8" w:rsidRDefault="005646D8" w:rsidP="005646D8">
      <w:pPr>
        <w:spacing w:after="120"/>
        <w:jc w:val="both"/>
        <w:rPr>
          <w:rFonts w:ascii="Arial" w:hAnsi="Arial"/>
          <w:szCs w:val="20"/>
        </w:rPr>
      </w:pPr>
    </w:p>
    <w:p w:rsidR="005646D8" w:rsidRPr="005646D8" w:rsidRDefault="005646D8" w:rsidP="005646D8">
      <w:pPr>
        <w:spacing w:after="120"/>
        <w:ind w:firstLine="720"/>
        <w:jc w:val="both"/>
        <w:rPr>
          <w:rFonts w:ascii="Arial" w:hAnsi="Arial" w:cs="Arial"/>
        </w:rPr>
      </w:pPr>
      <w:r w:rsidRPr="005646D8">
        <w:rPr>
          <w:rFonts w:ascii="Arial" w:hAnsi="Arial"/>
          <w:szCs w:val="20"/>
        </w:rPr>
        <w:t xml:space="preserve">Na výšku výdavkov na nemocenské dávky mal vplyv počet prípadov a priemerná mesačná výška dávky. </w:t>
      </w:r>
      <w:r w:rsidRPr="005646D8">
        <w:rPr>
          <w:rFonts w:ascii="Arial" w:hAnsi="Arial" w:cs="Arial"/>
        </w:rPr>
        <w:t>Vývoj ukazovateľov bol takýto:</w:t>
      </w:r>
    </w:p>
    <w:p w:rsidR="005646D8" w:rsidRPr="005646D8" w:rsidRDefault="005646D8" w:rsidP="005646D8">
      <w:pPr>
        <w:numPr>
          <w:ilvl w:val="0"/>
          <w:numId w:val="16"/>
        </w:numPr>
        <w:spacing w:after="120"/>
        <w:ind w:hanging="720"/>
        <w:contextualSpacing/>
        <w:jc w:val="both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t>priemerný mesačný počet prípadov dávky:</w:t>
      </w:r>
    </w:p>
    <w:tbl>
      <w:tblPr>
        <w:tblW w:w="86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0"/>
        <w:gridCol w:w="1160"/>
        <w:gridCol w:w="1160"/>
        <w:gridCol w:w="1160"/>
        <w:gridCol w:w="980"/>
        <w:gridCol w:w="1000"/>
        <w:gridCol w:w="1060"/>
      </w:tblGrid>
      <w:tr w:rsidR="005646D8" w:rsidRPr="005646D8" w:rsidTr="00CA1E63">
        <w:trPr>
          <w:trHeight w:val="255"/>
        </w:trPr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Druh dávky</w:t>
            </w:r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Rozpočet</w:t>
            </w:r>
          </w:p>
        </w:tc>
        <w:tc>
          <w:tcPr>
            <w:tcW w:w="2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Január až máj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Rozdiel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Index (3/2) v %</w:t>
            </w:r>
          </w:p>
        </w:tc>
      </w:tr>
      <w:tr w:rsidR="005646D8" w:rsidRPr="005646D8" w:rsidTr="00CA1E63">
        <w:trPr>
          <w:trHeight w:val="510"/>
        </w:trPr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skutočnosť 2011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skutočnosť 2012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(3-1)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(3-2)</w:t>
            </w: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46D8" w:rsidRPr="005646D8" w:rsidTr="00CA1E63">
        <w:trPr>
          <w:trHeight w:val="255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5646D8" w:rsidRPr="005646D8" w:rsidTr="00CA1E63">
        <w:trPr>
          <w:trHeight w:val="255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nemocenské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116 492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120 175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123 601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7 109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3 426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102,85</w:t>
            </w:r>
          </w:p>
        </w:tc>
      </w:tr>
      <w:tr w:rsidR="005646D8" w:rsidRPr="005646D8" w:rsidTr="00CA1E63">
        <w:trPr>
          <w:trHeight w:val="255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 xml:space="preserve">ošetrovné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12 376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13 468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12 950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574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-518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96,15</w:t>
            </w:r>
          </w:p>
        </w:tc>
      </w:tr>
      <w:tr w:rsidR="005646D8" w:rsidRPr="005646D8" w:rsidTr="00CA1E63">
        <w:trPr>
          <w:trHeight w:val="255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vyrovnávacia dávka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-22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100,00</w:t>
            </w:r>
          </w:p>
        </w:tc>
      </w:tr>
      <w:tr w:rsidR="005646D8" w:rsidRPr="005646D8" w:rsidTr="00CA1E63">
        <w:trPr>
          <w:trHeight w:val="255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materské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23 978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22 048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23 873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-105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1 825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108,28</w:t>
            </w:r>
          </w:p>
        </w:tc>
      </w:tr>
      <w:tr w:rsidR="005646D8" w:rsidRPr="005646D8" w:rsidTr="00CA1E63">
        <w:trPr>
          <w:trHeight w:val="255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 xml:space="preserve">Celkom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152 952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155 775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160 508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7 556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4 733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103,04</w:t>
            </w:r>
          </w:p>
        </w:tc>
      </w:tr>
    </w:tbl>
    <w:p w:rsidR="005646D8" w:rsidRPr="005646D8" w:rsidRDefault="005646D8" w:rsidP="005646D8">
      <w:pPr>
        <w:spacing w:after="120"/>
        <w:jc w:val="both"/>
        <w:rPr>
          <w:rFonts w:ascii="Arial" w:hAnsi="Arial"/>
          <w:szCs w:val="20"/>
        </w:rPr>
      </w:pPr>
    </w:p>
    <w:p w:rsidR="005646D8" w:rsidRPr="005646D8" w:rsidRDefault="005646D8" w:rsidP="005646D8">
      <w:pPr>
        <w:numPr>
          <w:ilvl w:val="0"/>
          <w:numId w:val="16"/>
        </w:numPr>
        <w:spacing w:before="240" w:after="120"/>
        <w:ind w:hanging="720"/>
        <w:contextualSpacing/>
        <w:jc w:val="both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t>priemerná mesačná výška dávky:</w:t>
      </w:r>
    </w:p>
    <w:tbl>
      <w:tblPr>
        <w:tblW w:w="86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0"/>
        <w:gridCol w:w="1160"/>
        <w:gridCol w:w="1160"/>
        <w:gridCol w:w="1160"/>
        <w:gridCol w:w="980"/>
        <w:gridCol w:w="1000"/>
        <w:gridCol w:w="1060"/>
      </w:tblGrid>
      <w:tr w:rsidR="005646D8" w:rsidRPr="005646D8" w:rsidTr="00CA1E63">
        <w:trPr>
          <w:trHeight w:val="255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v Eur</w:t>
            </w:r>
          </w:p>
        </w:tc>
      </w:tr>
      <w:tr w:rsidR="005646D8" w:rsidRPr="005646D8" w:rsidTr="00CA1E63">
        <w:trPr>
          <w:trHeight w:val="255"/>
        </w:trPr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Druh dávky</w:t>
            </w:r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Rozpočet</w:t>
            </w:r>
          </w:p>
        </w:tc>
        <w:tc>
          <w:tcPr>
            <w:tcW w:w="2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Január až máj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Rozdiel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Index (3/2) v %</w:t>
            </w:r>
          </w:p>
        </w:tc>
      </w:tr>
      <w:tr w:rsidR="005646D8" w:rsidRPr="005646D8" w:rsidTr="00CA1E63">
        <w:trPr>
          <w:trHeight w:val="510"/>
        </w:trPr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skutočnosť 2011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skutočnosť 2012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(3-1)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(3-2)</w:t>
            </w: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46D8" w:rsidRPr="005646D8" w:rsidTr="00CA1E63">
        <w:trPr>
          <w:trHeight w:val="255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5646D8" w:rsidRPr="005646D8" w:rsidTr="00CA1E63">
        <w:trPr>
          <w:trHeight w:val="255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nemocenské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209,17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201,88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219,70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10,53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17,82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108,83</w:t>
            </w:r>
          </w:p>
        </w:tc>
      </w:tr>
      <w:tr w:rsidR="005646D8" w:rsidRPr="005646D8" w:rsidTr="00CA1E63">
        <w:trPr>
          <w:trHeight w:val="255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 xml:space="preserve">ošetrovné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70,57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72,35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73,99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3,42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1,64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102,27</w:t>
            </w:r>
          </w:p>
        </w:tc>
      </w:tr>
      <w:tr w:rsidR="005646D8" w:rsidRPr="005646D8" w:rsidTr="00CA1E63">
        <w:trPr>
          <w:trHeight w:val="255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vyrovnávacia dávka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52,00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49,75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55,31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3,31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5,56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111,18</w:t>
            </w:r>
          </w:p>
        </w:tc>
      </w:tr>
      <w:tr w:rsidR="005646D8" w:rsidRPr="005646D8" w:rsidTr="00CA1E63">
        <w:trPr>
          <w:trHeight w:val="255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materské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415,76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370,96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426,45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10,69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55,49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114,96</w:t>
            </w:r>
          </w:p>
        </w:tc>
      </w:tr>
    </w:tbl>
    <w:p w:rsidR="005646D8" w:rsidRPr="005646D8" w:rsidRDefault="005646D8" w:rsidP="005646D8">
      <w:pPr>
        <w:contextualSpacing/>
        <w:rPr>
          <w:rFonts w:ascii="Arial" w:hAnsi="Arial"/>
          <w:szCs w:val="20"/>
        </w:rPr>
      </w:pPr>
    </w:p>
    <w:p w:rsidR="005646D8" w:rsidRPr="005646D8" w:rsidRDefault="005646D8" w:rsidP="005646D8">
      <w:pPr>
        <w:contextualSpacing/>
        <w:rPr>
          <w:rFonts w:ascii="Arial" w:hAnsi="Arial"/>
          <w:szCs w:val="20"/>
        </w:rPr>
      </w:pPr>
    </w:p>
    <w:p w:rsidR="005646D8" w:rsidRPr="005646D8" w:rsidRDefault="005646D8" w:rsidP="005646D8">
      <w:pPr>
        <w:tabs>
          <w:tab w:val="left" w:pos="709"/>
          <w:tab w:val="decimal" w:pos="8222"/>
        </w:tabs>
        <w:rPr>
          <w:rFonts w:ascii="Arial" w:hAnsi="Arial"/>
          <w:szCs w:val="20"/>
        </w:rPr>
      </w:pPr>
      <w:r w:rsidRPr="005646D8">
        <w:rPr>
          <w:rFonts w:ascii="Arial" w:hAnsi="Arial"/>
          <w:b/>
          <w:szCs w:val="20"/>
        </w:rPr>
        <w:t>3.2.</w:t>
      </w:r>
      <w:r w:rsidRPr="005646D8">
        <w:rPr>
          <w:rFonts w:ascii="Arial" w:hAnsi="Arial"/>
          <w:b/>
          <w:szCs w:val="20"/>
        </w:rPr>
        <w:tab/>
        <w:t>Výdavky z dôchodkového poistenia</w:t>
      </w:r>
      <w:r w:rsidRPr="005646D8">
        <w:rPr>
          <w:rFonts w:ascii="Arial" w:hAnsi="Arial"/>
          <w:b/>
          <w:szCs w:val="20"/>
        </w:rPr>
        <w:tab/>
        <w:t>2 314 807 tis. Eur</w:t>
      </w:r>
      <w:r w:rsidRPr="005646D8">
        <w:rPr>
          <w:rFonts w:ascii="Arial" w:hAnsi="Arial"/>
          <w:szCs w:val="20"/>
        </w:rPr>
        <w:t>,</w:t>
      </w:r>
    </w:p>
    <w:p w:rsidR="005646D8" w:rsidRPr="005646D8" w:rsidRDefault="005646D8" w:rsidP="005646D8">
      <w:pPr>
        <w:tabs>
          <w:tab w:val="left" w:pos="709"/>
          <w:tab w:val="decimal" w:pos="8222"/>
        </w:tabs>
        <w:spacing w:after="120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t>čo je 40,58 % upraveného rozpočtu vo výške</w:t>
      </w:r>
      <w:r w:rsidRPr="005646D8">
        <w:rPr>
          <w:rFonts w:ascii="Arial" w:hAnsi="Arial"/>
          <w:szCs w:val="20"/>
        </w:rPr>
        <w:tab/>
        <w:t>5 704 660 tis. Eur,</w:t>
      </w:r>
      <w:r w:rsidRPr="005646D8">
        <w:rPr>
          <w:rFonts w:ascii="Arial" w:hAnsi="Arial"/>
          <w:szCs w:val="20"/>
        </w:rPr>
        <w:br/>
        <w:t>a 98,72 % časového rozpisu vo výške</w:t>
      </w:r>
      <w:r w:rsidRPr="005646D8">
        <w:rPr>
          <w:rFonts w:ascii="Arial" w:hAnsi="Arial"/>
          <w:szCs w:val="20"/>
        </w:rPr>
        <w:tab/>
        <w:t>2 344 808 tis. Eur,</w:t>
      </w:r>
    </w:p>
    <w:p w:rsidR="005646D8" w:rsidRPr="005646D8" w:rsidRDefault="005646D8" w:rsidP="005646D8">
      <w:pPr>
        <w:tabs>
          <w:tab w:val="left" w:pos="709"/>
          <w:tab w:val="decimal" w:pos="8222"/>
        </w:tabs>
        <w:rPr>
          <w:rFonts w:ascii="Arial" w:hAnsi="Arial"/>
          <w:szCs w:val="20"/>
        </w:rPr>
      </w:pPr>
      <w:r w:rsidRPr="005646D8">
        <w:rPr>
          <w:rFonts w:ascii="Arial" w:hAnsi="Arial"/>
          <w:b/>
          <w:szCs w:val="20"/>
        </w:rPr>
        <w:t>Výdavky základného fondu starobného poistenia</w:t>
      </w:r>
      <w:r w:rsidRPr="005646D8">
        <w:rPr>
          <w:rFonts w:ascii="Arial" w:hAnsi="Arial"/>
          <w:b/>
          <w:szCs w:val="20"/>
        </w:rPr>
        <w:tab/>
        <w:t>1 950 958</w:t>
      </w:r>
      <w:r w:rsidRPr="005646D8">
        <w:rPr>
          <w:rFonts w:ascii="Arial" w:hAnsi="Arial"/>
          <w:szCs w:val="20"/>
        </w:rPr>
        <w:t> </w:t>
      </w:r>
      <w:r w:rsidRPr="005646D8">
        <w:rPr>
          <w:rFonts w:ascii="Arial" w:hAnsi="Arial"/>
          <w:b/>
          <w:szCs w:val="20"/>
        </w:rPr>
        <w:t>tis. Eur</w:t>
      </w:r>
      <w:r w:rsidRPr="005646D8">
        <w:rPr>
          <w:rFonts w:ascii="Arial" w:hAnsi="Arial"/>
          <w:szCs w:val="20"/>
        </w:rPr>
        <w:t>,</w:t>
      </w:r>
    </w:p>
    <w:p w:rsidR="005646D8" w:rsidRPr="005646D8" w:rsidRDefault="005646D8" w:rsidP="005646D8">
      <w:pPr>
        <w:tabs>
          <w:tab w:val="left" w:pos="709"/>
          <w:tab w:val="decimal" w:pos="8222"/>
        </w:tabs>
        <w:spacing w:after="120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t>čo je 40,53 % upraveného rozpočtu vo výške</w:t>
      </w:r>
      <w:r w:rsidRPr="005646D8">
        <w:rPr>
          <w:rFonts w:ascii="Arial" w:hAnsi="Arial"/>
          <w:szCs w:val="20"/>
        </w:rPr>
        <w:tab/>
        <w:t>4 814 092 tis. Eur,</w:t>
      </w:r>
      <w:r w:rsidRPr="005646D8">
        <w:rPr>
          <w:rFonts w:ascii="Arial" w:hAnsi="Arial"/>
          <w:szCs w:val="20"/>
        </w:rPr>
        <w:br/>
        <w:t>a 98,62 % časového rozpisu vo výške</w:t>
      </w:r>
      <w:r w:rsidRPr="005646D8">
        <w:rPr>
          <w:rFonts w:ascii="Arial" w:hAnsi="Arial"/>
          <w:szCs w:val="20"/>
        </w:rPr>
        <w:tab/>
        <w:t>1 978 312 tis. Eur,</w:t>
      </w:r>
    </w:p>
    <w:p w:rsidR="005646D8" w:rsidRPr="005646D8" w:rsidRDefault="005646D8" w:rsidP="005646D8">
      <w:pPr>
        <w:tabs>
          <w:tab w:val="left" w:pos="709"/>
          <w:tab w:val="decimal" w:pos="8222"/>
        </w:tabs>
        <w:jc w:val="both"/>
        <w:rPr>
          <w:rFonts w:ascii="Arial" w:hAnsi="Arial"/>
          <w:szCs w:val="20"/>
        </w:rPr>
      </w:pPr>
      <w:r w:rsidRPr="005646D8">
        <w:rPr>
          <w:rFonts w:ascii="Arial" w:hAnsi="Arial"/>
          <w:b/>
          <w:szCs w:val="20"/>
        </w:rPr>
        <w:t>Výdavky základného fondu invalidného poistenia</w:t>
      </w:r>
      <w:r w:rsidRPr="005646D8">
        <w:rPr>
          <w:rFonts w:ascii="Arial" w:hAnsi="Arial"/>
          <w:b/>
          <w:szCs w:val="20"/>
        </w:rPr>
        <w:tab/>
        <w:t>363 849</w:t>
      </w:r>
      <w:r w:rsidRPr="005646D8">
        <w:rPr>
          <w:rFonts w:ascii="Arial" w:hAnsi="Arial"/>
          <w:szCs w:val="20"/>
        </w:rPr>
        <w:t> </w:t>
      </w:r>
      <w:r w:rsidRPr="005646D8">
        <w:rPr>
          <w:rFonts w:ascii="Arial" w:hAnsi="Arial"/>
          <w:b/>
          <w:szCs w:val="20"/>
        </w:rPr>
        <w:t>tis. Eur</w:t>
      </w:r>
      <w:r w:rsidRPr="005646D8">
        <w:rPr>
          <w:rFonts w:ascii="Arial" w:hAnsi="Arial"/>
          <w:szCs w:val="20"/>
        </w:rPr>
        <w:t>,</w:t>
      </w:r>
      <w:r w:rsidRPr="005646D8">
        <w:rPr>
          <w:rFonts w:ascii="Arial" w:hAnsi="Arial"/>
          <w:szCs w:val="20"/>
        </w:rPr>
        <w:br/>
        <w:t>čo je 40,86 % rozpočtu vo výške</w:t>
      </w:r>
      <w:r w:rsidRPr="005646D8">
        <w:rPr>
          <w:rFonts w:ascii="Arial" w:hAnsi="Arial"/>
          <w:szCs w:val="20"/>
        </w:rPr>
        <w:tab/>
        <w:t>890 568 tis. Eur,</w:t>
      </w:r>
    </w:p>
    <w:p w:rsidR="005646D8" w:rsidRPr="005646D8" w:rsidRDefault="005646D8" w:rsidP="005646D8">
      <w:pPr>
        <w:tabs>
          <w:tab w:val="left" w:pos="709"/>
          <w:tab w:val="decimal" w:pos="8222"/>
        </w:tabs>
        <w:jc w:val="both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t>a 99,28 % rozpisu rozpočtu vo výške</w:t>
      </w:r>
      <w:r w:rsidRPr="005646D8">
        <w:rPr>
          <w:rFonts w:ascii="Arial" w:hAnsi="Arial"/>
          <w:szCs w:val="20"/>
        </w:rPr>
        <w:tab/>
        <w:t>366 496 tis. Eur.</w:t>
      </w:r>
    </w:p>
    <w:p w:rsidR="005646D8" w:rsidRPr="005646D8" w:rsidRDefault="005646D8" w:rsidP="005646D8">
      <w:pPr>
        <w:tabs>
          <w:tab w:val="decimal" w:pos="-4500"/>
          <w:tab w:val="left" w:pos="-1418"/>
        </w:tabs>
        <w:spacing w:before="240" w:after="120"/>
        <w:ind w:firstLine="720"/>
        <w:jc w:val="both"/>
        <w:outlineLvl w:val="0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t xml:space="preserve">Čerpanie finančných prostriedkov z dôchodkového poistenia bolo nižšie o 30 001 tis. Eur oproti časovému rozpisu. </w:t>
      </w:r>
    </w:p>
    <w:p w:rsidR="005646D8" w:rsidRPr="005646D8" w:rsidRDefault="005646D8" w:rsidP="005646D8">
      <w:pPr>
        <w:tabs>
          <w:tab w:val="left" w:pos="-1418"/>
          <w:tab w:val="decimal" w:pos="8222"/>
        </w:tabs>
        <w:spacing w:before="240" w:after="120"/>
        <w:ind w:firstLine="720"/>
        <w:jc w:val="both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lastRenderedPageBreak/>
        <w:t>Rozpočtované výdavky boli nižšie najmä v dôchodkoch:</w:t>
      </w:r>
    </w:p>
    <w:p w:rsidR="005646D8" w:rsidRPr="005646D8" w:rsidRDefault="005646D8" w:rsidP="005646D8">
      <w:pPr>
        <w:numPr>
          <w:ilvl w:val="0"/>
          <w:numId w:val="14"/>
        </w:numPr>
        <w:tabs>
          <w:tab w:val="left" w:pos="-1418"/>
          <w:tab w:val="num" w:pos="426"/>
        </w:tabs>
        <w:spacing w:before="240" w:after="120"/>
        <w:ind w:left="0" w:firstLine="0"/>
        <w:jc w:val="both"/>
        <w:rPr>
          <w:rFonts w:ascii="Arial" w:hAnsi="Arial" w:cs="Arial"/>
        </w:rPr>
      </w:pPr>
      <w:r w:rsidRPr="005646D8">
        <w:rPr>
          <w:rFonts w:ascii="Arial" w:hAnsi="Arial"/>
          <w:szCs w:val="20"/>
        </w:rPr>
        <w:t xml:space="preserve">predčasných starobných (29 872 tis Eur), čo je spôsobené hlavne nižším počtom a nižšou priemernou výškou novopriznávaných dôchodkov </w:t>
      </w:r>
      <w:r w:rsidRPr="005646D8">
        <w:rPr>
          <w:rFonts w:ascii="Arial" w:hAnsi="Arial" w:cs="Arial"/>
        </w:rPr>
        <w:t>a vyšším počtom presunutých predčasných starobných dôchodkov do starobných dôchodkov po dovŕšení dôchodkového veku poberateľa ako bolo rozpočtované,</w:t>
      </w:r>
    </w:p>
    <w:p w:rsidR="005646D8" w:rsidRPr="005646D8" w:rsidRDefault="005646D8" w:rsidP="005646D8">
      <w:pPr>
        <w:numPr>
          <w:ilvl w:val="0"/>
          <w:numId w:val="14"/>
        </w:numPr>
        <w:tabs>
          <w:tab w:val="left" w:pos="-1418"/>
          <w:tab w:val="num" w:pos="426"/>
        </w:tabs>
        <w:spacing w:before="120" w:after="120"/>
        <w:ind w:left="0" w:firstLine="0"/>
        <w:jc w:val="both"/>
        <w:rPr>
          <w:rFonts w:ascii="Arial" w:hAnsi="Arial" w:cs="Arial"/>
        </w:rPr>
      </w:pPr>
      <w:r w:rsidRPr="005646D8">
        <w:rPr>
          <w:rFonts w:ascii="Arial" w:hAnsi="Arial" w:cs="Arial"/>
        </w:rPr>
        <w:t xml:space="preserve">vdovských (3 036 tis. Eur) a </w:t>
      </w:r>
      <w:r w:rsidRPr="005646D8">
        <w:rPr>
          <w:rFonts w:ascii="Arial" w:hAnsi="Arial"/>
          <w:szCs w:val="20"/>
        </w:rPr>
        <w:t xml:space="preserve">sirotských (1 113 tis. Eur) z dôvodu nižšieho počtu a nižšej priemernej výšky novopriznávaných dôchodkov </w:t>
      </w:r>
      <w:r w:rsidRPr="005646D8">
        <w:rPr>
          <w:rFonts w:ascii="Arial" w:hAnsi="Arial" w:cs="Arial"/>
        </w:rPr>
        <w:t>ako bolo rozpočtované na rok 2012.</w:t>
      </w:r>
    </w:p>
    <w:p w:rsidR="005646D8" w:rsidRPr="005646D8" w:rsidRDefault="005646D8" w:rsidP="005646D8">
      <w:pPr>
        <w:tabs>
          <w:tab w:val="left" w:pos="-1418"/>
          <w:tab w:val="decimal" w:pos="8222"/>
        </w:tabs>
        <w:spacing w:before="240" w:after="120"/>
        <w:ind w:firstLine="709"/>
        <w:jc w:val="both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t>Vyššie skutočné výdavky, ako rozpočtované, boli na starobné dôchodky (o 4 484 tis. Eur), čo bolo spôsobené najmä</w:t>
      </w:r>
      <w:r w:rsidRPr="005646D8">
        <w:rPr>
          <w:rFonts w:ascii="Arial" w:hAnsi="Arial" w:cs="Arial"/>
        </w:rPr>
        <w:t xml:space="preserve"> vyšším počtom a vyššou priemernou výškou presunutých predčasných starobných dôchodkov do starobných dôchodkov po dovŕšení dôchodkového veku poberateľa ako bolo rozpočtované.</w:t>
      </w:r>
    </w:p>
    <w:p w:rsidR="005646D8" w:rsidRPr="005646D8" w:rsidRDefault="005646D8" w:rsidP="005646D8">
      <w:pPr>
        <w:tabs>
          <w:tab w:val="left" w:pos="-1418"/>
          <w:tab w:val="decimal" w:pos="8222"/>
        </w:tabs>
        <w:spacing w:before="240" w:after="120"/>
        <w:ind w:firstLine="720"/>
        <w:jc w:val="both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t>Suma výdavkov na dôchodkové dávky v hodnotenom období zahŕňa aj valorizáciu dôchodkov od 1. januára  2012 v zmysle § 82 zákona o sociálnom  poistení o 3,3 % vo výške 80 702 tis. Eur, v ktorej je zahrnuté zvýšenie dôchodkov od prvého dňa v mesiaci v sume 5 863 tis. Eur. Zvýšenie na jeden dôchodok predstavovalo 9,26 Eur (na starobný dôchodok 11,18 Eur, predčasný starobný dôchodok 11,91 Eur a na invalidný dôchodok 8,37 Eur).</w:t>
      </w:r>
    </w:p>
    <w:p w:rsidR="005646D8" w:rsidRPr="005646D8" w:rsidRDefault="005646D8" w:rsidP="005646D8">
      <w:pPr>
        <w:spacing w:before="240" w:after="120"/>
        <w:ind w:right="-110" w:firstLine="709"/>
        <w:jc w:val="both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t>Podiel jednotlivých dôchodkových dávok na celkových výdavkoch v percentuálnom vyjadrení je znázornený v nasledujúcom grafe:</w:t>
      </w:r>
    </w:p>
    <w:p w:rsidR="005646D8" w:rsidRPr="005646D8" w:rsidRDefault="005646D8" w:rsidP="005646D8">
      <w:pPr>
        <w:tabs>
          <w:tab w:val="left" w:pos="-1418"/>
          <w:tab w:val="decimal" w:pos="8222"/>
        </w:tabs>
        <w:spacing w:before="240" w:after="120"/>
        <w:ind w:firstLine="720"/>
        <w:jc w:val="both"/>
        <w:rPr>
          <w:rFonts w:ascii="Arial" w:hAnsi="Arial"/>
          <w:color w:val="000000"/>
          <w:szCs w:val="20"/>
        </w:rPr>
      </w:pPr>
      <w:r w:rsidRPr="005646D8">
        <w:rPr>
          <w:rFonts w:ascii="Arial" w:hAnsi="Arial"/>
          <w:noProof/>
          <w:szCs w:val="20"/>
        </w:rPr>
        <w:drawing>
          <wp:inline distT="0" distB="0" distL="0" distR="0" wp14:anchorId="2655E460" wp14:editId="4826F18B">
            <wp:extent cx="5800725" cy="3019425"/>
            <wp:effectExtent l="0" t="0" r="0" b="0"/>
            <wp:docPr id="1" name="Graf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646D8" w:rsidRPr="005646D8" w:rsidRDefault="005646D8" w:rsidP="005646D8">
      <w:pPr>
        <w:spacing w:before="240" w:after="120"/>
        <w:ind w:right="-159" w:firstLine="720"/>
        <w:jc w:val="both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t>V porovnaní so stavom k 31. decembru 2012 sa v hodnotenom období zvýšil počet vyplácaných dôchodkov o 5 922. Najväčší nárast bol v  starobných dôchodkoch (7 410) a invalidných dôchodkoch (2 595). Pokles bol zaznamenaný najmä v predčasných starobných  dôchodkoch (-4 144) a vdovských dôchodkoch (-1 755).</w:t>
      </w:r>
    </w:p>
    <w:p w:rsidR="005646D8" w:rsidRPr="005646D8" w:rsidRDefault="005646D8" w:rsidP="005646D8">
      <w:pPr>
        <w:spacing w:before="240" w:after="120"/>
        <w:ind w:firstLine="720"/>
        <w:jc w:val="both"/>
        <w:rPr>
          <w:rFonts w:ascii="Arial" w:hAnsi="Arial" w:cs="Arial"/>
          <w:sz w:val="20"/>
          <w:szCs w:val="20"/>
        </w:rPr>
      </w:pPr>
      <w:r w:rsidRPr="005646D8">
        <w:rPr>
          <w:rFonts w:ascii="Arial" w:hAnsi="Arial"/>
          <w:szCs w:val="20"/>
        </w:rPr>
        <w:lastRenderedPageBreak/>
        <w:t>Prehľad o počte vyplácaných dôchodkov podľa druhu dôchodku k 31. máju 2012, v porovnaní so stavom k </w:t>
      </w:r>
      <w:r w:rsidRPr="005646D8">
        <w:rPr>
          <w:rFonts w:ascii="Arial" w:hAnsi="Arial" w:cs="Arial"/>
        </w:rPr>
        <w:t>31. máju 2011 a k 31. decembru 2011 je v nasledujúcej tabuľke:</w:t>
      </w:r>
    </w:p>
    <w:tbl>
      <w:tblPr>
        <w:tblW w:w="9583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6"/>
        <w:gridCol w:w="1276"/>
        <w:gridCol w:w="1276"/>
        <w:gridCol w:w="1171"/>
        <w:gridCol w:w="872"/>
        <w:gridCol w:w="872"/>
      </w:tblGrid>
      <w:tr w:rsidR="005646D8" w:rsidRPr="005646D8" w:rsidTr="00CA1E63">
        <w:trPr>
          <w:trHeight w:val="255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Stav k</w:t>
            </w:r>
          </w:p>
        </w:tc>
        <w:tc>
          <w:tcPr>
            <w:tcW w:w="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Rozdiel (3-1)</w:t>
            </w:r>
          </w:p>
        </w:tc>
        <w:tc>
          <w:tcPr>
            <w:tcW w:w="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Rozdiel (3-2)</w:t>
            </w:r>
          </w:p>
        </w:tc>
      </w:tr>
      <w:tr w:rsidR="005646D8" w:rsidRPr="005646D8" w:rsidTr="00CA1E63">
        <w:trPr>
          <w:trHeight w:val="255"/>
        </w:trPr>
        <w:tc>
          <w:tcPr>
            <w:tcW w:w="4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Druh dôchodku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 xml:space="preserve"> 31.5.2011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31.12.2011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31.5.2012</w:t>
            </w:r>
          </w:p>
        </w:tc>
        <w:tc>
          <w:tcPr>
            <w:tcW w:w="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5646D8" w:rsidRPr="005646D8" w:rsidTr="00CA1E63">
        <w:trPr>
          <w:trHeight w:val="255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2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5</w:t>
            </w:r>
          </w:p>
        </w:tc>
      </w:tr>
      <w:tr w:rsidR="005646D8" w:rsidRPr="005646D8" w:rsidTr="00CA1E63">
        <w:trPr>
          <w:trHeight w:val="110"/>
        </w:trPr>
        <w:tc>
          <w:tcPr>
            <w:tcW w:w="4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starobný dôchodok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953 971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957 633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965 043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11 072</w:t>
            </w:r>
          </w:p>
        </w:tc>
        <w:tc>
          <w:tcPr>
            <w:tcW w:w="8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7 410</w:t>
            </w:r>
          </w:p>
        </w:tc>
      </w:tr>
      <w:tr w:rsidR="005646D8" w:rsidRPr="005646D8" w:rsidTr="00CA1E63">
        <w:trPr>
          <w:trHeight w:val="165"/>
        </w:trPr>
        <w:tc>
          <w:tcPr>
            <w:tcW w:w="4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predčasný starobný dôchodok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36 737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32 130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27 986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-8 751</w:t>
            </w:r>
          </w:p>
        </w:tc>
        <w:tc>
          <w:tcPr>
            <w:tcW w:w="8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-4 144</w:t>
            </w:r>
          </w:p>
        </w:tc>
      </w:tr>
      <w:tr w:rsidR="005646D8" w:rsidRPr="005646D8" w:rsidTr="00CA1E63">
        <w:trPr>
          <w:trHeight w:val="83"/>
        </w:trPr>
        <w:tc>
          <w:tcPr>
            <w:tcW w:w="4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invalidný dôchodok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217 665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223 182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225 777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8 112</w:t>
            </w:r>
          </w:p>
        </w:tc>
        <w:tc>
          <w:tcPr>
            <w:tcW w:w="8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2 595</w:t>
            </w:r>
          </w:p>
        </w:tc>
      </w:tr>
      <w:tr w:rsidR="005646D8" w:rsidRPr="005646D8" w:rsidTr="00CA1E63">
        <w:trPr>
          <w:trHeight w:val="144"/>
        </w:trPr>
        <w:tc>
          <w:tcPr>
            <w:tcW w:w="4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vdovský dôchodok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299 276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299 389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297 634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-1 642</w:t>
            </w:r>
          </w:p>
        </w:tc>
        <w:tc>
          <w:tcPr>
            <w:tcW w:w="8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-1 755</w:t>
            </w:r>
          </w:p>
        </w:tc>
      </w:tr>
      <w:tr w:rsidR="005646D8" w:rsidRPr="005646D8" w:rsidTr="00CA1E63">
        <w:trPr>
          <w:trHeight w:val="80"/>
        </w:trPr>
        <w:tc>
          <w:tcPr>
            <w:tcW w:w="4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 xml:space="preserve">vdovecký dôchodok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37 037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37 986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38 359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1 322</w:t>
            </w:r>
          </w:p>
        </w:tc>
        <w:tc>
          <w:tcPr>
            <w:tcW w:w="8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373</w:t>
            </w:r>
          </w:p>
        </w:tc>
      </w:tr>
      <w:tr w:rsidR="005646D8" w:rsidRPr="005646D8" w:rsidTr="00CA1E63">
        <w:trPr>
          <w:trHeight w:val="94"/>
        </w:trPr>
        <w:tc>
          <w:tcPr>
            <w:tcW w:w="4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sirotský dôchodok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29 098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27 617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28 645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-453</w:t>
            </w:r>
          </w:p>
        </w:tc>
        <w:tc>
          <w:tcPr>
            <w:tcW w:w="8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1 028</w:t>
            </w:r>
          </w:p>
        </w:tc>
      </w:tr>
      <w:tr w:rsidR="005646D8" w:rsidRPr="005646D8" w:rsidTr="00CA1E63">
        <w:trPr>
          <w:trHeight w:val="153"/>
        </w:trPr>
        <w:tc>
          <w:tcPr>
            <w:tcW w:w="4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dôchodky neprevzaté do automat. evidencie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158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168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75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-83</w:t>
            </w:r>
          </w:p>
        </w:tc>
        <w:tc>
          <w:tcPr>
            <w:tcW w:w="8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-93</w:t>
            </w:r>
          </w:p>
        </w:tc>
      </w:tr>
      <w:tr w:rsidR="005646D8" w:rsidRPr="005646D8" w:rsidTr="00CA1E63">
        <w:trPr>
          <w:trHeight w:val="118"/>
        </w:trPr>
        <w:tc>
          <w:tcPr>
            <w:tcW w:w="4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dôchodky vyplácané do cudziny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15 089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16 315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16 823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1 734</w:t>
            </w:r>
          </w:p>
        </w:tc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508</w:t>
            </w:r>
          </w:p>
        </w:tc>
      </w:tr>
      <w:tr w:rsidR="005646D8" w:rsidRPr="005646D8" w:rsidTr="00CA1E63">
        <w:trPr>
          <w:trHeight w:val="345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Celkom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1 589 031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1 594 420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1 600 342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11 311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5 922</w:t>
            </w:r>
          </w:p>
        </w:tc>
      </w:tr>
    </w:tbl>
    <w:p w:rsidR="009E7FC5" w:rsidRDefault="009E7FC5" w:rsidP="005646D8">
      <w:pPr>
        <w:ind w:right="-159" w:firstLine="720"/>
        <w:jc w:val="both"/>
        <w:rPr>
          <w:rFonts w:ascii="Arial" w:hAnsi="Arial"/>
          <w:szCs w:val="20"/>
        </w:rPr>
      </w:pPr>
    </w:p>
    <w:p w:rsidR="005646D8" w:rsidRPr="005646D8" w:rsidRDefault="005646D8" w:rsidP="009E7FC5">
      <w:pPr>
        <w:ind w:right="-159" w:firstLine="720"/>
        <w:jc w:val="both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t xml:space="preserve">Vývoj počtu vyplácaných dôchodkov podľa jednotlivých mesiacov roka 2011 a 2012 je takýto: </w:t>
      </w:r>
    </w:p>
    <w:p w:rsidR="005646D8" w:rsidRPr="005646D8" w:rsidRDefault="005646D8" w:rsidP="009E7FC5">
      <w:pPr>
        <w:tabs>
          <w:tab w:val="left" w:pos="5954"/>
          <w:tab w:val="left" w:pos="6237"/>
          <w:tab w:val="left" w:pos="7371"/>
          <w:tab w:val="left" w:pos="7513"/>
        </w:tabs>
        <w:ind w:right="-159"/>
        <w:jc w:val="both"/>
        <w:rPr>
          <w:rFonts w:ascii="Arial" w:hAnsi="Arial"/>
          <w:szCs w:val="20"/>
        </w:rPr>
      </w:pPr>
      <w:r w:rsidRPr="005646D8">
        <w:rPr>
          <w:rFonts w:ascii="Arial" w:hAnsi="Arial"/>
          <w:noProof/>
          <w:szCs w:val="20"/>
        </w:rPr>
        <w:drawing>
          <wp:inline distT="0" distB="0" distL="0" distR="0" wp14:anchorId="1BDDD750" wp14:editId="2899CEC3">
            <wp:extent cx="5972175" cy="3409950"/>
            <wp:effectExtent l="0" t="0" r="0" b="0"/>
            <wp:docPr id="3" name="Graf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646D8" w:rsidRDefault="005646D8" w:rsidP="005646D8">
      <w:pPr>
        <w:spacing w:before="240" w:after="120"/>
        <w:ind w:firstLine="720"/>
        <w:jc w:val="both"/>
        <w:rPr>
          <w:rFonts w:ascii="Arial" w:hAnsi="Arial" w:cs="Arial"/>
        </w:rPr>
      </w:pPr>
      <w:r w:rsidRPr="005646D8">
        <w:rPr>
          <w:rFonts w:ascii="Arial" w:hAnsi="Arial"/>
          <w:szCs w:val="20"/>
        </w:rPr>
        <w:t>Prehľad o priemernej mesačnej výške vyplácaného sólo dôchodku podľa druhu dôchodku k 31. máju 2012, v porovnaní so stavom k </w:t>
      </w:r>
      <w:r w:rsidRPr="005646D8">
        <w:rPr>
          <w:rFonts w:ascii="Arial" w:hAnsi="Arial" w:cs="Arial"/>
        </w:rPr>
        <w:t>31. máju 2011 a k 31. decembru 2011 je v nasledujúcej tabuľke:</w:t>
      </w:r>
    </w:p>
    <w:tbl>
      <w:tblPr>
        <w:tblW w:w="8462" w:type="dxa"/>
        <w:tblInd w:w="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961"/>
        <w:gridCol w:w="162"/>
        <w:gridCol w:w="1234"/>
        <w:gridCol w:w="1121"/>
        <w:gridCol w:w="179"/>
        <w:gridCol w:w="671"/>
        <w:gridCol w:w="197"/>
        <w:gridCol w:w="654"/>
        <w:gridCol w:w="153"/>
      </w:tblGrid>
      <w:tr w:rsidR="005646D8" w:rsidRPr="005646D8" w:rsidTr="00CA1E63">
        <w:trPr>
          <w:trHeight w:val="255"/>
        </w:trPr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v Eur</w:t>
            </w:r>
          </w:p>
        </w:tc>
      </w:tr>
      <w:tr w:rsidR="005646D8" w:rsidRPr="005646D8" w:rsidTr="00CA1E63">
        <w:trPr>
          <w:gridAfter w:val="1"/>
          <w:wAfter w:w="153" w:type="dxa"/>
          <w:trHeight w:val="255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/>
                <w:color w:val="FF0000"/>
                <w:sz w:val="20"/>
                <w:szCs w:val="20"/>
              </w:rPr>
            </w:pPr>
            <w:r w:rsidRPr="005646D8">
              <w:rPr>
                <w:rFonts w:ascii="Arial" w:hAnsi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347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Výška vyplácaného sólo dôchodku k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Rozdiel    (3-1)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Rozdiel   (3-2)</w:t>
            </w:r>
          </w:p>
        </w:tc>
      </w:tr>
      <w:tr w:rsidR="005646D8" w:rsidRPr="005646D8" w:rsidTr="00CA1E63">
        <w:trPr>
          <w:gridAfter w:val="1"/>
          <w:wAfter w:w="153" w:type="dxa"/>
          <w:trHeight w:val="255"/>
        </w:trPr>
        <w:tc>
          <w:tcPr>
            <w:tcW w:w="31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/>
                <w:color w:val="000000"/>
                <w:sz w:val="20"/>
                <w:szCs w:val="20"/>
              </w:rPr>
            </w:pPr>
            <w:r w:rsidRPr="005646D8">
              <w:rPr>
                <w:rFonts w:ascii="Arial" w:hAnsi="Arial"/>
                <w:color w:val="000000"/>
                <w:sz w:val="20"/>
                <w:szCs w:val="20"/>
              </w:rPr>
              <w:t>Druh dôchodku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 xml:space="preserve"> 31.5.2011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 xml:space="preserve"> 31.12.2011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 xml:space="preserve"> 31.5.2012</w:t>
            </w:r>
          </w:p>
        </w:tc>
        <w:tc>
          <w:tcPr>
            <w:tcW w:w="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5646D8" w:rsidRPr="005646D8" w:rsidTr="00CA1E63">
        <w:trPr>
          <w:gridAfter w:val="1"/>
          <w:wAfter w:w="153" w:type="dxa"/>
          <w:trHeight w:val="255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a</w:t>
            </w:r>
          </w:p>
        </w:tc>
        <w:tc>
          <w:tcPr>
            <w:tcW w:w="1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5</w:t>
            </w:r>
          </w:p>
        </w:tc>
      </w:tr>
      <w:tr w:rsidR="005646D8" w:rsidRPr="005646D8" w:rsidTr="00CA1E63">
        <w:trPr>
          <w:gridAfter w:val="1"/>
          <w:wAfter w:w="153" w:type="dxa"/>
          <w:trHeight w:val="209"/>
        </w:trPr>
        <w:tc>
          <w:tcPr>
            <w:tcW w:w="31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starobný dôchodok</w:t>
            </w:r>
          </w:p>
        </w:tc>
        <w:tc>
          <w:tcPr>
            <w:tcW w:w="112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360,34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362,08</w:t>
            </w:r>
          </w:p>
        </w:tc>
        <w:tc>
          <w:tcPr>
            <w:tcW w:w="11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374,88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14,54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12,80</w:t>
            </w:r>
          </w:p>
        </w:tc>
      </w:tr>
      <w:tr w:rsidR="005646D8" w:rsidRPr="005646D8" w:rsidTr="00CA1E63">
        <w:trPr>
          <w:gridAfter w:val="1"/>
          <w:wAfter w:w="153" w:type="dxa"/>
          <w:trHeight w:val="123"/>
        </w:trPr>
        <w:tc>
          <w:tcPr>
            <w:tcW w:w="31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predčasný starobný dôchodok</w:t>
            </w:r>
          </w:p>
        </w:tc>
        <w:tc>
          <w:tcPr>
            <w:tcW w:w="112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359,97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357,63</w:t>
            </w:r>
          </w:p>
        </w:tc>
        <w:tc>
          <w:tcPr>
            <w:tcW w:w="11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373,40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13,43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15,77</w:t>
            </w:r>
          </w:p>
        </w:tc>
      </w:tr>
      <w:tr w:rsidR="005646D8" w:rsidRPr="005646D8" w:rsidTr="00CA1E63">
        <w:trPr>
          <w:gridAfter w:val="1"/>
          <w:wAfter w:w="153" w:type="dxa"/>
          <w:trHeight w:val="169"/>
        </w:trPr>
        <w:tc>
          <w:tcPr>
            <w:tcW w:w="31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invalidný dôchodok</w:t>
            </w:r>
          </w:p>
        </w:tc>
        <w:tc>
          <w:tcPr>
            <w:tcW w:w="112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257,68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255,63</w:t>
            </w:r>
          </w:p>
        </w:tc>
        <w:tc>
          <w:tcPr>
            <w:tcW w:w="11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262,87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5,19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7,24</w:t>
            </w:r>
          </w:p>
        </w:tc>
      </w:tr>
      <w:tr w:rsidR="005646D8" w:rsidRPr="005646D8" w:rsidTr="00CA1E63">
        <w:trPr>
          <w:gridAfter w:val="1"/>
          <w:wAfter w:w="153" w:type="dxa"/>
          <w:trHeight w:val="80"/>
        </w:trPr>
        <w:tc>
          <w:tcPr>
            <w:tcW w:w="31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vdovský dôchodok</w:t>
            </w:r>
          </w:p>
        </w:tc>
        <w:tc>
          <w:tcPr>
            <w:tcW w:w="112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221,23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222,00</w:t>
            </w:r>
          </w:p>
        </w:tc>
        <w:tc>
          <w:tcPr>
            <w:tcW w:w="11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229,20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7,97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7,20</w:t>
            </w:r>
          </w:p>
        </w:tc>
      </w:tr>
      <w:tr w:rsidR="005646D8" w:rsidRPr="005646D8" w:rsidTr="00CA1E63">
        <w:trPr>
          <w:gridAfter w:val="1"/>
          <w:wAfter w:w="153" w:type="dxa"/>
          <w:trHeight w:val="80"/>
        </w:trPr>
        <w:tc>
          <w:tcPr>
            <w:tcW w:w="31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 xml:space="preserve">vdovecký dôchodok </w:t>
            </w:r>
          </w:p>
        </w:tc>
        <w:tc>
          <w:tcPr>
            <w:tcW w:w="112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168,60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169,67</w:t>
            </w:r>
          </w:p>
        </w:tc>
        <w:tc>
          <w:tcPr>
            <w:tcW w:w="11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175,05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6,45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5,38</w:t>
            </w:r>
          </w:p>
        </w:tc>
      </w:tr>
      <w:tr w:rsidR="005646D8" w:rsidRPr="005646D8" w:rsidTr="00CA1E63">
        <w:trPr>
          <w:gridAfter w:val="1"/>
          <w:wAfter w:w="153" w:type="dxa"/>
          <w:trHeight w:val="80"/>
        </w:trPr>
        <w:tc>
          <w:tcPr>
            <w:tcW w:w="31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sirotský dôchodok</w:t>
            </w:r>
          </w:p>
        </w:tc>
        <w:tc>
          <w:tcPr>
            <w:tcW w:w="1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126,49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125,88</w:t>
            </w:r>
          </w:p>
        </w:tc>
        <w:tc>
          <w:tcPr>
            <w:tcW w:w="1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128,62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2,13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2,74</w:t>
            </w:r>
          </w:p>
        </w:tc>
      </w:tr>
    </w:tbl>
    <w:p w:rsidR="005646D8" w:rsidRPr="005646D8" w:rsidRDefault="005646D8" w:rsidP="005646D8">
      <w:pPr>
        <w:spacing w:before="240" w:after="120"/>
        <w:ind w:firstLine="709"/>
        <w:jc w:val="both"/>
        <w:rPr>
          <w:rFonts w:ascii="Arial" w:hAnsi="Arial" w:cs="Arial"/>
        </w:rPr>
      </w:pPr>
      <w:r w:rsidRPr="005646D8">
        <w:rPr>
          <w:rFonts w:ascii="Arial" w:hAnsi="Arial" w:cs="Arial"/>
        </w:rPr>
        <w:lastRenderedPageBreak/>
        <w:t>Prehľad o priemernej výške vyplácaných sólo dôchodkov podľa druhu dôchodku a pohlavia k 31. máju 2012 je uvedený v nasledujúcej tabuľke:</w:t>
      </w:r>
    </w:p>
    <w:tbl>
      <w:tblPr>
        <w:tblW w:w="7088" w:type="dxa"/>
        <w:tblInd w:w="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1417"/>
        <w:gridCol w:w="1276"/>
        <w:gridCol w:w="1276"/>
      </w:tblGrid>
      <w:tr w:rsidR="005646D8" w:rsidRPr="005646D8" w:rsidTr="00CA1E63">
        <w:trPr>
          <w:trHeight w:val="25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v Eur</w:t>
            </w:r>
          </w:p>
        </w:tc>
      </w:tr>
      <w:tr w:rsidR="005646D8" w:rsidRPr="005646D8" w:rsidTr="00CA1E63">
        <w:trPr>
          <w:trHeight w:val="25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Druh dôchodku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muži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ženy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spolu</w:t>
            </w:r>
          </w:p>
        </w:tc>
      </w:tr>
      <w:tr w:rsidR="005646D8" w:rsidRPr="005646D8" w:rsidTr="00CA1E63">
        <w:trPr>
          <w:trHeight w:val="25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3</w:t>
            </w:r>
          </w:p>
        </w:tc>
      </w:tr>
      <w:tr w:rsidR="005646D8" w:rsidRPr="005646D8" w:rsidTr="00CA1E63">
        <w:trPr>
          <w:trHeight w:val="97"/>
        </w:trPr>
        <w:tc>
          <w:tcPr>
            <w:tcW w:w="31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Starobný dôchodok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426,63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332,96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374,88</w:t>
            </w:r>
          </w:p>
        </w:tc>
      </w:tr>
      <w:tr w:rsidR="005646D8" w:rsidRPr="005646D8" w:rsidTr="00CA1E63">
        <w:trPr>
          <w:trHeight w:val="139"/>
        </w:trPr>
        <w:tc>
          <w:tcPr>
            <w:tcW w:w="31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Predčasný starobný dôchodok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390,94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316,42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373,40</w:t>
            </w:r>
          </w:p>
        </w:tc>
      </w:tr>
      <w:tr w:rsidR="005646D8" w:rsidRPr="005646D8" w:rsidTr="00CA1E63">
        <w:trPr>
          <w:trHeight w:val="80"/>
        </w:trPr>
        <w:tc>
          <w:tcPr>
            <w:tcW w:w="31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Invalidný dôchodok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287,08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234,81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262,87</w:t>
            </w:r>
          </w:p>
        </w:tc>
      </w:tr>
      <w:tr w:rsidR="005646D8" w:rsidRPr="005646D8" w:rsidTr="00CA1E63">
        <w:trPr>
          <w:trHeight w:val="103"/>
        </w:trPr>
        <w:tc>
          <w:tcPr>
            <w:tcW w:w="31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Vdovský dôchodok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229,20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229,20</w:t>
            </w:r>
          </w:p>
        </w:tc>
      </w:tr>
      <w:tr w:rsidR="005646D8" w:rsidRPr="005646D8" w:rsidTr="00CA1E63">
        <w:trPr>
          <w:trHeight w:val="80"/>
        </w:trPr>
        <w:tc>
          <w:tcPr>
            <w:tcW w:w="31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 xml:space="preserve">Vdovecký dôchodok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175,05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175,05</w:t>
            </w:r>
          </w:p>
        </w:tc>
      </w:tr>
      <w:tr w:rsidR="005646D8" w:rsidRPr="005646D8" w:rsidTr="00CA1E63">
        <w:trPr>
          <w:trHeight w:val="8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Sirotský dôchodok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123,38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130,58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5646D8">
              <w:rPr>
                <w:rFonts w:ascii="Arial" w:hAnsi="Arial"/>
                <w:sz w:val="20"/>
                <w:szCs w:val="20"/>
              </w:rPr>
              <w:t>128,62</w:t>
            </w:r>
          </w:p>
        </w:tc>
      </w:tr>
    </w:tbl>
    <w:p w:rsidR="005646D8" w:rsidRPr="005646D8" w:rsidRDefault="005646D8" w:rsidP="005646D8">
      <w:pPr>
        <w:spacing w:before="240" w:after="120"/>
        <w:ind w:firstLine="709"/>
        <w:jc w:val="both"/>
        <w:rPr>
          <w:rFonts w:ascii="Arial" w:hAnsi="Arial"/>
        </w:rPr>
      </w:pPr>
      <w:r w:rsidRPr="005646D8">
        <w:rPr>
          <w:rFonts w:ascii="Arial" w:hAnsi="Arial"/>
        </w:rPr>
        <w:t>Priemerná mesačná výška vyplácaných dôchodkov vzrástla, oproti rovnakému obdobiu minulého roka, najmä v dôsledku realizovaného zvýšenia dôchodkov s účinnosťou od 1. januára  2012.</w:t>
      </w:r>
    </w:p>
    <w:p w:rsidR="005646D8" w:rsidRPr="005646D8" w:rsidRDefault="005646D8" w:rsidP="005646D8">
      <w:pPr>
        <w:numPr>
          <w:ilvl w:val="1"/>
          <w:numId w:val="23"/>
        </w:numPr>
        <w:tabs>
          <w:tab w:val="left" w:pos="709"/>
          <w:tab w:val="decimal" w:pos="8222"/>
        </w:tabs>
        <w:spacing w:before="240" w:after="120"/>
        <w:ind w:left="0" w:firstLine="0"/>
        <w:contextualSpacing/>
        <w:rPr>
          <w:rFonts w:ascii="Arial" w:hAnsi="Arial"/>
          <w:szCs w:val="20"/>
        </w:rPr>
      </w:pPr>
      <w:r w:rsidRPr="005646D8">
        <w:rPr>
          <w:rFonts w:ascii="Arial" w:hAnsi="Arial"/>
          <w:b/>
          <w:color w:val="000000"/>
          <w:szCs w:val="20"/>
        </w:rPr>
        <w:t xml:space="preserve">Výdavky základného fondu úrazového poistenia </w:t>
      </w:r>
      <w:r w:rsidRPr="005646D8">
        <w:rPr>
          <w:rFonts w:ascii="Arial" w:hAnsi="Arial"/>
          <w:b/>
          <w:color w:val="000000"/>
          <w:szCs w:val="20"/>
        </w:rPr>
        <w:tab/>
        <w:t>18 351 tis. Eur</w:t>
      </w:r>
      <w:r w:rsidRPr="005646D8">
        <w:rPr>
          <w:rFonts w:ascii="Arial" w:hAnsi="Arial"/>
          <w:color w:val="000000"/>
          <w:szCs w:val="20"/>
        </w:rPr>
        <w:t>,</w:t>
      </w:r>
      <w:r w:rsidRPr="005646D8">
        <w:rPr>
          <w:rFonts w:ascii="Arial" w:hAnsi="Arial"/>
          <w:color w:val="000000"/>
          <w:szCs w:val="20"/>
        </w:rPr>
        <w:br/>
        <w:t xml:space="preserve">čo je 38,49 % </w:t>
      </w:r>
      <w:r w:rsidRPr="005646D8">
        <w:rPr>
          <w:rFonts w:ascii="Arial" w:hAnsi="Arial"/>
          <w:szCs w:val="20"/>
        </w:rPr>
        <w:t xml:space="preserve">rozpočtu </w:t>
      </w:r>
      <w:r w:rsidRPr="005646D8">
        <w:rPr>
          <w:rFonts w:ascii="Arial" w:hAnsi="Arial"/>
          <w:color w:val="000000"/>
          <w:szCs w:val="20"/>
        </w:rPr>
        <w:t>vo výške</w:t>
      </w:r>
      <w:r w:rsidRPr="005646D8">
        <w:rPr>
          <w:rFonts w:ascii="Arial" w:hAnsi="Arial"/>
          <w:color w:val="000000"/>
          <w:szCs w:val="20"/>
        </w:rPr>
        <w:tab/>
        <w:t>47 676 tis. Eur</w:t>
      </w:r>
      <w:r w:rsidRPr="005646D8">
        <w:rPr>
          <w:rFonts w:ascii="Arial" w:hAnsi="Arial"/>
          <w:szCs w:val="20"/>
        </w:rPr>
        <w:br/>
        <w:t>a 90,66 % časového rozpisu vo výške</w:t>
      </w:r>
      <w:r w:rsidRPr="005646D8">
        <w:rPr>
          <w:rFonts w:ascii="Arial" w:hAnsi="Arial"/>
          <w:szCs w:val="20"/>
        </w:rPr>
        <w:tab/>
        <w:t xml:space="preserve">20 241 tis. Eur. </w:t>
      </w:r>
    </w:p>
    <w:p w:rsidR="005646D8" w:rsidRPr="005646D8" w:rsidRDefault="005646D8" w:rsidP="005646D8">
      <w:pPr>
        <w:tabs>
          <w:tab w:val="decimal" w:pos="8222"/>
        </w:tabs>
        <w:ind w:firstLine="720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t>V uvedenej sume výdavkov sú zahrnuté:</w:t>
      </w:r>
    </w:p>
    <w:p w:rsidR="005646D8" w:rsidRPr="005646D8" w:rsidRDefault="005646D8" w:rsidP="005646D8">
      <w:pPr>
        <w:numPr>
          <w:ilvl w:val="0"/>
          <w:numId w:val="5"/>
        </w:numPr>
        <w:tabs>
          <w:tab w:val="decimal" w:pos="8222"/>
        </w:tabs>
        <w:ind w:left="0" w:firstLine="0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t>výdavky na úrazové dávky</w:t>
      </w:r>
      <w:r w:rsidRPr="005646D8">
        <w:rPr>
          <w:rFonts w:ascii="Arial" w:hAnsi="Arial"/>
          <w:szCs w:val="20"/>
        </w:rPr>
        <w:tab/>
        <w:t>17 489 tis. Eur,</w:t>
      </w:r>
    </w:p>
    <w:p w:rsidR="005646D8" w:rsidRPr="005646D8" w:rsidRDefault="005646D8" w:rsidP="005646D8">
      <w:pPr>
        <w:numPr>
          <w:ilvl w:val="0"/>
          <w:numId w:val="5"/>
        </w:numPr>
        <w:tabs>
          <w:tab w:val="decimal" w:pos="8222"/>
        </w:tabs>
        <w:ind w:left="0" w:firstLine="0"/>
        <w:rPr>
          <w:rFonts w:ascii="Arial" w:hAnsi="Arial"/>
          <w:snapToGrid w:val="0"/>
          <w:szCs w:val="20"/>
        </w:rPr>
      </w:pPr>
      <w:r w:rsidRPr="005646D8">
        <w:rPr>
          <w:rFonts w:ascii="Arial" w:hAnsi="Arial"/>
          <w:snapToGrid w:val="0"/>
          <w:szCs w:val="20"/>
        </w:rPr>
        <w:t>zúčtovanie dôchodkových dávok</w:t>
      </w:r>
      <w:r w:rsidRPr="005646D8">
        <w:rPr>
          <w:rFonts w:ascii="Arial" w:hAnsi="Arial"/>
          <w:snapToGrid w:val="0"/>
          <w:szCs w:val="20"/>
        </w:rPr>
        <w:tab/>
        <w:t>-58 tis. Eur.</w:t>
      </w:r>
    </w:p>
    <w:p w:rsidR="005646D8" w:rsidRPr="005646D8" w:rsidRDefault="005646D8" w:rsidP="005646D8">
      <w:pPr>
        <w:numPr>
          <w:ilvl w:val="0"/>
          <w:numId w:val="5"/>
        </w:numPr>
        <w:tabs>
          <w:tab w:val="decimal" w:pos="8222"/>
        </w:tabs>
        <w:spacing w:after="120"/>
        <w:ind w:left="709" w:hanging="709"/>
        <w:rPr>
          <w:rFonts w:ascii="Arial" w:hAnsi="Arial"/>
          <w:snapToGrid w:val="0"/>
          <w:szCs w:val="20"/>
        </w:rPr>
      </w:pPr>
      <w:r w:rsidRPr="005646D8">
        <w:rPr>
          <w:rFonts w:ascii="Arial" w:hAnsi="Arial"/>
          <w:szCs w:val="20"/>
        </w:rPr>
        <w:t>poistné do základného fondu starobného poistenia  a príspevky</w:t>
      </w:r>
      <w:r w:rsidRPr="005646D8">
        <w:rPr>
          <w:rFonts w:ascii="Arial" w:hAnsi="Arial"/>
          <w:szCs w:val="20"/>
        </w:rPr>
        <w:br/>
        <w:t>na SDS platené do základného fondu príspevkov na SDS</w:t>
      </w:r>
      <w:r w:rsidRPr="005646D8">
        <w:rPr>
          <w:rFonts w:ascii="Arial" w:hAnsi="Arial"/>
          <w:szCs w:val="20"/>
        </w:rPr>
        <w:tab/>
        <w:t>920 tis. Eur.</w:t>
      </w:r>
    </w:p>
    <w:p w:rsidR="005646D8" w:rsidRPr="005646D8" w:rsidRDefault="005646D8" w:rsidP="005646D8">
      <w:pPr>
        <w:spacing w:before="240" w:after="120"/>
        <w:ind w:firstLine="709"/>
        <w:jc w:val="both"/>
        <w:rPr>
          <w:rFonts w:ascii="Arial" w:hAnsi="Arial"/>
          <w:snapToGrid w:val="0"/>
          <w:szCs w:val="20"/>
        </w:rPr>
      </w:pPr>
      <w:r w:rsidRPr="005646D8">
        <w:rPr>
          <w:rFonts w:ascii="Arial" w:hAnsi="Arial"/>
          <w:szCs w:val="20"/>
        </w:rPr>
        <w:t xml:space="preserve">V porovnaní s časovým rozpisom sú skutočné výdavky základného fondu úrazového poistenia nižšie o 1 890 tis. Eur. V porovnaní s rovnakým obdobím roka 2011 sú výdavky základného fondu úrazového poistenia nižšie o 272 tis. Eur. </w:t>
      </w:r>
    </w:p>
    <w:p w:rsidR="005646D8" w:rsidRPr="005646D8" w:rsidRDefault="005646D8" w:rsidP="005646D8">
      <w:pPr>
        <w:spacing w:before="240" w:after="120"/>
        <w:ind w:firstLine="720"/>
        <w:jc w:val="both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t>N</w:t>
      </w:r>
      <w:r w:rsidRPr="005646D8">
        <w:rPr>
          <w:rFonts w:ascii="Arial" w:hAnsi="Arial"/>
          <w:snapToGrid w:val="0"/>
          <w:szCs w:val="20"/>
        </w:rPr>
        <w:t>ajvyšší podiel na vyplatených úrazových dávkach má úrazová renta v sume 9 230 tis. Eur</w:t>
      </w:r>
      <w:r w:rsidRPr="005646D8">
        <w:rPr>
          <w:rFonts w:ascii="Arial" w:hAnsi="Arial"/>
          <w:szCs w:val="20"/>
        </w:rPr>
        <w:t xml:space="preserve">. </w:t>
      </w:r>
      <w:r w:rsidRPr="005646D8">
        <w:rPr>
          <w:rFonts w:ascii="Arial" w:hAnsi="Arial"/>
          <w:snapToGrid w:val="0"/>
          <w:szCs w:val="20"/>
        </w:rPr>
        <w:t xml:space="preserve">V mesiacoch január až máj 2012 bolo ústredím Sociálnej poisťovne (ďalej len „ústredie“) vyplatených priemerne mesačne 6 557 úrazových rent a 231 pozostalostných úrazových rent spolu v sume 9 372 tis. Eur. Pobočky vyplatili úrazové dávky v sume 8 117 tis. </w:t>
      </w:r>
      <w:r w:rsidRPr="005646D8">
        <w:rPr>
          <w:rFonts w:ascii="Arial" w:hAnsi="Arial"/>
          <w:szCs w:val="20"/>
        </w:rPr>
        <w:t xml:space="preserve">Eur. </w:t>
      </w:r>
    </w:p>
    <w:p w:rsidR="005646D8" w:rsidRPr="005646D8" w:rsidRDefault="005646D8" w:rsidP="005646D8">
      <w:pPr>
        <w:numPr>
          <w:ilvl w:val="1"/>
          <w:numId w:val="8"/>
        </w:numPr>
        <w:tabs>
          <w:tab w:val="left" w:pos="720"/>
          <w:tab w:val="decimal" w:pos="8222"/>
          <w:tab w:val="num" w:pos="9072"/>
        </w:tabs>
        <w:spacing w:before="240" w:after="120"/>
        <w:ind w:left="0" w:firstLine="0"/>
        <w:rPr>
          <w:rFonts w:ascii="Arial" w:hAnsi="Arial"/>
          <w:color w:val="000000"/>
          <w:szCs w:val="20"/>
        </w:rPr>
      </w:pPr>
      <w:r w:rsidRPr="005646D8">
        <w:rPr>
          <w:rFonts w:ascii="Arial" w:hAnsi="Arial"/>
          <w:b/>
          <w:color w:val="000000"/>
        </w:rPr>
        <w:t xml:space="preserve">Výdavky základného fondu garančného poistenia </w:t>
      </w:r>
      <w:r w:rsidRPr="005646D8">
        <w:rPr>
          <w:rFonts w:ascii="Arial" w:hAnsi="Arial"/>
          <w:b/>
          <w:color w:val="000000"/>
        </w:rPr>
        <w:tab/>
        <w:t>15 695 tis. Eur,</w:t>
      </w:r>
      <w:r w:rsidRPr="005646D8">
        <w:rPr>
          <w:rFonts w:ascii="Arial" w:hAnsi="Arial"/>
          <w:b/>
          <w:color w:val="000000"/>
        </w:rPr>
        <w:br/>
      </w:r>
      <w:r w:rsidRPr="005646D8">
        <w:rPr>
          <w:rFonts w:ascii="Arial" w:hAnsi="Arial"/>
          <w:color w:val="000000"/>
          <w:szCs w:val="20"/>
        </w:rPr>
        <w:t xml:space="preserve">čo je 38,21 % </w:t>
      </w:r>
      <w:r w:rsidRPr="005646D8">
        <w:rPr>
          <w:rFonts w:ascii="Arial" w:hAnsi="Arial"/>
          <w:szCs w:val="20"/>
        </w:rPr>
        <w:t xml:space="preserve">rozpočtu </w:t>
      </w:r>
      <w:r w:rsidRPr="005646D8">
        <w:rPr>
          <w:rFonts w:ascii="Arial" w:hAnsi="Arial"/>
          <w:color w:val="000000"/>
          <w:szCs w:val="20"/>
        </w:rPr>
        <w:t>vo výške</w:t>
      </w:r>
      <w:r w:rsidRPr="005646D8">
        <w:rPr>
          <w:rFonts w:ascii="Arial" w:hAnsi="Arial"/>
          <w:color w:val="000000"/>
          <w:szCs w:val="20"/>
        </w:rPr>
        <w:tab/>
        <w:t>41 073 tis. Eur</w:t>
      </w:r>
      <w:r w:rsidRPr="005646D8">
        <w:rPr>
          <w:rFonts w:ascii="Arial" w:hAnsi="Arial"/>
          <w:szCs w:val="20"/>
        </w:rPr>
        <w:br/>
        <w:t>a 93,36 % časového rozpisu vo výške</w:t>
      </w:r>
      <w:r w:rsidRPr="005646D8">
        <w:rPr>
          <w:rFonts w:ascii="Arial" w:hAnsi="Arial"/>
          <w:szCs w:val="20"/>
        </w:rPr>
        <w:tab/>
        <w:t>16 811 tis. Eur.</w:t>
      </w:r>
    </w:p>
    <w:p w:rsidR="005646D8" w:rsidRPr="005646D8" w:rsidRDefault="005646D8" w:rsidP="005646D8">
      <w:pPr>
        <w:tabs>
          <w:tab w:val="num" w:pos="1068"/>
          <w:tab w:val="left" w:pos="3960"/>
        </w:tabs>
        <w:spacing w:before="120"/>
        <w:ind w:firstLine="720"/>
        <w:jc w:val="both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t>V uvedenej sume výdavkov sú zahrnuté:</w:t>
      </w:r>
    </w:p>
    <w:p w:rsidR="005646D8" w:rsidRPr="005646D8" w:rsidRDefault="005646D8" w:rsidP="005646D8">
      <w:pPr>
        <w:numPr>
          <w:ilvl w:val="0"/>
          <w:numId w:val="6"/>
        </w:numPr>
        <w:tabs>
          <w:tab w:val="decimal" w:pos="8280"/>
        </w:tabs>
        <w:ind w:left="0" w:firstLine="0"/>
        <w:jc w:val="both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t xml:space="preserve">výdavky na dávku garančného poistenia </w:t>
      </w:r>
      <w:r w:rsidRPr="005646D8">
        <w:rPr>
          <w:rFonts w:ascii="Arial" w:hAnsi="Arial"/>
          <w:szCs w:val="20"/>
        </w:rPr>
        <w:tab/>
        <w:t>2 958 tis. Eur,</w:t>
      </w:r>
    </w:p>
    <w:p w:rsidR="005646D8" w:rsidRPr="005646D8" w:rsidRDefault="005646D8" w:rsidP="005646D8">
      <w:pPr>
        <w:numPr>
          <w:ilvl w:val="0"/>
          <w:numId w:val="6"/>
        </w:numPr>
        <w:tabs>
          <w:tab w:val="decimal" w:pos="8280"/>
        </w:tabs>
        <w:spacing w:after="120"/>
        <w:ind w:left="720" w:hanging="720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t xml:space="preserve">výdavky na úhradu príspevkov na SDS, ktoré nezaplatil </w:t>
      </w:r>
      <w:r w:rsidRPr="005646D8">
        <w:rPr>
          <w:rFonts w:ascii="Arial" w:hAnsi="Arial"/>
          <w:szCs w:val="20"/>
        </w:rPr>
        <w:br/>
        <w:t xml:space="preserve">zamestnávateľ do základného fondu príspevkov na SDS </w:t>
      </w:r>
      <w:r w:rsidRPr="005646D8">
        <w:rPr>
          <w:rFonts w:ascii="Arial" w:hAnsi="Arial"/>
          <w:szCs w:val="20"/>
        </w:rPr>
        <w:br/>
        <w:t xml:space="preserve">do 60 dní odo dňa ich splatnosti  </w:t>
      </w:r>
      <w:r w:rsidRPr="005646D8">
        <w:rPr>
          <w:rFonts w:ascii="Arial" w:hAnsi="Arial"/>
          <w:szCs w:val="20"/>
        </w:rPr>
        <w:tab/>
        <w:t xml:space="preserve">12 737 tis. Eur. </w:t>
      </w:r>
    </w:p>
    <w:p w:rsidR="005646D8" w:rsidRPr="005646D8" w:rsidRDefault="005646D8" w:rsidP="005646D8">
      <w:pPr>
        <w:tabs>
          <w:tab w:val="left" w:pos="3960"/>
          <w:tab w:val="left" w:pos="5040"/>
          <w:tab w:val="left" w:pos="7380"/>
          <w:tab w:val="left" w:pos="9072"/>
        </w:tabs>
        <w:spacing w:before="240" w:after="120"/>
        <w:ind w:firstLine="720"/>
        <w:jc w:val="both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t>Výdavky základného fondu garančného poistenia boli v mesiacoch január až máj 2012 nižšie v porovnaní s časovým rozpisom o 1 116 tis. Eur a v porovnaní s rovnakým obdobím roka 2011 vyššie o 412 tis. Eur.</w:t>
      </w:r>
    </w:p>
    <w:p w:rsidR="005646D8" w:rsidRPr="005646D8" w:rsidRDefault="005646D8" w:rsidP="005646D8">
      <w:pPr>
        <w:spacing w:before="240" w:after="120"/>
        <w:ind w:firstLine="720"/>
        <w:jc w:val="both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t>V sledovanom období roka 2012 bola priemerná mesačná výška dávky garančného poistenia 1 280 Eur a priemerný mesačný počet prípadov vyplatenej dávky bol 462 prípadov.</w:t>
      </w:r>
    </w:p>
    <w:p w:rsidR="005646D8" w:rsidRPr="005646D8" w:rsidRDefault="005646D8" w:rsidP="005646D8">
      <w:pPr>
        <w:tabs>
          <w:tab w:val="left" w:pos="720"/>
          <w:tab w:val="num" w:pos="1440"/>
          <w:tab w:val="decimal" w:pos="8100"/>
        </w:tabs>
        <w:spacing w:before="240" w:after="120"/>
        <w:rPr>
          <w:rFonts w:ascii="Arial" w:hAnsi="Arial"/>
          <w:szCs w:val="20"/>
        </w:rPr>
      </w:pPr>
      <w:r w:rsidRPr="005646D8">
        <w:rPr>
          <w:rFonts w:ascii="Arial" w:hAnsi="Arial"/>
          <w:b/>
          <w:szCs w:val="20"/>
        </w:rPr>
        <w:lastRenderedPageBreak/>
        <w:t>3.5.</w:t>
      </w:r>
      <w:r w:rsidRPr="005646D8">
        <w:rPr>
          <w:rFonts w:ascii="Arial" w:hAnsi="Arial"/>
          <w:b/>
          <w:szCs w:val="20"/>
        </w:rPr>
        <w:tab/>
        <w:t xml:space="preserve">Výdavky základného fondu poistenia </w:t>
      </w:r>
      <w:r w:rsidRPr="005646D8">
        <w:rPr>
          <w:rFonts w:ascii="Arial" w:hAnsi="Arial"/>
          <w:b/>
          <w:szCs w:val="20"/>
        </w:rPr>
        <w:br/>
        <w:t>v nezamestnanosti</w:t>
      </w:r>
      <w:r w:rsidRPr="005646D8">
        <w:rPr>
          <w:rFonts w:ascii="Arial" w:hAnsi="Arial"/>
          <w:b/>
          <w:szCs w:val="20"/>
        </w:rPr>
        <w:tab/>
        <w:t>73 322 tis. Eur,</w:t>
      </w:r>
      <w:r w:rsidRPr="005646D8">
        <w:rPr>
          <w:rFonts w:ascii="Arial" w:hAnsi="Arial"/>
          <w:b/>
          <w:szCs w:val="20"/>
        </w:rPr>
        <w:br/>
      </w:r>
      <w:r w:rsidRPr="005646D8">
        <w:rPr>
          <w:rFonts w:ascii="Arial" w:hAnsi="Arial"/>
          <w:color w:val="000000"/>
          <w:szCs w:val="20"/>
        </w:rPr>
        <w:t xml:space="preserve">čo je 43,15 % upraveného </w:t>
      </w:r>
      <w:r w:rsidRPr="005646D8">
        <w:rPr>
          <w:rFonts w:ascii="Arial" w:hAnsi="Arial"/>
          <w:szCs w:val="20"/>
        </w:rPr>
        <w:t xml:space="preserve">rozpočtu </w:t>
      </w:r>
      <w:r w:rsidRPr="005646D8">
        <w:rPr>
          <w:rFonts w:ascii="Arial" w:hAnsi="Arial"/>
          <w:color w:val="000000"/>
          <w:szCs w:val="20"/>
        </w:rPr>
        <w:t>vo výške</w:t>
      </w:r>
      <w:r w:rsidRPr="005646D8">
        <w:rPr>
          <w:rFonts w:ascii="Arial" w:hAnsi="Arial"/>
          <w:color w:val="000000"/>
          <w:szCs w:val="20"/>
        </w:rPr>
        <w:tab/>
        <w:t>169 905 tis. Eur</w:t>
      </w:r>
      <w:r w:rsidRPr="005646D8">
        <w:rPr>
          <w:rFonts w:ascii="Arial" w:hAnsi="Arial"/>
          <w:szCs w:val="20"/>
        </w:rPr>
        <w:br/>
        <w:t>a 101,57 % časového rozpisu vo výške</w:t>
      </w:r>
      <w:r w:rsidRPr="005646D8">
        <w:rPr>
          <w:rFonts w:ascii="Arial" w:hAnsi="Arial"/>
          <w:szCs w:val="20"/>
        </w:rPr>
        <w:tab/>
        <w:t>72 186 tis. Eur.</w:t>
      </w:r>
    </w:p>
    <w:p w:rsidR="005646D8" w:rsidRPr="005646D8" w:rsidRDefault="005646D8" w:rsidP="005646D8">
      <w:pPr>
        <w:tabs>
          <w:tab w:val="decimal" w:pos="8222"/>
        </w:tabs>
        <w:spacing w:before="120"/>
        <w:ind w:firstLine="720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t>V uvedenej sume výdavkov sú zahrnuté:</w:t>
      </w:r>
    </w:p>
    <w:p w:rsidR="005646D8" w:rsidRPr="005646D8" w:rsidRDefault="005646D8" w:rsidP="005646D8">
      <w:pPr>
        <w:numPr>
          <w:ilvl w:val="0"/>
          <w:numId w:val="5"/>
        </w:numPr>
        <w:tabs>
          <w:tab w:val="decimal" w:pos="8222"/>
        </w:tabs>
        <w:ind w:hanging="720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t>výdavky na dávku v nezamestnanosti</w:t>
      </w:r>
      <w:r w:rsidRPr="005646D8">
        <w:rPr>
          <w:rFonts w:ascii="Arial" w:hAnsi="Arial"/>
          <w:szCs w:val="20"/>
        </w:rPr>
        <w:tab/>
        <w:t>73 410 tis. Eur,</w:t>
      </w:r>
    </w:p>
    <w:p w:rsidR="005646D8" w:rsidRPr="005646D8" w:rsidRDefault="005646D8" w:rsidP="005646D8">
      <w:pPr>
        <w:numPr>
          <w:ilvl w:val="0"/>
          <w:numId w:val="5"/>
        </w:numPr>
        <w:tabs>
          <w:tab w:val="decimal" w:pos="8222"/>
        </w:tabs>
        <w:ind w:hanging="720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t>refundácia dávky v nezamestnanosti štátom v EÚ</w:t>
      </w:r>
      <w:r w:rsidRPr="005646D8">
        <w:rPr>
          <w:rFonts w:ascii="Arial" w:hAnsi="Arial"/>
          <w:szCs w:val="20"/>
        </w:rPr>
        <w:tab/>
        <w:t>8 tis. Eur,</w:t>
      </w:r>
    </w:p>
    <w:p w:rsidR="005646D8" w:rsidRPr="005646D8" w:rsidRDefault="005646D8" w:rsidP="005646D8">
      <w:pPr>
        <w:numPr>
          <w:ilvl w:val="0"/>
          <w:numId w:val="5"/>
        </w:numPr>
        <w:tabs>
          <w:tab w:val="decimal" w:pos="8222"/>
        </w:tabs>
        <w:spacing w:after="120"/>
        <w:ind w:hanging="720"/>
        <w:rPr>
          <w:rFonts w:ascii="Arial" w:hAnsi="Arial"/>
          <w:snapToGrid w:val="0"/>
          <w:szCs w:val="20"/>
        </w:rPr>
      </w:pPr>
      <w:r w:rsidRPr="005646D8">
        <w:rPr>
          <w:rFonts w:ascii="Arial" w:hAnsi="Arial"/>
          <w:snapToGrid w:val="0"/>
          <w:szCs w:val="20"/>
        </w:rPr>
        <w:t>zúčtovanie dôchodkových dávok</w:t>
      </w:r>
      <w:r w:rsidRPr="005646D8">
        <w:rPr>
          <w:rFonts w:ascii="Arial" w:hAnsi="Arial"/>
          <w:snapToGrid w:val="0"/>
          <w:szCs w:val="20"/>
        </w:rPr>
        <w:tab/>
        <w:t>-96 tis. Eur.</w:t>
      </w:r>
    </w:p>
    <w:p w:rsidR="005646D8" w:rsidRPr="005646D8" w:rsidRDefault="005646D8" w:rsidP="005646D8">
      <w:pPr>
        <w:spacing w:before="240" w:after="120"/>
        <w:ind w:firstLine="709"/>
        <w:jc w:val="both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t>V porovnaní s časovým rozpisom sú výdavky základného fondu poistenia v nezamestnanosti vyššie o 1 136 tis. Eur. V porovnaní s rovnakým obdobím roka 2011 boli výdavky základného fondu poistenia v nezamestnanosti vyššie o 6 912 tis. Eur (index 110,41 %).</w:t>
      </w:r>
    </w:p>
    <w:p w:rsidR="005646D8" w:rsidRPr="005646D8" w:rsidRDefault="005646D8" w:rsidP="005646D8">
      <w:pPr>
        <w:spacing w:before="240" w:after="120"/>
        <w:ind w:firstLine="709"/>
        <w:jc w:val="both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t xml:space="preserve">V mesiacoch január až máj 2012 bola priemerná mesačná výška dávky v nezamestnanosti na 1 poberateľa 332,88 Eur a priemerný mesačný počet poberateľov vyplatenej dávky bol 44 107.  </w:t>
      </w:r>
    </w:p>
    <w:p w:rsidR="005646D8" w:rsidRPr="005646D8" w:rsidRDefault="005646D8" w:rsidP="005646D8">
      <w:pPr>
        <w:numPr>
          <w:ilvl w:val="1"/>
          <w:numId w:val="9"/>
        </w:numPr>
        <w:tabs>
          <w:tab w:val="decimal" w:pos="8222"/>
        </w:tabs>
        <w:spacing w:before="240" w:after="120"/>
        <w:rPr>
          <w:rFonts w:ascii="Arial" w:hAnsi="Arial" w:cs="Arial"/>
          <w:b/>
          <w:szCs w:val="20"/>
        </w:rPr>
      </w:pPr>
      <w:r w:rsidRPr="005646D8">
        <w:rPr>
          <w:rFonts w:ascii="Arial" w:hAnsi="Arial" w:cs="Arial"/>
          <w:b/>
          <w:szCs w:val="20"/>
        </w:rPr>
        <w:t>Výdavky (náklady) správneho fondu</w:t>
      </w:r>
    </w:p>
    <w:p w:rsidR="005646D8" w:rsidRPr="005646D8" w:rsidRDefault="005646D8" w:rsidP="005646D8">
      <w:pPr>
        <w:spacing w:before="240"/>
        <w:ind w:firstLine="680"/>
        <w:jc w:val="both"/>
        <w:rPr>
          <w:rFonts w:ascii="Arial" w:hAnsi="Arial" w:cs="Arial"/>
          <w:szCs w:val="20"/>
        </w:rPr>
      </w:pPr>
      <w:r w:rsidRPr="005646D8">
        <w:rPr>
          <w:rFonts w:ascii="Arial" w:hAnsi="Arial" w:cs="Arial"/>
          <w:szCs w:val="20"/>
        </w:rPr>
        <w:t xml:space="preserve">V rozpočte výdavkov (nákladov) správneho fondu v roku 2012 sa predpokladá použitie prostriedkov správneho fondu v sume </w:t>
      </w:r>
      <w:r w:rsidRPr="005646D8">
        <w:rPr>
          <w:rFonts w:ascii="Arial" w:hAnsi="Arial" w:cs="Arial"/>
          <w:b/>
          <w:szCs w:val="20"/>
        </w:rPr>
        <w:t>113 711 tis. Eur.</w:t>
      </w:r>
    </w:p>
    <w:p w:rsidR="005646D8" w:rsidRPr="005646D8" w:rsidRDefault="005646D8" w:rsidP="005646D8">
      <w:pPr>
        <w:tabs>
          <w:tab w:val="right" w:pos="8931"/>
        </w:tabs>
        <w:spacing w:before="240" w:after="120"/>
        <w:ind w:firstLine="720"/>
        <w:jc w:val="both"/>
        <w:rPr>
          <w:rFonts w:ascii="Arial" w:hAnsi="Arial" w:cs="Arial"/>
        </w:rPr>
      </w:pPr>
      <w:r w:rsidRPr="005646D8">
        <w:rPr>
          <w:rFonts w:ascii="Arial" w:hAnsi="Arial" w:cs="Arial"/>
        </w:rPr>
        <w:t>Použitie finančných prostriedkov správneho fondu za obdobie január až máj 2012 je uvedené v nasledujúcom prehľade:</w:t>
      </w:r>
    </w:p>
    <w:p w:rsidR="005646D8" w:rsidRPr="005646D8" w:rsidRDefault="005646D8" w:rsidP="005646D8">
      <w:pPr>
        <w:tabs>
          <w:tab w:val="right" w:pos="8931"/>
        </w:tabs>
        <w:spacing w:before="240" w:line="360" w:lineRule="auto"/>
        <w:ind w:firstLine="709"/>
        <w:jc w:val="center"/>
        <w:rPr>
          <w:rFonts w:ascii="Arial" w:hAnsi="Arial" w:cs="Arial"/>
          <w:sz w:val="20"/>
          <w:szCs w:val="20"/>
        </w:rPr>
      </w:pPr>
      <w:r w:rsidRPr="005646D8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v tis. Eur</w:t>
      </w:r>
    </w:p>
    <w:tbl>
      <w:tblPr>
        <w:tblW w:w="9149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8"/>
        <w:gridCol w:w="1079"/>
        <w:gridCol w:w="1263"/>
        <w:gridCol w:w="1048"/>
        <w:gridCol w:w="1292"/>
        <w:gridCol w:w="721"/>
        <w:gridCol w:w="721"/>
      </w:tblGrid>
      <w:tr w:rsidR="005646D8" w:rsidRPr="005646D8" w:rsidTr="00CA1E63">
        <w:trPr>
          <w:trHeight w:val="375"/>
        </w:trPr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 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Rozpis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Rozpis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Skutočnosť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Skutočnosť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%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%</w:t>
            </w:r>
          </w:p>
        </w:tc>
      </w:tr>
      <w:tr w:rsidR="005646D8" w:rsidRPr="005646D8" w:rsidTr="00CA1E63">
        <w:trPr>
          <w:trHeight w:val="255"/>
        </w:trPr>
        <w:tc>
          <w:tcPr>
            <w:tcW w:w="3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Ukazovateľ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rozpočtu</w:t>
            </w:r>
          </w:p>
        </w:tc>
        <w:tc>
          <w:tcPr>
            <w:tcW w:w="12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rozpočtu</w:t>
            </w:r>
          </w:p>
        </w:tc>
        <w:tc>
          <w:tcPr>
            <w:tcW w:w="10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za mesiac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za obdobie</w:t>
            </w: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plnenia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plnenia</w:t>
            </w:r>
          </w:p>
        </w:tc>
      </w:tr>
      <w:tr w:rsidR="005646D8" w:rsidRPr="005646D8" w:rsidTr="00CA1E63">
        <w:trPr>
          <w:trHeight w:val="246"/>
        </w:trPr>
        <w:tc>
          <w:tcPr>
            <w:tcW w:w="3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 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na rok</w:t>
            </w:r>
          </w:p>
        </w:tc>
        <w:tc>
          <w:tcPr>
            <w:tcW w:w="12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na január až</w:t>
            </w:r>
          </w:p>
        </w:tc>
        <w:tc>
          <w:tcPr>
            <w:tcW w:w="10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 xml:space="preserve">máj 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január až</w:t>
            </w: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(4/1)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(4/2)</w:t>
            </w:r>
          </w:p>
        </w:tc>
      </w:tr>
      <w:tr w:rsidR="005646D8" w:rsidRPr="005646D8" w:rsidTr="00CA1E63">
        <w:trPr>
          <w:trHeight w:val="255"/>
        </w:trPr>
        <w:tc>
          <w:tcPr>
            <w:tcW w:w="3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 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 xml:space="preserve">2012 </w:t>
            </w:r>
          </w:p>
        </w:tc>
        <w:tc>
          <w:tcPr>
            <w:tcW w:w="12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 xml:space="preserve">máj 2012   </w:t>
            </w:r>
          </w:p>
        </w:tc>
        <w:tc>
          <w:tcPr>
            <w:tcW w:w="10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 2012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 xml:space="preserve"> máj 2012</w:t>
            </w: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5646D8" w:rsidRPr="005646D8" w:rsidTr="00CA1E63">
        <w:trPr>
          <w:trHeight w:val="255"/>
        </w:trPr>
        <w:tc>
          <w:tcPr>
            <w:tcW w:w="3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 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 </w:t>
            </w:r>
          </w:p>
        </w:tc>
        <w:tc>
          <w:tcPr>
            <w:tcW w:w="1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5646D8" w:rsidRPr="005646D8" w:rsidTr="00CA1E63">
        <w:trPr>
          <w:trHeight w:val="270"/>
        </w:trPr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5646D8" w:rsidRPr="005646D8" w:rsidTr="00CA1E63">
        <w:trPr>
          <w:trHeight w:val="360"/>
        </w:trPr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Bežné výdavky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110 307 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46 982 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8 298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/>
                <w:bCs/>
                <w:sz w:val="18"/>
                <w:szCs w:val="18"/>
              </w:rPr>
              <w:t>43 525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39,46 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92,64 </w:t>
            </w:r>
          </w:p>
        </w:tc>
      </w:tr>
      <w:tr w:rsidR="005646D8" w:rsidRPr="005646D8" w:rsidTr="00CA1E63">
        <w:trPr>
          <w:trHeight w:val="255"/>
        </w:trPr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 v tom : </w:t>
            </w:r>
          </w:p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 - mzdy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52 358 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21 716 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4 185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20 416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38,99 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94,01 </w:t>
            </w:r>
          </w:p>
        </w:tc>
      </w:tr>
      <w:tr w:rsidR="005646D8" w:rsidRPr="005646D8" w:rsidTr="00CA1E63">
        <w:trPr>
          <w:trHeight w:val="255"/>
        </w:trPr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 - poistné a príspevok do poisťovní 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20 242 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8 530 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1 596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7 840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38,73 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91,91 </w:t>
            </w:r>
          </w:p>
        </w:tc>
      </w:tr>
      <w:tr w:rsidR="005646D8" w:rsidRPr="005646D8" w:rsidTr="00CA1E63">
        <w:trPr>
          <w:trHeight w:val="255"/>
        </w:trPr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 - tovary a služby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36 194 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15 978 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2 404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14 650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40,48 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91,67 </w:t>
            </w:r>
          </w:p>
        </w:tc>
      </w:tr>
      <w:tr w:rsidR="005646D8" w:rsidRPr="005646D8" w:rsidTr="00CA1E63">
        <w:trPr>
          <w:trHeight w:val="255"/>
        </w:trPr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 - bežné transfery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1 513 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758 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113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619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40,91 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81,66 </w:t>
            </w:r>
          </w:p>
        </w:tc>
      </w:tr>
      <w:tr w:rsidR="005646D8" w:rsidRPr="005646D8" w:rsidTr="00CA1E63">
        <w:trPr>
          <w:trHeight w:val="300"/>
        </w:trPr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Kapitálové výdavky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3 404 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997 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61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/>
                <w:bCs/>
                <w:sz w:val="18"/>
                <w:szCs w:val="18"/>
              </w:rPr>
              <w:t>435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12,78 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43,63 </w:t>
            </w:r>
          </w:p>
        </w:tc>
      </w:tr>
      <w:tr w:rsidR="005646D8" w:rsidRPr="005646D8" w:rsidTr="00CA1E63">
        <w:trPr>
          <w:trHeight w:val="255"/>
        </w:trPr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 v tom : </w:t>
            </w:r>
          </w:p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- všeobecné investície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 xml:space="preserve">1 429 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 xml:space="preserve">543 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 xml:space="preserve">61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291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20,36 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53,59 </w:t>
            </w:r>
          </w:p>
        </w:tc>
      </w:tr>
      <w:tr w:rsidR="005646D8" w:rsidRPr="005646D8" w:rsidTr="00CA1E63">
        <w:trPr>
          <w:trHeight w:val="255"/>
        </w:trPr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- výdavky na informačno-komunikačné technológie 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 xml:space="preserve">1 975 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 xml:space="preserve"> 454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144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7,29 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31,72 </w:t>
            </w:r>
          </w:p>
        </w:tc>
      </w:tr>
      <w:tr w:rsidR="005646D8" w:rsidRPr="005646D8" w:rsidTr="00CA1E63">
        <w:trPr>
          <w:trHeight w:val="120"/>
        </w:trPr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 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 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 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 </w:t>
            </w:r>
          </w:p>
        </w:tc>
      </w:tr>
      <w:tr w:rsidR="005646D8" w:rsidRPr="005646D8" w:rsidTr="00CA1E63">
        <w:trPr>
          <w:trHeight w:val="300"/>
        </w:trPr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Spolu použitie správneho fondu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113 711 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47 979 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8 359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/>
                <w:bCs/>
                <w:sz w:val="18"/>
                <w:szCs w:val="18"/>
              </w:rPr>
              <w:t>43 960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38,66 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91,62 </w:t>
            </w:r>
          </w:p>
        </w:tc>
      </w:tr>
    </w:tbl>
    <w:p w:rsidR="005646D8" w:rsidRPr="005646D8" w:rsidRDefault="005646D8" w:rsidP="005646D8">
      <w:pPr>
        <w:tabs>
          <w:tab w:val="right" w:pos="8931"/>
        </w:tabs>
        <w:spacing w:before="240" w:after="120"/>
        <w:outlineLvl w:val="0"/>
        <w:rPr>
          <w:rFonts w:ascii="Arial" w:hAnsi="Arial" w:cs="Arial"/>
          <w:szCs w:val="20"/>
        </w:rPr>
      </w:pPr>
      <w:r w:rsidRPr="005646D8">
        <w:rPr>
          <w:rFonts w:ascii="Arial" w:hAnsi="Arial" w:cs="Arial"/>
          <w:b/>
          <w:szCs w:val="20"/>
        </w:rPr>
        <w:t>3.6.1     Bežné  výdavky (náklady)</w:t>
      </w:r>
    </w:p>
    <w:p w:rsidR="005646D8" w:rsidRPr="005646D8" w:rsidRDefault="005646D8" w:rsidP="005646D8">
      <w:pPr>
        <w:tabs>
          <w:tab w:val="decimal" w:pos="8100"/>
        </w:tabs>
        <w:ind w:firstLine="709"/>
        <w:rPr>
          <w:rFonts w:ascii="Arial" w:hAnsi="Arial" w:cs="Arial"/>
          <w:szCs w:val="20"/>
        </w:rPr>
      </w:pPr>
      <w:r w:rsidRPr="005646D8">
        <w:rPr>
          <w:rFonts w:ascii="Arial" w:hAnsi="Arial" w:cs="Arial"/>
          <w:szCs w:val="20"/>
        </w:rPr>
        <w:t xml:space="preserve">Vynaložené finančné prostriedky správneho fondu súvisiace s krytím </w:t>
      </w:r>
      <w:r w:rsidRPr="005646D8">
        <w:rPr>
          <w:rFonts w:ascii="Arial" w:hAnsi="Arial" w:cs="Arial"/>
          <w:b/>
          <w:szCs w:val="20"/>
        </w:rPr>
        <w:t xml:space="preserve">bežných výdavkov (nákladov) </w:t>
      </w:r>
      <w:r w:rsidRPr="005646D8">
        <w:rPr>
          <w:rFonts w:ascii="Arial" w:hAnsi="Arial" w:cs="Arial"/>
          <w:szCs w:val="20"/>
        </w:rPr>
        <w:t xml:space="preserve"> boli v sume :</w:t>
      </w:r>
      <w:r w:rsidRPr="005646D8">
        <w:rPr>
          <w:rFonts w:ascii="Arial" w:hAnsi="Arial" w:cs="Arial"/>
          <w:szCs w:val="20"/>
        </w:rPr>
        <w:tab/>
      </w:r>
      <w:r w:rsidRPr="005646D8">
        <w:rPr>
          <w:rFonts w:ascii="Arial" w:hAnsi="Arial" w:cs="Arial"/>
          <w:b/>
          <w:szCs w:val="20"/>
        </w:rPr>
        <w:t xml:space="preserve"> 43 525 tis. Eur</w:t>
      </w:r>
      <w:r w:rsidRPr="005646D8">
        <w:rPr>
          <w:rFonts w:ascii="Arial" w:hAnsi="Arial" w:cs="Arial"/>
          <w:szCs w:val="20"/>
        </w:rPr>
        <w:t>,</w:t>
      </w:r>
      <w:r w:rsidRPr="005646D8">
        <w:rPr>
          <w:rFonts w:ascii="Arial" w:hAnsi="Arial" w:cs="Arial"/>
          <w:b/>
          <w:szCs w:val="20"/>
        </w:rPr>
        <w:br/>
      </w:r>
      <w:r w:rsidRPr="005646D8">
        <w:rPr>
          <w:rFonts w:ascii="Arial" w:hAnsi="Arial" w:cs="Arial"/>
          <w:szCs w:val="20"/>
        </w:rPr>
        <w:t>v tom:</w:t>
      </w:r>
    </w:p>
    <w:p w:rsidR="005646D8" w:rsidRPr="005646D8" w:rsidRDefault="005646D8" w:rsidP="005646D8">
      <w:pPr>
        <w:numPr>
          <w:ilvl w:val="0"/>
          <w:numId w:val="11"/>
        </w:numPr>
        <w:tabs>
          <w:tab w:val="decimal" w:pos="8100"/>
        </w:tabs>
        <w:ind w:left="646" w:hanging="646"/>
        <w:jc w:val="both"/>
        <w:rPr>
          <w:rFonts w:ascii="Arial" w:hAnsi="Arial" w:cs="Arial"/>
          <w:szCs w:val="20"/>
        </w:rPr>
      </w:pPr>
      <w:r w:rsidRPr="005646D8">
        <w:rPr>
          <w:rFonts w:ascii="Arial" w:hAnsi="Arial" w:cs="Arial"/>
          <w:szCs w:val="20"/>
        </w:rPr>
        <w:lastRenderedPageBreak/>
        <w:t xml:space="preserve">ústredie  </w:t>
      </w:r>
      <w:r w:rsidRPr="005646D8">
        <w:rPr>
          <w:rFonts w:ascii="Arial" w:hAnsi="Arial" w:cs="Arial"/>
          <w:szCs w:val="20"/>
        </w:rPr>
        <w:tab/>
        <w:t xml:space="preserve">  18 425 tis. Eur,  </w:t>
      </w:r>
    </w:p>
    <w:p w:rsidR="005646D8" w:rsidRPr="005646D8" w:rsidRDefault="005646D8" w:rsidP="005646D8">
      <w:pPr>
        <w:numPr>
          <w:ilvl w:val="0"/>
          <w:numId w:val="11"/>
        </w:numPr>
        <w:tabs>
          <w:tab w:val="decimal" w:pos="8100"/>
        </w:tabs>
        <w:ind w:hanging="644"/>
        <w:jc w:val="both"/>
        <w:rPr>
          <w:rFonts w:ascii="Arial" w:hAnsi="Arial" w:cs="Arial"/>
          <w:szCs w:val="20"/>
        </w:rPr>
      </w:pPr>
      <w:r w:rsidRPr="005646D8">
        <w:rPr>
          <w:rFonts w:ascii="Arial" w:hAnsi="Arial" w:cs="Arial"/>
          <w:szCs w:val="20"/>
        </w:rPr>
        <w:t xml:space="preserve">pobočky   </w:t>
      </w:r>
      <w:r w:rsidRPr="005646D8">
        <w:rPr>
          <w:rFonts w:ascii="Arial" w:hAnsi="Arial" w:cs="Arial"/>
          <w:szCs w:val="20"/>
        </w:rPr>
        <w:tab/>
        <w:t xml:space="preserve">  25 100 tis. Eur.</w:t>
      </w:r>
    </w:p>
    <w:p w:rsidR="005646D8" w:rsidRPr="005646D8" w:rsidRDefault="005646D8" w:rsidP="005646D8">
      <w:pPr>
        <w:tabs>
          <w:tab w:val="right" w:pos="8640"/>
        </w:tabs>
        <w:spacing w:before="240" w:after="120"/>
        <w:ind w:firstLine="697"/>
        <w:jc w:val="both"/>
        <w:rPr>
          <w:rFonts w:ascii="Arial" w:hAnsi="Arial" w:cs="Arial"/>
          <w:szCs w:val="20"/>
        </w:rPr>
      </w:pPr>
      <w:r w:rsidRPr="005646D8">
        <w:rPr>
          <w:rFonts w:ascii="Arial" w:hAnsi="Arial" w:cs="Arial"/>
          <w:color w:val="FF0000"/>
          <w:szCs w:val="20"/>
        </w:rPr>
        <w:tab/>
      </w:r>
      <w:r w:rsidRPr="005646D8">
        <w:rPr>
          <w:rFonts w:ascii="Arial" w:hAnsi="Arial" w:cs="Arial"/>
          <w:szCs w:val="20"/>
        </w:rPr>
        <w:t xml:space="preserve">Podiel bežných výdavkov (nákladov) v sume 43 525 tis. Eur na celkových použitých prostriedkov správneho fondu 43 960 tis. Eur za obdobie január až máj 2012 je </w:t>
      </w:r>
      <w:r w:rsidRPr="005646D8">
        <w:rPr>
          <w:rFonts w:ascii="Arial" w:hAnsi="Arial" w:cs="Arial"/>
          <w:b/>
          <w:szCs w:val="20"/>
        </w:rPr>
        <w:t>99,01 %</w:t>
      </w:r>
      <w:r w:rsidRPr="005646D8">
        <w:rPr>
          <w:rFonts w:ascii="Arial" w:hAnsi="Arial" w:cs="Arial"/>
          <w:szCs w:val="20"/>
        </w:rPr>
        <w:t>.</w:t>
      </w:r>
    </w:p>
    <w:p w:rsidR="005646D8" w:rsidRPr="005646D8" w:rsidRDefault="005646D8" w:rsidP="005646D8">
      <w:pPr>
        <w:tabs>
          <w:tab w:val="left" w:pos="426"/>
        </w:tabs>
        <w:spacing w:after="120"/>
        <w:jc w:val="right"/>
        <w:rPr>
          <w:rFonts w:ascii="Arial" w:hAnsi="Arial" w:cs="Arial"/>
          <w:sz w:val="20"/>
          <w:szCs w:val="20"/>
        </w:rPr>
      </w:pPr>
      <w:r w:rsidRPr="005646D8">
        <w:rPr>
          <w:rFonts w:ascii="Arial" w:hAnsi="Arial" w:cs="Arial"/>
          <w:sz w:val="20"/>
          <w:szCs w:val="20"/>
        </w:rPr>
        <w:t>v tis. Eur</w:t>
      </w:r>
    </w:p>
    <w:tbl>
      <w:tblPr>
        <w:tblW w:w="9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1771"/>
        <w:gridCol w:w="1843"/>
        <w:gridCol w:w="1843"/>
        <w:gridCol w:w="1203"/>
      </w:tblGrid>
      <w:tr w:rsidR="005646D8" w:rsidRPr="005646D8" w:rsidTr="00CA1E63">
        <w:tc>
          <w:tcPr>
            <w:tcW w:w="2410" w:type="dxa"/>
            <w:vAlign w:val="center"/>
          </w:tcPr>
          <w:p w:rsidR="005646D8" w:rsidRPr="005646D8" w:rsidRDefault="005646D8" w:rsidP="005646D8">
            <w:pPr>
              <w:tabs>
                <w:tab w:val="left" w:pos="426"/>
                <w:tab w:val="right" w:pos="9072"/>
              </w:tabs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5646D8">
              <w:rPr>
                <w:rFonts w:ascii="Arial" w:hAnsi="Arial" w:cs="Arial"/>
                <w:sz w:val="16"/>
                <w:szCs w:val="16"/>
              </w:rPr>
              <w:t xml:space="preserve">                 Ukazovateľ</w:t>
            </w:r>
          </w:p>
        </w:tc>
        <w:tc>
          <w:tcPr>
            <w:tcW w:w="1771" w:type="dxa"/>
            <w:vAlign w:val="center"/>
          </w:tcPr>
          <w:p w:rsidR="005646D8" w:rsidRPr="005646D8" w:rsidRDefault="005646D8" w:rsidP="005646D8">
            <w:pPr>
              <w:tabs>
                <w:tab w:val="right" w:pos="8931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5646D8" w:rsidRPr="005646D8" w:rsidRDefault="005646D8" w:rsidP="005646D8">
            <w:pPr>
              <w:tabs>
                <w:tab w:val="right" w:pos="8931"/>
              </w:tabs>
              <w:rPr>
                <w:rFonts w:ascii="Arial" w:hAnsi="Arial" w:cs="Arial"/>
                <w:sz w:val="16"/>
                <w:szCs w:val="16"/>
              </w:rPr>
            </w:pPr>
            <w:r w:rsidRPr="005646D8">
              <w:rPr>
                <w:rFonts w:ascii="Arial" w:hAnsi="Arial" w:cs="Arial"/>
                <w:sz w:val="16"/>
                <w:szCs w:val="16"/>
              </w:rPr>
              <w:t xml:space="preserve">Ústredie, skutočnosť </w:t>
            </w:r>
          </w:p>
          <w:p w:rsidR="005646D8" w:rsidRPr="005646D8" w:rsidRDefault="005646D8" w:rsidP="005646D8">
            <w:pPr>
              <w:tabs>
                <w:tab w:val="right" w:pos="8931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46D8">
              <w:rPr>
                <w:rFonts w:ascii="Arial" w:hAnsi="Arial" w:cs="Arial"/>
                <w:sz w:val="16"/>
                <w:szCs w:val="16"/>
              </w:rPr>
              <w:t>za obdobie január až máj 2012</w:t>
            </w:r>
          </w:p>
        </w:tc>
        <w:tc>
          <w:tcPr>
            <w:tcW w:w="1843" w:type="dxa"/>
            <w:vAlign w:val="center"/>
          </w:tcPr>
          <w:p w:rsidR="005646D8" w:rsidRPr="005646D8" w:rsidRDefault="005646D8" w:rsidP="005646D8">
            <w:pPr>
              <w:tabs>
                <w:tab w:val="right" w:pos="8931"/>
              </w:tabs>
              <w:rPr>
                <w:rFonts w:ascii="Arial" w:hAnsi="Arial" w:cs="Arial"/>
                <w:sz w:val="16"/>
                <w:szCs w:val="16"/>
              </w:rPr>
            </w:pPr>
            <w:r w:rsidRPr="005646D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5646D8" w:rsidRPr="005646D8" w:rsidRDefault="005646D8" w:rsidP="005646D8">
            <w:pPr>
              <w:tabs>
                <w:tab w:val="right" w:pos="8931"/>
              </w:tabs>
              <w:rPr>
                <w:rFonts w:ascii="Arial" w:hAnsi="Arial" w:cs="Arial"/>
                <w:sz w:val="16"/>
                <w:szCs w:val="16"/>
              </w:rPr>
            </w:pPr>
            <w:r w:rsidRPr="005646D8">
              <w:rPr>
                <w:rFonts w:ascii="Arial" w:hAnsi="Arial" w:cs="Arial"/>
                <w:sz w:val="16"/>
                <w:szCs w:val="16"/>
              </w:rPr>
              <w:t>Pobočky, skutočnosť</w:t>
            </w:r>
          </w:p>
          <w:p w:rsidR="005646D8" w:rsidRPr="005646D8" w:rsidRDefault="005646D8" w:rsidP="005646D8">
            <w:pPr>
              <w:tabs>
                <w:tab w:val="right" w:pos="8931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46D8">
              <w:rPr>
                <w:rFonts w:ascii="Arial" w:hAnsi="Arial" w:cs="Arial"/>
                <w:sz w:val="16"/>
                <w:szCs w:val="16"/>
              </w:rPr>
              <w:t>za obdobie január až máj 2012</w:t>
            </w:r>
          </w:p>
        </w:tc>
        <w:tc>
          <w:tcPr>
            <w:tcW w:w="1843" w:type="dxa"/>
            <w:vAlign w:val="center"/>
          </w:tcPr>
          <w:p w:rsidR="005646D8" w:rsidRPr="005646D8" w:rsidRDefault="005646D8" w:rsidP="005646D8">
            <w:pPr>
              <w:tabs>
                <w:tab w:val="right" w:pos="8931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646D8" w:rsidRPr="005646D8" w:rsidRDefault="005646D8" w:rsidP="005646D8">
            <w:pPr>
              <w:tabs>
                <w:tab w:val="right" w:pos="8931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46D8">
              <w:rPr>
                <w:rFonts w:ascii="Arial" w:hAnsi="Arial" w:cs="Arial"/>
                <w:sz w:val="16"/>
                <w:szCs w:val="16"/>
              </w:rPr>
              <w:t xml:space="preserve">Spolu skutočnosť </w:t>
            </w:r>
          </w:p>
          <w:p w:rsidR="005646D8" w:rsidRPr="005646D8" w:rsidRDefault="005646D8" w:rsidP="005646D8">
            <w:pPr>
              <w:tabs>
                <w:tab w:val="right" w:pos="8931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646D8">
              <w:rPr>
                <w:rFonts w:ascii="Arial" w:hAnsi="Arial" w:cs="Arial"/>
                <w:sz w:val="16"/>
                <w:szCs w:val="16"/>
              </w:rPr>
              <w:t>za obdobie január až máj 2012</w:t>
            </w:r>
          </w:p>
        </w:tc>
        <w:tc>
          <w:tcPr>
            <w:tcW w:w="1203" w:type="dxa"/>
            <w:vAlign w:val="center"/>
          </w:tcPr>
          <w:p w:rsidR="005646D8" w:rsidRPr="005646D8" w:rsidRDefault="005646D8" w:rsidP="005646D8">
            <w:pPr>
              <w:tabs>
                <w:tab w:val="left" w:pos="426"/>
                <w:tab w:val="right" w:pos="9072"/>
              </w:tabs>
              <w:spacing w:after="120"/>
              <w:ind w:left="28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6"/>
                <w:szCs w:val="16"/>
              </w:rPr>
              <w:t>Podiel v %</w:t>
            </w:r>
          </w:p>
        </w:tc>
      </w:tr>
      <w:tr w:rsidR="005646D8" w:rsidRPr="005646D8" w:rsidTr="00CA1E63"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5646D8" w:rsidRPr="005646D8" w:rsidRDefault="005646D8" w:rsidP="005646D8">
            <w:pPr>
              <w:tabs>
                <w:tab w:val="left" w:pos="426"/>
                <w:tab w:val="right" w:pos="9072"/>
              </w:tabs>
              <w:ind w:left="28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771" w:type="dxa"/>
            <w:tcBorders>
              <w:bottom w:val="single" w:sz="4" w:space="0" w:color="auto"/>
            </w:tcBorders>
            <w:vAlign w:val="center"/>
          </w:tcPr>
          <w:p w:rsidR="005646D8" w:rsidRPr="005646D8" w:rsidRDefault="005646D8" w:rsidP="005646D8">
            <w:pPr>
              <w:tabs>
                <w:tab w:val="left" w:pos="426"/>
                <w:tab w:val="right" w:pos="9072"/>
              </w:tabs>
              <w:ind w:left="28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5646D8" w:rsidRPr="005646D8" w:rsidRDefault="005646D8" w:rsidP="005646D8">
            <w:pPr>
              <w:tabs>
                <w:tab w:val="left" w:pos="426"/>
                <w:tab w:val="right" w:pos="9072"/>
              </w:tabs>
              <w:ind w:left="28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5646D8" w:rsidRPr="005646D8" w:rsidRDefault="005646D8" w:rsidP="005646D8">
            <w:pPr>
              <w:tabs>
                <w:tab w:val="left" w:pos="426"/>
                <w:tab w:val="right" w:pos="9072"/>
              </w:tabs>
              <w:ind w:left="28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203" w:type="dxa"/>
            <w:tcBorders>
              <w:bottom w:val="single" w:sz="4" w:space="0" w:color="auto"/>
            </w:tcBorders>
            <w:vAlign w:val="center"/>
          </w:tcPr>
          <w:p w:rsidR="005646D8" w:rsidRPr="005646D8" w:rsidRDefault="005646D8" w:rsidP="005646D8">
            <w:pPr>
              <w:tabs>
                <w:tab w:val="left" w:pos="426"/>
                <w:tab w:val="right" w:pos="9072"/>
              </w:tabs>
              <w:ind w:left="28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5646D8" w:rsidRPr="005646D8" w:rsidTr="00CA1E63">
        <w:trPr>
          <w:trHeight w:val="206"/>
        </w:trPr>
        <w:tc>
          <w:tcPr>
            <w:tcW w:w="2410" w:type="dxa"/>
            <w:tcBorders>
              <w:top w:val="nil"/>
              <w:bottom w:val="nil"/>
            </w:tcBorders>
            <w:vAlign w:val="bottom"/>
          </w:tcPr>
          <w:p w:rsidR="005646D8" w:rsidRPr="005646D8" w:rsidRDefault="005646D8" w:rsidP="005646D8">
            <w:pPr>
              <w:tabs>
                <w:tab w:val="left" w:pos="426"/>
                <w:tab w:val="right" w:pos="9072"/>
              </w:tabs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Bežné výdavky (náklady)</w:t>
            </w:r>
          </w:p>
        </w:tc>
        <w:tc>
          <w:tcPr>
            <w:tcW w:w="1771" w:type="dxa"/>
            <w:tcBorders>
              <w:top w:val="nil"/>
              <w:bottom w:val="nil"/>
            </w:tcBorders>
            <w:vAlign w:val="bottom"/>
          </w:tcPr>
          <w:p w:rsidR="005646D8" w:rsidRPr="005646D8" w:rsidRDefault="005646D8" w:rsidP="005646D8">
            <w:pPr>
              <w:tabs>
                <w:tab w:val="right" w:pos="9072"/>
              </w:tabs>
              <w:spacing w:before="60" w:after="6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18 425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bottom"/>
          </w:tcPr>
          <w:p w:rsidR="005646D8" w:rsidRPr="005646D8" w:rsidRDefault="005646D8" w:rsidP="005646D8">
            <w:pPr>
              <w:tabs>
                <w:tab w:val="right" w:pos="9072"/>
              </w:tabs>
              <w:spacing w:before="60" w:after="6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25 100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bottom"/>
          </w:tcPr>
          <w:p w:rsidR="005646D8" w:rsidRPr="005646D8" w:rsidRDefault="005646D8" w:rsidP="005646D8">
            <w:pPr>
              <w:tabs>
                <w:tab w:val="right" w:pos="9072"/>
              </w:tabs>
              <w:spacing w:before="60" w:after="6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43 525</w:t>
            </w:r>
          </w:p>
        </w:tc>
        <w:tc>
          <w:tcPr>
            <w:tcW w:w="1203" w:type="dxa"/>
            <w:tcBorders>
              <w:top w:val="nil"/>
              <w:bottom w:val="nil"/>
            </w:tcBorders>
            <w:vAlign w:val="bottom"/>
          </w:tcPr>
          <w:p w:rsidR="005646D8" w:rsidRPr="005646D8" w:rsidRDefault="005646D8" w:rsidP="005646D8">
            <w:pPr>
              <w:tabs>
                <w:tab w:val="right" w:pos="9072"/>
              </w:tabs>
              <w:spacing w:before="60" w:after="6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99,01</w:t>
            </w:r>
          </w:p>
        </w:tc>
      </w:tr>
      <w:tr w:rsidR="005646D8" w:rsidRPr="005646D8" w:rsidTr="00CA1E63">
        <w:trPr>
          <w:trHeight w:val="80"/>
        </w:trPr>
        <w:tc>
          <w:tcPr>
            <w:tcW w:w="2410" w:type="dxa"/>
            <w:tcBorders>
              <w:top w:val="nil"/>
              <w:bottom w:val="nil"/>
            </w:tcBorders>
            <w:vAlign w:val="bottom"/>
          </w:tcPr>
          <w:p w:rsidR="005646D8" w:rsidRPr="005646D8" w:rsidRDefault="005646D8" w:rsidP="005646D8">
            <w:pPr>
              <w:tabs>
                <w:tab w:val="left" w:pos="426"/>
                <w:tab w:val="right" w:pos="9072"/>
              </w:tabs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Kapitálové výdavky</w:t>
            </w:r>
          </w:p>
        </w:tc>
        <w:tc>
          <w:tcPr>
            <w:tcW w:w="1771" w:type="dxa"/>
            <w:tcBorders>
              <w:top w:val="nil"/>
              <w:bottom w:val="nil"/>
            </w:tcBorders>
            <w:vAlign w:val="bottom"/>
          </w:tcPr>
          <w:p w:rsidR="005646D8" w:rsidRPr="005646D8" w:rsidRDefault="005646D8" w:rsidP="005646D8">
            <w:pPr>
              <w:tabs>
                <w:tab w:val="right" w:pos="9072"/>
              </w:tabs>
              <w:spacing w:before="60" w:after="6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 xml:space="preserve">435 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bottom"/>
          </w:tcPr>
          <w:p w:rsidR="005646D8" w:rsidRPr="005646D8" w:rsidRDefault="005646D8" w:rsidP="005646D8">
            <w:pPr>
              <w:tabs>
                <w:tab w:val="right" w:pos="9072"/>
              </w:tabs>
              <w:spacing w:before="60" w:after="6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 xml:space="preserve">       -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bottom"/>
          </w:tcPr>
          <w:p w:rsidR="005646D8" w:rsidRPr="005646D8" w:rsidRDefault="005646D8" w:rsidP="005646D8">
            <w:pPr>
              <w:tabs>
                <w:tab w:val="right" w:pos="9072"/>
              </w:tabs>
              <w:spacing w:before="60" w:after="6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 xml:space="preserve">   435</w:t>
            </w:r>
          </w:p>
        </w:tc>
        <w:tc>
          <w:tcPr>
            <w:tcW w:w="1203" w:type="dxa"/>
            <w:tcBorders>
              <w:top w:val="nil"/>
              <w:bottom w:val="nil"/>
            </w:tcBorders>
            <w:vAlign w:val="bottom"/>
          </w:tcPr>
          <w:p w:rsidR="005646D8" w:rsidRPr="005646D8" w:rsidRDefault="005646D8" w:rsidP="005646D8">
            <w:pPr>
              <w:tabs>
                <w:tab w:val="right" w:pos="9072"/>
              </w:tabs>
              <w:spacing w:before="60" w:after="6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 xml:space="preserve">    0,99</w:t>
            </w:r>
          </w:p>
        </w:tc>
      </w:tr>
      <w:tr w:rsidR="005646D8" w:rsidRPr="005646D8" w:rsidTr="00CA1E63">
        <w:tc>
          <w:tcPr>
            <w:tcW w:w="2410" w:type="dxa"/>
            <w:tcBorders>
              <w:top w:val="nil"/>
            </w:tcBorders>
            <w:vAlign w:val="bottom"/>
          </w:tcPr>
          <w:p w:rsidR="005646D8" w:rsidRPr="005646D8" w:rsidRDefault="005646D8" w:rsidP="005646D8">
            <w:pPr>
              <w:tabs>
                <w:tab w:val="left" w:pos="426"/>
                <w:tab w:val="right" w:pos="9072"/>
              </w:tabs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5646D8">
              <w:rPr>
                <w:rFonts w:ascii="Arial" w:hAnsi="Arial" w:cs="Arial"/>
                <w:b/>
                <w:sz w:val="20"/>
                <w:szCs w:val="20"/>
              </w:rPr>
              <w:t>Správny fond spolu</w:t>
            </w:r>
          </w:p>
        </w:tc>
        <w:tc>
          <w:tcPr>
            <w:tcW w:w="1771" w:type="dxa"/>
            <w:tcBorders>
              <w:top w:val="nil"/>
            </w:tcBorders>
            <w:vAlign w:val="bottom"/>
          </w:tcPr>
          <w:p w:rsidR="005646D8" w:rsidRPr="005646D8" w:rsidRDefault="005646D8" w:rsidP="005646D8">
            <w:pPr>
              <w:tabs>
                <w:tab w:val="right" w:pos="9072"/>
              </w:tabs>
              <w:spacing w:before="60" w:after="6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5646D8">
              <w:rPr>
                <w:rFonts w:ascii="Arial" w:hAnsi="Arial" w:cs="Arial"/>
                <w:b/>
                <w:sz w:val="20"/>
                <w:szCs w:val="20"/>
              </w:rPr>
              <w:t xml:space="preserve">18 860 </w:t>
            </w:r>
          </w:p>
        </w:tc>
        <w:tc>
          <w:tcPr>
            <w:tcW w:w="1843" w:type="dxa"/>
            <w:tcBorders>
              <w:top w:val="nil"/>
            </w:tcBorders>
            <w:vAlign w:val="bottom"/>
          </w:tcPr>
          <w:p w:rsidR="005646D8" w:rsidRPr="005646D8" w:rsidRDefault="005646D8" w:rsidP="005646D8">
            <w:pPr>
              <w:tabs>
                <w:tab w:val="right" w:pos="9072"/>
              </w:tabs>
              <w:spacing w:before="60" w:after="6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5646D8">
              <w:rPr>
                <w:rFonts w:ascii="Arial" w:hAnsi="Arial" w:cs="Arial"/>
                <w:b/>
                <w:sz w:val="20"/>
                <w:szCs w:val="20"/>
              </w:rPr>
              <w:t>25 100</w:t>
            </w:r>
          </w:p>
        </w:tc>
        <w:tc>
          <w:tcPr>
            <w:tcW w:w="1843" w:type="dxa"/>
            <w:tcBorders>
              <w:top w:val="nil"/>
            </w:tcBorders>
            <w:vAlign w:val="bottom"/>
          </w:tcPr>
          <w:p w:rsidR="005646D8" w:rsidRPr="005646D8" w:rsidRDefault="005646D8" w:rsidP="005646D8">
            <w:pPr>
              <w:tabs>
                <w:tab w:val="right" w:pos="9072"/>
              </w:tabs>
              <w:spacing w:before="60" w:after="6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5646D8">
              <w:rPr>
                <w:rFonts w:ascii="Arial" w:hAnsi="Arial" w:cs="Arial"/>
                <w:b/>
                <w:sz w:val="20"/>
                <w:szCs w:val="20"/>
              </w:rPr>
              <w:t>43 960</w:t>
            </w:r>
          </w:p>
        </w:tc>
        <w:tc>
          <w:tcPr>
            <w:tcW w:w="1203" w:type="dxa"/>
            <w:tcBorders>
              <w:top w:val="nil"/>
            </w:tcBorders>
            <w:vAlign w:val="bottom"/>
          </w:tcPr>
          <w:p w:rsidR="005646D8" w:rsidRPr="005646D8" w:rsidRDefault="005646D8" w:rsidP="005646D8">
            <w:pPr>
              <w:tabs>
                <w:tab w:val="right" w:pos="9072"/>
              </w:tabs>
              <w:spacing w:before="60" w:after="6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5646D8">
              <w:rPr>
                <w:rFonts w:ascii="Arial" w:hAnsi="Arial" w:cs="Arial"/>
                <w:b/>
                <w:sz w:val="20"/>
                <w:szCs w:val="20"/>
              </w:rPr>
              <w:t>100,00</w:t>
            </w:r>
          </w:p>
        </w:tc>
      </w:tr>
    </w:tbl>
    <w:p w:rsidR="005646D8" w:rsidRPr="005646D8" w:rsidRDefault="005646D8" w:rsidP="005646D8">
      <w:pPr>
        <w:tabs>
          <w:tab w:val="right" w:pos="709"/>
          <w:tab w:val="right" w:pos="5670"/>
          <w:tab w:val="right" w:pos="8931"/>
        </w:tabs>
        <w:spacing w:after="120"/>
        <w:rPr>
          <w:rFonts w:ascii="Arial" w:hAnsi="Arial" w:cs="Arial"/>
          <w:sz w:val="20"/>
          <w:szCs w:val="20"/>
        </w:rPr>
      </w:pPr>
    </w:p>
    <w:p w:rsidR="005646D8" w:rsidRPr="005646D8" w:rsidRDefault="005646D8" w:rsidP="005646D8">
      <w:pPr>
        <w:tabs>
          <w:tab w:val="left" w:pos="709"/>
          <w:tab w:val="right" w:pos="5670"/>
          <w:tab w:val="right" w:pos="9072"/>
        </w:tabs>
        <w:spacing w:before="240" w:after="120"/>
        <w:ind w:firstLine="720"/>
        <w:jc w:val="both"/>
        <w:rPr>
          <w:rFonts w:ascii="Arial" w:hAnsi="Arial" w:cs="Arial"/>
          <w:szCs w:val="20"/>
        </w:rPr>
      </w:pPr>
      <w:r w:rsidRPr="005646D8">
        <w:rPr>
          <w:rFonts w:ascii="Arial" w:hAnsi="Arial" w:cs="Arial"/>
          <w:szCs w:val="20"/>
        </w:rPr>
        <w:t xml:space="preserve">Na celkovom plnení rozpočtu správneho fondu za obdobie január až máj  2012 sa podieľali </w:t>
      </w:r>
      <w:r w:rsidRPr="005646D8">
        <w:rPr>
          <w:rFonts w:ascii="Arial" w:hAnsi="Arial" w:cs="Arial"/>
          <w:b/>
          <w:szCs w:val="20"/>
        </w:rPr>
        <w:t>osobné  náklady vo</w:t>
      </w:r>
      <w:r w:rsidRPr="005646D8">
        <w:rPr>
          <w:rFonts w:ascii="Arial" w:hAnsi="Arial" w:cs="Arial"/>
          <w:szCs w:val="20"/>
        </w:rPr>
        <w:t xml:space="preserve"> </w:t>
      </w:r>
      <w:r w:rsidRPr="005646D8">
        <w:rPr>
          <w:rFonts w:ascii="Arial" w:hAnsi="Arial" w:cs="Arial"/>
          <w:b/>
          <w:szCs w:val="20"/>
        </w:rPr>
        <w:t>výške 29 834</w:t>
      </w:r>
      <w:r w:rsidRPr="005646D8">
        <w:rPr>
          <w:rFonts w:ascii="Arial" w:hAnsi="Arial" w:cs="Arial"/>
          <w:b/>
          <w:color w:val="FF0000"/>
          <w:szCs w:val="20"/>
        </w:rPr>
        <w:t xml:space="preserve"> </w:t>
      </w:r>
      <w:r w:rsidRPr="005646D8">
        <w:rPr>
          <w:rFonts w:ascii="Arial" w:hAnsi="Arial" w:cs="Arial"/>
          <w:b/>
          <w:szCs w:val="20"/>
        </w:rPr>
        <w:t xml:space="preserve">tis. Eur, </w:t>
      </w:r>
      <w:r w:rsidRPr="005646D8">
        <w:rPr>
          <w:rFonts w:ascii="Arial" w:hAnsi="Arial" w:cs="Arial"/>
          <w:szCs w:val="20"/>
        </w:rPr>
        <w:t>z toho mzdové prostriedky, poistné a príspevok do poisťovní podľa organizačných zložiek Sociálnej poisťovne boli nasledovné:</w:t>
      </w:r>
    </w:p>
    <w:p w:rsidR="005646D8" w:rsidRPr="005646D8" w:rsidRDefault="005646D8" w:rsidP="005646D8">
      <w:pPr>
        <w:tabs>
          <w:tab w:val="left" w:pos="426"/>
          <w:tab w:val="left" w:pos="709"/>
          <w:tab w:val="right" w:pos="5670"/>
          <w:tab w:val="right" w:pos="9072"/>
        </w:tabs>
        <w:spacing w:after="120"/>
        <w:ind w:left="284"/>
        <w:jc w:val="center"/>
        <w:rPr>
          <w:rFonts w:ascii="Arial" w:hAnsi="Arial" w:cs="Arial"/>
          <w:sz w:val="20"/>
          <w:szCs w:val="20"/>
        </w:rPr>
      </w:pPr>
      <w:r w:rsidRPr="005646D8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v tis. Eur</w:t>
      </w:r>
    </w:p>
    <w:tbl>
      <w:tblPr>
        <w:tblW w:w="9375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5"/>
        <w:gridCol w:w="1260"/>
        <w:gridCol w:w="1260"/>
        <w:gridCol w:w="1078"/>
        <w:gridCol w:w="1260"/>
        <w:gridCol w:w="721"/>
        <w:gridCol w:w="721"/>
      </w:tblGrid>
      <w:tr w:rsidR="005646D8" w:rsidRPr="005646D8" w:rsidTr="00CA1E63">
        <w:trPr>
          <w:trHeight w:val="300"/>
        </w:trPr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Rozpis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Rozpis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Skutočnosť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Skutočnosť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%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%</w:t>
            </w:r>
          </w:p>
        </w:tc>
      </w:tr>
      <w:tr w:rsidR="005646D8" w:rsidRPr="005646D8" w:rsidTr="00CA1E63">
        <w:trPr>
          <w:trHeight w:val="300"/>
        </w:trPr>
        <w:tc>
          <w:tcPr>
            <w:tcW w:w="3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Ukazovateľ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rozpočtu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rozpočtu</w:t>
            </w: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za mesiac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za obdobie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plnenia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plnenia</w:t>
            </w:r>
          </w:p>
        </w:tc>
      </w:tr>
      <w:tr w:rsidR="005646D8" w:rsidRPr="005646D8" w:rsidTr="00CA1E63">
        <w:trPr>
          <w:trHeight w:val="285"/>
        </w:trPr>
        <w:tc>
          <w:tcPr>
            <w:tcW w:w="3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na rok 2012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 xml:space="preserve">na január až </w:t>
            </w: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 xml:space="preserve">máj 2012 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január až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(4/1)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(4/2)</w:t>
            </w:r>
          </w:p>
        </w:tc>
      </w:tr>
      <w:tr w:rsidR="005646D8" w:rsidRPr="005646D8" w:rsidTr="00CA1E63">
        <w:trPr>
          <w:trHeight w:val="255"/>
        </w:trPr>
        <w:tc>
          <w:tcPr>
            <w:tcW w:w="3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máj 2012</w:t>
            </w: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 xml:space="preserve">máj 2012 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5646D8" w:rsidRPr="005646D8" w:rsidTr="00CA1E63">
        <w:trPr>
          <w:trHeight w:val="255"/>
        </w:trPr>
        <w:tc>
          <w:tcPr>
            <w:tcW w:w="3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5646D8" w:rsidRPr="005646D8" w:rsidTr="00CA1E63">
        <w:trPr>
          <w:trHeight w:val="300"/>
        </w:trPr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5646D8" w:rsidRPr="005646D8" w:rsidTr="00CA1E63">
        <w:trPr>
          <w:trHeight w:val="300"/>
        </w:trPr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Mzdové prostriedky spolu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52 358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21 716 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4 185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/>
                <w:bCs/>
                <w:sz w:val="18"/>
                <w:szCs w:val="18"/>
              </w:rPr>
              <w:t>20 416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/>
                <w:bCs/>
                <w:sz w:val="18"/>
                <w:szCs w:val="18"/>
              </w:rPr>
              <w:t>38,99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/>
                <w:bCs/>
                <w:sz w:val="18"/>
                <w:szCs w:val="18"/>
              </w:rPr>
              <w:t>94,01</w:t>
            </w:r>
          </w:p>
        </w:tc>
      </w:tr>
      <w:tr w:rsidR="005646D8" w:rsidRPr="005646D8" w:rsidTr="00CA1E63">
        <w:trPr>
          <w:trHeight w:val="255"/>
        </w:trPr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 v tom : - ústredie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18 615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7 829 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1 292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6 311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33,90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80,61</w:t>
            </w:r>
          </w:p>
        </w:tc>
      </w:tr>
      <w:tr w:rsidR="005646D8" w:rsidRPr="005646D8" w:rsidTr="00CA1E63">
        <w:trPr>
          <w:trHeight w:val="255"/>
        </w:trPr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             - pobočky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33 743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13 887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2 893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14 105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41,80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101,57</w:t>
            </w:r>
          </w:p>
        </w:tc>
      </w:tr>
      <w:tr w:rsidR="005646D8" w:rsidRPr="005646D8" w:rsidTr="00CA1E63">
        <w:trPr>
          <w:trHeight w:val="300"/>
        </w:trPr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Poistné a príspevok do poisťovní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20 242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8 530 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1 596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/>
                <w:bCs/>
                <w:sz w:val="18"/>
                <w:szCs w:val="18"/>
              </w:rPr>
              <w:t>7 840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/>
                <w:bCs/>
                <w:sz w:val="18"/>
                <w:szCs w:val="18"/>
              </w:rPr>
              <w:t>38,73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/>
                <w:bCs/>
                <w:sz w:val="18"/>
                <w:szCs w:val="18"/>
              </w:rPr>
              <w:t>91,91</w:t>
            </w:r>
          </w:p>
        </w:tc>
      </w:tr>
      <w:tr w:rsidR="005646D8" w:rsidRPr="005646D8" w:rsidTr="00CA1E63">
        <w:trPr>
          <w:trHeight w:val="255"/>
        </w:trPr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 v tom : - ústredie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 xml:space="preserve">7 127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 xml:space="preserve">3 020 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 xml:space="preserve"> 492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2 435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34,17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80,63</w:t>
            </w:r>
          </w:p>
        </w:tc>
      </w:tr>
      <w:tr w:rsidR="005646D8" w:rsidRPr="005646D8" w:rsidTr="00CA1E63">
        <w:trPr>
          <w:trHeight w:val="255"/>
        </w:trPr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             - pobočky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 xml:space="preserve">13 115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 xml:space="preserve">5 510 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1 104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5 405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41,21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98,09</w:t>
            </w:r>
          </w:p>
        </w:tc>
      </w:tr>
    </w:tbl>
    <w:p w:rsidR="005646D8" w:rsidRPr="005646D8" w:rsidRDefault="005646D8" w:rsidP="005646D8">
      <w:pPr>
        <w:tabs>
          <w:tab w:val="left" w:pos="426"/>
          <w:tab w:val="left" w:pos="709"/>
          <w:tab w:val="right" w:pos="5670"/>
          <w:tab w:val="right" w:pos="9072"/>
        </w:tabs>
        <w:spacing w:after="120"/>
        <w:rPr>
          <w:rFonts w:ascii="Arial" w:hAnsi="Arial" w:cs="Arial"/>
          <w:i/>
          <w:sz w:val="20"/>
          <w:szCs w:val="20"/>
        </w:rPr>
      </w:pPr>
    </w:p>
    <w:p w:rsidR="005646D8" w:rsidRPr="005646D8" w:rsidRDefault="005646D8" w:rsidP="005646D8">
      <w:pPr>
        <w:tabs>
          <w:tab w:val="right" w:pos="8931"/>
        </w:tabs>
        <w:spacing w:before="240"/>
        <w:ind w:firstLine="720"/>
        <w:jc w:val="both"/>
        <w:rPr>
          <w:rFonts w:ascii="Arial" w:hAnsi="Arial" w:cs="Arial"/>
          <w:color w:val="FF0000"/>
          <w:szCs w:val="20"/>
        </w:rPr>
      </w:pPr>
      <w:r w:rsidRPr="005646D8">
        <w:rPr>
          <w:rFonts w:ascii="Arial" w:hAnsi="Arial" w:cs="Arial"/>
          <w:szCs w:val="20"/>
        </w:rPr>
        <w:t xml:space="preserve">Finančné prostriedky rozpočtované na krytie výdavkov (nákladov) správneho   fondu ústredia a pobočiek spolu v rozpise rozpočtu na tovary a služby v celkovej </w:t>
      </w:r>
      <w:r w:rsidRPr="005646D8">
        <w:rPr>
          <w:rFonts w:ascii="Arial" w:hAnsi="Arial" w:cs="Arial"/>
          <w:szCs w:val="20"/>
        </w:rPr>
        <w:br/>
        <w:t xml:space="preserve">sume </w:t>
      </w:r>
      <w:r w:rsidRPr="005646D8">
        <w:rPr>
          <w:rFonts w:ascii="Arial" w:hAnsi="Arial" w:cs="Arial"/>
          <w:szCs w:val="20"/>
        </w:rPr>
        <w:tab/>
        <w:t>36 194 tis. Eur,</w:t>
      </w:r>
      <w:r w:rsidRPr="005646D8">
        <w:rPr>
          <w:rFonts w:ascii="Arial" w:hAnsi="Arial" w:cs="Arial"/>
          <w:szCs w:val="20"/>
        </w:rPr>
        <w:br/>
        <w:t xml:space="preserve">boli za obdobie január až máj 2012 čerpané vo výške </w:t>
      </w:r>
      <w:r w:rsidRPr="005646D8">
        <w:rPr>
          <w:rFonts w:ascii="Arial" w:hAnsi="Arial" w:cs="Arial"/>
          <w:szCs w:val="20"/>
        </w:rPr>
        <w:tab/>
        <w:t>14</w:t>
      </w:r>
      <w:r w:rsidRPr="005646D8">
        <w:rPr>
          <w:rFonts w:ascii="Arial" w:hAnsi="Arial" w:cs="Arial"/>
          <w:color w:val="FF0000"/>
          <w:szCs w:val="20"/>
        </w:rPr>
        <w:t xml:space="preserve"> </w:t>
      </w:r>
      <w:r w:rsidRPr="005646D8">
        <w:rPr>
          <w:rFonts w:ascii="Arial" w:hAnsi="Arial" w:cs="Arial"/>
          <w:szCs w:val="20"/>
        </w:rPr>
        <w:t xml:space="preserve">650 tis. Eur, </w:t>
      </w:r>
      <w:r w:rsidRPr="005646D8">
        <w:rPr>
          <w:rFonts w:ascii="Arial" w:hAnsi="Arial" w:cs="Arial"/>
          <w:szCs w:val="20"/>
        </w:rPr>
        <w:br/>
        <w:t>čo je plnenie ročného rozpočtu na</w:t>
      </w:r>
      <w:r w:rsidRPr="005646D8">
        <w:rPr>
          <w:rFonts w:ascii="Arial" w:hAnsi="Arial" w:cs="Arial"/>
          <w:szCs w:val="20"/>
        </w:rPr>
        <w:tab/>
        <w:t>40,48 %,</w:t>
      </w:r>
    </w:p>
    <w:p w:rsidR="005646D8" w:rsidRPr="005646D8" w:rsidRDefault="005646D8" w:rsidP="005646D8">
      <w:pPr>
        <w:tabs>
          <w:tab w:val="right" w:pos="8931"/>
        </w:tabs>
        <w:spacing w:after="120"/>
        <w:jc w:val="both"/>
        <w:rPr>
          <w:rFonts w:ascii="Arial" w:hAnsi="Arial" w:cs="Arial"/>
          <w:szCs w:val="20"/>
        </w:rPr>
      </w:pPr>
      <w:r w:rsidRPr="005646D8">
        <w:rPr>
          <w:rFonts w:ascii="Arial" w:hAnsi="Arial" w:cs="Arial"/>
          <w:szCs w:val="20"/>
        </w:rPr>
        <w:t>a časového rozpisu na január až máj 2012</w:t>
      </w:r>
      <w:r w:rsidRPr="005646D8">
        <w:rPr>
          <w:rFonts w:ascii="Arial" w:hAnsi="Arial" w:cs="Arial"/>
          <w:szCs w:val="20"/>
        </w:rPr>
        <w:tab/>
        <w:t>91,69%.</w:t>
      </w:r>
    </w:p>
    <w:p w:rsidR="005646D8" w:rsidRPr="005646D8" w:rsidRDefault="005646D8" w:rsidP="005646D8">
      <w:pPr>
        <w:tabs>
          <w:tab w:val="right" w:pos="8931"/>
        </w:tabs>
        <w:spacing w:before="240" w:after="120"/>
        <w:ind w:firstLine="720"/>
        <w:jc w:val="both"/>
        <w:rPr>
          <w:rFonts w:ascii="Arial" w:hAnsi="Arial" w:cs="Arial"/>
          <w:szCs w:val="20"/>
        </w:rPr>
      </w:pPr>
      <w:r w:rsidRPr="005646D8">
        <w:rPr>
          <w:rFonts w:ascii="Arial" w:hAnsi="Arial" w:cs="Arial"/>
          <w:szCs w:val="20"/>
        </w:rPr>
        <w:t xml:space="preserve">Finančné prostriedky rozpočtované na krytie výdavkov (nákladov) správneho   fondu ústredia a pobočiek spolu v rozpise rozpočtu na bežné transfery v celkovej sume </w:t>
      </w:r>
      <w:r w:rsidRPr="005646D8">
        <w:rPr>
          <w:rFonts w:ascii="Arial" w:hAnsi="Arial" w:cs="Arial"/>
          <w:szCs w:val="20"/>
        </w:rPr>
        <w:tab/>
        <w:t>1 513 tis. Eur,</w:t>
      </w:r>
      <w:r w:rsidRPr="005646D8">
        <w:rPr>
          <w:rFonts w:ascii="Arial" w:hAnsi="Arial" w:cs="Arial"/>
          <w:szCs w:val="20"/>
        </w:rPr>
        <w:br/>
        <w:t xml:space="preserve">boli za obdobie január až máj  2012 čerpané vo výške </w:t>
      </w:r>
      <w:r w:rsidRPr="005646D8">
        <w:rPr>
          <w:rFonts w:ascii="Arial" w:hAnsi="Arial" w:cs="Arial"/>
          <w:szCs w:val="20"/>
        </w:rPr>
        <w:tab/>
        <w:t xml:space="preserve">619 tis. Eur, </w:t>
      </w:r>
      <w:r w:rsidRPr="005646D8">
        <w:rPr>
          <w:rFonts w:ascii="Arial" w:hAnsi="Arial" w:cs="Arial"/>
          <w:szCs w:val="20"/>
        </w:rPr>
        <w:br/>
        <w:t>čo je plnenie ročného rozpočtu na</w:t>
      </w:r>
      <w:r w:rsidRPr="005646D8">
        <w:rPr>
          <w:rFonts w:ascii="Arial" w:hAnsi="Arial" w:cs="Arial"/>
          <w:szCs w:val="20"/>
        </w:rPr>
        <w:tab/>
        <w:t>40,91 %,</w:t>
      </w:r>
      <w:r w:rsidRPr="005646D8">
        <w:rPr>
          <w:rFonts w:ascii="Arial" w:hAnsi="Arial" w:cs="Arial"/>
          <w:szCs w:val="20"/>
        </w:rPr>
        <w:br/>
        <w:t xml:space="preserve">a časového rozpisu na január až máj 2012 </w:t>
      </w:r>
      <w:r w:rsidRPr="005646D8">
        <w:rPr>
          <w:rFonts w:ascii="Arial" w:hAnsi="Arial" w:cs="Arial"/>
          <w:szCs w:val="20"/>
        </w:rPr>
        <w:tab/>
        <w:t>81,66 %.</w:t>
      </w:r>
    </w:p>
    <w:p w:rsidR="005646D8" w:rsidRPr="005646D8" w:rsidRDefault="005646D8" w:rsidP="005646D8">
      <w:pPr>
        <w:tabs>
          <w:tab w:val="right" w:pos="4536"/>
          <w:tab w:val="right" w:pos="6663"/>
          <w:tab w:val="right" w:pos="9072"/>
        </w:tabs>
        <w:spacing w:before="240"/>
        <w:ind w:firstLine="720"/>
        <w:rPr>
          <w:rFonts w:ascii="Arial" w:hAnsi="Arial" w:cs="Arial"/>
          <w:sz w:val="20"/>
          <w:szCs w:val="20"/>
        </w:rPr>
      </w:pPr>
      <w:r w:rsidRPr="005646D8">
        <w:rPr>
          <w:rFonts w:ascii="Arial" w:hAnsi="Arial" w:cs="Arial"/>
          <w:szCs w:val="20"/>
        </w:rPr>
        <w:lastRenderedPageBreak/>
        <w:t xml:space="preserve">Podľa vybraných </w:t>
      </w:r>
      <w:r w:rsidRPr="005646D8">
        <w:rPr>
          <w:rFonts w:ascii="Arial" w:hAnsi="Arial" w:cs="Arial"/>
          <w:b/>
          <w:szCs w:val="20"/>
        </w:rPr>
        <w:t>nákladových položiek</w:t>
      </w:r>
      <w:r w:rsidRPr="005646D8">
        <w:rPr>
          <w:rFonts w:ascii="Arial" w:hAnsi="Arial" w:cs="Arial"/>
          <w:szCs w:val="20"/>
        </w:rPr>
        <w:t xml:space="preserve"> analytického členenia bolo použitie správneho fondu takéto :</w:t>
      </w:r>
      <w:r w:rsidRPr="005646D8">
        <w:rPr>
          <w:rFonts w:ascii="Arial" w:hAnsi="Arial" w:cs="Arial"/>
          <w:sz w:val="20"/>
          <w:szCs w:val="20"/>
        </w:rPr>
        <w:t xml:space="preserve">  </w:t>
      </w:r>
      <w:r w:rsidRPr="005646D8">
        <w:rPr>
          <w:rFonts w:ascii="Arial" w:hAnsi="Arial" w:cs="Arial"/>
          <w:sz w:val="20"/>
          <w:szCs w:val="20"/>
        </w:rPr>
        <w:br/>
      </w:r>
      <w:r w:rsidRPr="005646D8">
        <w:rPr>
          <w:rFonts w:ascii="Arial" w:hAnsi="Arial" w:cs="Arial"/>
          <w:sz w:val="20"/>
          <w:szCs w:val="20"/>
        </w:rPr>
        <w:tab/>
      </w:r>
      <w:r w:rsidRPr="005646D8">
        <w:rPr>
          <w:rFonts w:ascii="Arial" w:hAnsi="Arial" w:cs="Arial"/>
          <w:sz w:val="20"/>
          <w:szCs w:val="20"/>
        </w:rPr>
        <w:tab/>
        <w:t xml:space="preserve"> </w:t>
      </w:r>
      <w:r w:rsidRPr="005646D8">
        <w:rPr>
          <w:rFonts w:ascii="Arial" w:hAnsi="Arial" w:cs="Arial"/>
          <w:sz w:val="20"/>
          <w:szCs w:val="20"/>
        </w:rPr>
        <w:tab/>
        <w:t>v tis. Eur</w:t>
      </w:r>
    </w:p>
    <w:tbl>
      <w:tblPr>
        <w:tblW w:w="8938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1260"/>
        <w:gridCol w:w="1260"/>
        <w:gridCol w:w="1260"/>
        <w:gridCol w:w="1440"/>
        <w:gridCol w:w="837"/>
        <w:gridCol w:w="721"/>
      </w:tblGrid>
      <w:tr w:rsidR="005646D8" w:rsidRPr="005646D8" w:rsidTr="00CA1E63">
        <w:trPr>
          <w:trHeight w:val="375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Rozpis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Rozpis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Skutočnosť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Skutočnosť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%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%</w:t>
            </w:r>
          </w:p>
        </w:tc>
      </w:tr>
      <w:tr w:rsidR="005646D8" w:rsidRPr="005646D8" w:rsidTr="00CA1E63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Ukazovateľ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rozpočtu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rozpočtu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za mesiac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za obdobie</w:t>
            </w:r>
          </w:p>
        </w:tc>
        <w:tc>
          <w:tcPr>
            <w:tcW w:w="8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plnenia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plnenia</w:t>
            </w:r>
          </w:p>
        </w:tc>
      </w:tr>
      <w:tr w:rsidR="005646D8" w:rsidRPr="005646D8" w:rsidTr="00CA1E63">
        <w:trPr>
          <w:trHeight w:val="246"/>
        </w:trPr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 xml:space="preserve">na rok 2012 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na január až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máj 2012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január až</w:t>
            </w:r>
          </w:p>
        </w:tc>
        <w:tc>
          <w:tcPr>
            <w:tcW w:w="8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(4/1)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(4/2)</w:t>
            </w:r>
          </w:p>
        </w:tc>
      </w:tr>
      <w:tr w:rsidR="005646D8" w:rsidRPr="005646D8" w:rsidTr="00CA1E63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 xml:space="preserve"> máj 2012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máj 2012</w:t>
            </w:r>
          </w:p>
        </w:tc>
        <w:tc>
          <w:tcPr>
            <w:tcW w:w="8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5646D8" w:rsidRPr="005646D8" w:rsidTr="00CA1E63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646D8">
              <w:rPr>
                <w:rFonts w:ascii="Arial" w:hAnsi="Arial" w:cs="Arial"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5646D8" w:rsidRPr="005646D8" w:rsidTr="00CA1E63">
        <w:trPr>
          <w:trHeight w:val="27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5646D8" w:rsidRPr="005646D8" w:rsidTr="00CA1E63">
        <w:trPr>
          <w:trHeight w:val="255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 - spotrebované nákupy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3 641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1 479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241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1 491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40,95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100,81</w:t>
            </w:r>
          </w:p>
        </w:tc>
      </w:tr>
      <w:tr w:rsidR="005646D8" w:rsidRPr="005646D8" w:rsidTr="00CA1E63">
        <w:trPr>
          <w:trHeight w:val="255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 - služby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26 887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12 176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1 832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11 043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41,07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90,69</w:t>
            </w:r>
          </w:p>
        </w:tc>
      </w:tr>
      <w:tr w:rsidR="005646D8" w:rsidRPr="005646D8" w:rsidTr="00CA1E63">
        <w:trPr>
          <w:trHeight w:val="255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 - osobné náklady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76 563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31 998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6 075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29 834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38,97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93,24</w:t>
            </w:r>
          </w:p>
        </w:tc>
      </w:tr>
      <w:tr w:rsidR="005646D8" w:rsidRPr="005646D8" w:rsidTr="00CA1E63">
        <w:trPr>
          <w:trHeight w:val="255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 - dane a poplatky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372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164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34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148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39,78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90,24</w:t>
            </w:r>
          </w:p>
        </w:tc>
      </w:tr>
      <w:tr w:rsidR="005646D8" w:rsidRPr="005646D8" w:rsidTr="00CA1E63">
        <w:trPr>
          <w:trHeight w:val="255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 - ostatné náklady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2 844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1 165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116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1 010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35,51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86,70</w:t>
            </w:r>
          </w:p>
        </w:tc>
      </w:tr>
    </w:tbl>
    <w:p w:rsidR="005646D8" w:rsidRPr="005646D8" w:rsidRDefault="005646D8" w:rsidP="005646D8">
      <w:pPr>
        <w:numPr>
          <w:ilvl w:val="2"/>
          <w:numId w:val="12"/>
        </w:numPr>
        <w:tabs>
          <w:tab w:val="right" w:pos="9180"/>
        </w:tabs>
        <w:spacing w:before="480" w:after="120"/>
        <w:jc w:val="both"/>
        <w:rPr>
          <w:rFonts w:ascii="Arial" w:hAnsi="Arial" w:cs="Arial"/>
          <w:b/>
          <w:szCs w:val="20"/>
        </w:rPr>
      </w:pPr>
      <w:r w:rsidRPr="005646D8">
        <w:rPr>
          <w:rFonts w:ascii="Arial" w:hAnsi="Arial" w:cs="Arial"/>
          <w:b/>
          <w:szCs w:val="20"/>
        </w:rPr>
        <w:t xml:space="preserve">Kapitálové výdavky </w:t>
      </w:r>
    </w:p>
    <w:p w:rsidR="005646D8" w:rsidRPr="005646D8" w:rsidRDefault="005646D8" w:rsidP="005646D8">
      <w:pPr>
        <w:tabs>
          <w:tab w:val="decimal" w:pos="8100"/>
        </w:tabs>
        <w:spacing w:before="240"/>
        <w:ind w:firstLine="720"/>
        <w:jc w:val="both"/>
        <w:rPr>
          <w:rFonts w:ascii="Arial" w:hAnsi="Arial" w:cs="Arial"/>
          <w:szCs w:val="20"/>
        </w:rPr>
      </w:pPr>
      <w:r w:rsidRPr="005646D8">
        <w:rPr>
          <w:rFonts w:ascii="Arial" w:hAnsi="Arial" w:cs="Arial"/>
          <w:szCs w:val="20"/>
        </w:rPr>
        <w:t>Vynaložené finančné prostriedky správneho fondu súvisiace s krytím kapitálových výdavkov za obdobie január až máj 2012 boli v sume</w:t>
      </w:r>
      <w:r w:rsidRPr="005646D8">
        <w:rPr>
          <w:rFonts w:ascii="Arial" w:hAnsi="Arial" w:cs="Arial"/>
          <w:szCs w:val="20"/>
        </w:rPr>
        <w:tab/>
        <w:t xml:space="preserve">  435 tis. Eur,</w:t>
      </w:r>
    </w:p>
    <w:p w:rsidR="005646D8" w:rsidRPr="005646D8" w:rsidRDefault="005646D8" w:rsidP="005646D8">
      <w:pPr>
        <w:tabs>
          <w:tab w:val="decimal" w:pos="8100"/>
          <w:tab w:val="right" w:pos="9180"/>
        </w:tabs>
        <w:jc w:val="both"/>
        <w:rPr>
          <w:rFonts w:ascii="Arial" w:hAnsi="Arial" w:cs="Arial"/>
          <w:szCs w:val="20"/>
        </w:rPr>
      </w:pPr>
      <w:r w:rsidRPr="005646D8">
        <w:rPr>
          <w:rFonts w:ascii="Arial" w:hAnsi="Arial" w:cs="Arial"/>
          <w:szCs w:val="20"/>
        </w:rPr>
        <w:t xml:space="preserve">čo z rozpisu rozpočtu na január až máj 2012 </w:t>
      </w:r>
      <w:r w:rsidRPr="005646D8">
        <w:rPr>
          <w:rFonts w:ascii="Arial" w:hAnsi="Arial" w:cs="Arial"/>
          <w:szCs w:val="20"/>
        </w:rPr>
        <w:tab/>
        <w:t xml:space="preserve"> 997 tis. Eur, </w:t>
      </w:r>
    </w:p>
    <w:p w:rsidR="005646D8" w:rsidRPr="005646D8" w:rsidRDefault="005646D8" w:rsidP="005646D8">
      <w:pPr>
        <w:tabs>
          <w:tab w:val="decimal" w:pos="8100"/>
          <w:tab w:val="right" w:pos="9180"/>
        </w:tabs>
        <w:jc w:val="both"/>
        <w:rPr>
          <w:rFonts w:ascii="Arial" w:hAnsi="Arial" w:cs="Arial"/>
          <w:szCs w:val="20"/>
        </w:rPr>
      </w:pPr>
      <w:r w:rsidRPr="005646D8">
        <w:rPr>
          <w:rFonts w:ascii="Arial" w:hAnsi="Arial" w:cs="Arial"/>
          <w:szCs w:val="20"/>
        </w:rPr>
        <w:t>je plnenie na 43,63 %,</w:t>
      </w:r>
    </w:p>
    <w:p w:rsidR="005646D8" w:rsidRPr="005646D8" w:rsidRDefault="005646D8" w:rsidP="005646D8">
      <w:pPr>
        <w:tabs>
          <w:tab w:val="decimal" w:pos="8100"/>
          <w:tab w:val="right" w:pos="9180"/>
        </w:tabs>
        <w:jc w:val="both"/>
        <w:rPr>
          <w:rFonts w:ascii="Arial" w:hAnsi="Arial" w:cs="Arial"/>
          <w:szCs w:val="20"/>
        </w:rPr>
      </w:pPr>
      <w:r w:rsidRPr="005646D8">
        <w:rPr>
          <w:rFonts w:ascii="Arial" w:hAnsi="Arial" w:cs="Arial"/>
          <w:szCs w:val="20"/>
        </w:rPr>
        <w:t xml:space="preserve">a z rozpisu rozpočtu na rok  2012 </w:t>
      </w:r>
      <w:r w:rsidRPr="005646D8">
        <w:rPr>
          <w:rFonts w:ascii="Arial" w:hAnsi="Arial" w:cs="Arial"/>
          <w:szCs w:val="20"/>
        </w:rPr>
        <w:tab/>
        <w:t xml:space="preserve">3 404 tis. Eur, </w:t>
      </w:r>
    </w:p>
    <w:p w:rsidR="005646D8" w:rsidRPr="005646D8" w:rsidRDefault="005646D8" w:rsidP="005646D8">
      <w:pPr>
        <w:tabs>
          <w:tab w:val="decimal" w:pos="8100"/>
          <w:tab w:val="right" w:pos="9180"/>
        </w:tabs>
        <w:jc w:val="both"/>
        <w:rPr>
          <w:rFonts w:ascii="Arial" w:hAnsi="Arial" w:cs="Arial"/>
          <w:szCs w:val="20"/>
        </w:rPr>
      </w:pPr>
      <w:r w:rsidRPr="005646D8">
        <w:rPr>
          <w:rFonts w:ascii="Arial" w:hAnsi="Arial" w:cs="Arial"/>
          <w:szCs w:val="20"/>
        </w:rPr>
        <w:t>je plnenie na 12,78 %.</w:t>
      </w:r>
    </w:p>
    <w:p w:rsidR="005646D8" w:rsidRPr="005646D8" w:rsidRDefault="005646D8" w:rsidP="005646D8">
      <w:pPr>
        <w:tabs>
          <w:tab w:val="decimal" w:pos="8100"/>
          <w:tab w:val="right" w:pos="9180"/>
        </w:tabs>
        <w:ind w:firstLine="709"/>
        <w:jc w:val="both"/>
        <w:rPr>
          <w:rFonts w:ascii="Arial" w:hAnsi="Arial" w:cs="Arial"/>
          <w:szCs w:val="20"/>
        </w:rPr>
      </w:pPr>
      <w:r w:rsidRPr="005646D8">
        <w:rPr>
          <w:rFonts w:ascii="Arial" w:hAnsi="Arial" w:cs="Arial"/>
          <w:szCs w:val="20"/>
        </w:rPr>
        <w:tab/>
      </w:r>
    </w:p>
    <w:p w:rsidR="005646D8" w:rsidRPr="005646D8" w:rsidRDefault="005646D8" w:rsidP="005646D8">
      <w:pPr>
        <w:tabs>
          <w:tab w:val="decimal" w:pos="8100"/>
          <w:tab w:val="right" w:pos="9180"/>
        </w:tabs>
        <w:ind w:firstLine="709"/>
        <w:jc w:val="both"/>
        <w:rPr>
          <w:rFonts w:ascii="Arial" w:hAnsi="Arial" w:cs="Arial"/>
          <w:szCs w:val="20"/>
        </w:rPr>
      </w:pPr>
      <w:r w:rsidRPr="005646D8">
        <w:rPr>
          <w:rFonts w:ascii="Arial" w:hAnsi="Arial" w:cs="Arial"/>
          <w:szCs w:val="20"/>
        </w:rPr>
        <w:t>V kategórii kapitálových výdavkov boli čerpané finančné prostriedky nasledovne:</w:t>
      </w:r>
    </w:p>
    <w:p w:rsidR="005646D8" w:rsidRPr="005646D8" w:rsidRDefault="005646D8" w:rsidP="005646D8">
      <w:pPr>
        <w:tabs>
          <w:tab w:val="decimal" w:pos="8100"/>
          <w:tab w:val="right" w:pos="9180"/>
        </w:tabs>
        <w:jc w:val="both"/>
        <w:rPr>
          <w:rFonts w:ascii="Arial" w:hAnsi="Arial" w:cs="Arial"/>
          <w:szCs w:val="20"/>
        </w:rPr>
      </w:pPr>
      <w:r w:rsidRPr="005646D8">
        <w:rPr>
          <w:rFonts w:ascii="Arial" w:hAnsi="Arial" w:cs="Arial"/>
          <w:szCs w:val="20"/>
        </w:rPr>
        <w:t>- na položke nákup softvéru vo výške</w:t>
      </w:r>
      <w:r w:rsidRPr="005646D8">
        <w:rPr>
          <w:rFonts w:ascii="Arial" w:hAnsi="Arial" w:cs="Arial"/>
          <w:szCs w:val="20"/>
        </w:rPr>
        <w:tab/>
        <w:t>8 tis. Eur,</w:t>
      </w:r>
    </w:p>
    <w:p w:rsidR="005646D8" w:rsidRPr="005646D8" w:rsidRDefault="005646D8" w:rsidP="005646D8">
      <w:pPr>
        <w:tabs>
          <w:tab w:val="decimal" w:pos="8100"/>
          <w:tab w:val="right" w:pos="9180"/>
        </w:tabs>
        <w:jc w:val="both"/>
        <w:rPr>
          <w:rFonts w:ascii="Arial" w:hAnsi="Arial" w:cs="Arial"/>
          <w:szCs w:val="20"/>
        </w:rPr>
      </w:pPr>
      <w:r w:rsidRPr="005646D8">
        <w:rPr>
          <w:rFonts w:ascii="Arial" w:hAnsi="Arial" w:cs="Arial"/>
          <w:szCs w:val="20"/>
        </w:rPr>
        <w:t>- na položke nákup výpočtovej techniky vo výške</w:t>
      </w:r>
      <w:r w:rsidRPr="005646D8">
        <w:rPr>
          <w:rFonts w:ascii="Arial" w:hAnsi="Arial" w:cs="Arial"/>
          <w:szCs w:val="20"/>
        </w:rPr>
        <w:tab/>
        <w:t>136 tis. Eur,</w:t>
      </w:r>
    </w:p>
    <w:p w:rsidR="005646D8" w:rsidRPr="005646D8" w:rsidRDefault="005646D8" w:rsidP="005646D8">
      <w:pPr>
        <w:tabs>
          <w:tab w:val="decimal" w:pos="8100"/>
          <w:tab w:val="right" w:pos="9180"/>
        </w:tabs>
        <w:jc w:val="both"/>
        <w:rPr>
          <w:rFonts w:ascii="Arial" w:hAnsi="Arial" w:cs="Arial"/>
          <w:szCs w:val="20"/>
        </w:rPr>
      </w:pPr>
      <w:r w:rsidRPr="005646D8">
        <w:rPr>
          <w:rFonts w:ascii="Arial" w:hAnsi="Arial" w:cs="Arial"/>
          <w:szCs w:val="20"/>
        </w:rPr>
        <w:t>- na položke nákup telekomunikačnej techniky vo výške</w:t>
      </w:r>
      <w:r w:rsidRPr="005646D8">
        <w:rPr>
          <w:rFonts w:ascii="Arial" w:hAnsi="Arial" w:cs="Arial"/>
          <w:szCs w:val="20"/>
        </w:rPr>
        <w:tab/>
        <w:t>6 tis. Eur,</w:t>
      </w:r>
    </w:p>
    <w:p w:rsidR="005646D8" w:rsidRPr="005646D8" w:rsidRDefault="005646D8" w:rsidP="005646D8">
      <w:pPr>
        <w:tabs>
          <w:tab w:val="decimal" w:pos="8100"/>
          <w:tab w:val="right" w:pos="9180"/>
        </w:tabs>
        <w:jc w:val="both"/>
        <w:rPr>
          <w:rFonts w:ascii="Arial" w:hAnsi="Arial" w:cs="Arial"/>
          <w:szCs w:val="20"/>
        </w:rPr>
      </w:pPr>
      <w:r w:rsidRPr="005646D8">
        <w:rPr>
          <w:rFonts w:ascii="Arial" w:hAnsi="Arial" w:cs="Arial"/>
          <w:szCs w:val="20"/>
        </w:rPr>
        <w:t>- na položke nákup prevádzkových strojov, prístrojov vo výške</w:t>
      </w:r>
      <w:r w:rsidRPr="005646D8">
        <w:rPr>
          <w:rFonts w:ascii="Arial" w:hAnsi="Arial" w:cs="Arial"/>
          <w:szCs w:val="20"/>
        </w:rPr>
        <w:tab/>
        <w:t>153 tis. Eur,</w:t>
      </w:r>
    </w:p>
    <w:p w:rsidR="005646D8" w:rsidRPr="005646D8" w:rsidRDefault="005646D8" w:rsidP="005646D8">
      <w:pPr>
        <w:tabs>
          <w:tab w:val="decimal" w:pos="8100"/>
          <w:tab w:val="right" w:pos="9180"/>
        </w:tabs>
        <w:jc w:val="both"/>
        <w:rPr>
          <w:rFonts w:ascii="Arial" w:hAnsi="Arial" w:cs="Arial"/>
          <w:szCs w:val="20"/>
        </w:rPr>
      </w:pPr>
      <w:r w:rsidRPr="005646D8">
        <w:rPr>
          <w:rFonts w:ascii="Arial" w:hAnsi="Arial" w:cs="Arial"/>
          <w:szCs w:val="20"/>
        </w:rPr>
        <w:t>- na položke nákup špeciálnych strojov, prístrojov vo výške</w:t>
      </w:r>
      <w:r w:rsidRPr="005646D8">
        <w:rPr>
          <w:rFonts w:ascii="Arial" w:hAnsi="Arial" w:cs="Arial"/>
          <w:szCs w:val="20"/>
        </w:rPr>
        <w:tab/>
        <w:t>23 tis. Eur,</w:t>
      </w:r>
    </w:p>
    <w:p w:rsidR="005646D8" w:rsidRPr="005646D8" w:rsidRDefault="005646D8" w:rsidP="005646D8">
      <w:pPr>
        <w:tabs>
          <w:tab w:val="decimal" w:pos="8100"/>
          <w:tab w:val="right" w:pos="9180"/>
        </w:tabs>
        <w:jc w:val="both"/>
        <w:rPr>
          <w:rFonts w:ascii="Arial" w:hAnsi="Arial" w:cs="Arial"/>
          <w:szCs w:val="20"/>
        </w:rPr>
      </w:pPr>
      <w:r w:rsidRPr="005646D8">
        <w:rPr>
          <w:rFonts w:ascii="Arial" w:hAnsi="Arial" w:cs="Arial"/>
          <w:szCs w:val="20"/>
        </w:rPr>
        <w:t xml:space="preserve">- na položke prípravná a projektová dokumentácia vo výške </w:t>
      </w:r>
      <w:r w:rsidRPr="005646D8">
        <w:rPr>
          <w:rFonts w:ascii="Arial" w:hAnsi="Arial" w:cs="Arial"/>
          <w:szCs w:val="20"/>
        </w:rPr>
        <w:tab/>
        <w:t>5 tis. Eur,</w:t>
      </w:r>
    </w:p>
    <w:p w:rsidR="005646D8" w:rsidRPr="005646D8" w:rsidRDefault="005646D8" w:rsidP="005646D8">
      <w:pPr>
        <w:tabs>
          <w:tab w:val="decimal" w:pos="8100"/>
          <w:tab w:val="right" w:pos="9180"/>
        </w:tabs>
        <w:jc w:val="both"/>
        <w:rPr>
          <w:rFonts w:ascii="Arial" w:hAnsi="Arial" w:cs="Arial"/>
          <w:szCs w:val="20"/>
        </w:rPr>
      </w:pPr>
      <w:r w:rsidRPr="005646D8">
        <w:rPr>
          <w:rFonts w:ascii="Arial" w:hAnsi="Arial" w:cs="Arial"/>
          <w:szCs w:val="20"/>
        </w:rPr>
        <w:t>- na položke realizácia stavieb a ich technické zhodnotenie vo výške</w:t>
      </w:r>
      <w:r w:rsidRPr="005646D8">
        <w:rPr>
          <w:rFonts w:ascii="Arial" w:hAnsi="Arial" w:cs="Arial"/>
          <w:szCs w:val="20"/>
        </w:rPr>
        <w:tab/>
        <w:t xml:space="preserve">104 tis. Eur. </w:t>
      </w:r>
    </w:p>
    <w:p w:rsidR="005646D8" w:rsidRPr="005646D8" w:rsidRDefault="005646D8" w:rsidP="005646D8">
      <w:pPr>
        <w:tabs>
          <w:tab w:val="left" w:pos="720"/>
          <w:tab w:val="decimal" w:pos="8222"/>
        </w:tabs>
        <w:spacing w:before="480" w:after="120"/>
        <w:jc w:val="both"/>
        <w:rPr>
          <w:rFonts w:ascii="Arial" w:hAnsi="Arial"/>
          <w:b/>
          <w:sz w:val="28"/>
          <w:szCs w:val="28"/>
        </w:rPr>
      </w:pPr>
      <w:r w:rsidRPr="005646D8">
        <w:rPr>
          <w:rFonts w:ascii="Arial" w:hAnsi="Arial"/>
          <w:b/>
          <w:sz w:val="28"/>
          <w:szCs w:val="28"/>
        </w:rPr>
        <w:t>4.</w:t>
      </w:r>
      <w:r w:rsidRPr="005646D8">
        <w:rPr>
          <w:rFonts w:ascii="Arial" w:hAnsi="Arial"/>
          <w:b/>
          <w:sz w:val="28"/>
          <w:szCs w:val="28"/>
        </w:rPr>
        <w:tab/>
        <w:t>Výdavky na dávky, ktoré hradí štát</w:t>
      </w:r>
    </w:p>
    <w:p w:rsidR="005646D8" w:rsidRPr="005646D8" w:rsidRDefault="005646D8" w:rsidP="005646D8">
      <w:pPr>
        <w:tabs>
          <w:tab w:val="decimal" w:pos="8280"/>
        </w:tabs>
        <w:spacing w:before="240" w:after="120"/>
        <w:ind w:firstLine="709"/>
        <w:jc w:val="both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t xml:space="preserve">Na výplatu dávok, ktoré uhrádza štát podľa § 168a a § 285 písm. a) až m) zákona o sociálnom poistení, poukázalo MPSVR SR Sociálnej poisťovni v hodnotenom období finančné prostriedky v sume </w:t>
      </w:r>
      <w:r w:rsidRPr="005646D8">
        <w:rPr>
          <w:rFonts w:ascii="Arial" w:hAnsi="Arial"/>
          <w:szCs w:val="20"/>
        </w:rPr>
        <w:tab/>
        <w:t>19 357 tis. Eur.</w:t>
      </w:r>
    </w:p>
    <w:p w:rsidR="005646D8" w:rsidRPr="005646D8" w:rsidRDefault="005646D8" w:rsidP="005646D8">
      <w:pPr>
        <w:tabs>
          <w:tab w:val="decimal" w:pos="8280"/>
        </w:tabs>
        <w:spacing w:before="240" w:after="120"/>
        <w:ind w:firstLine="709"/>
        <w:jc w:val="both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t>Tieto dávky boli vyplatené v sume</w:t>
      </w:r>
      <w:r w:rsidRPr="005646D8">
        <w:rPr>
          <w:rFonts w:ascii="Arial" w:hAnsi="Arial"/>
          <w:szCs w:val="20"/>
        </w:rPr>
        <w:tab/>
        <w:t>20 219 tis. Eur,</w:t>
      </w:r>
      <w:r w:rsidRPr="005646D8">
        <w:rPr>
          <w:rFonts w:ascii="Arial" w:hAnsi="Arial"/>
          <w:szCs w:val="20"/>
        </w:rPr>
        <w:br/>
        <w:t xml:space="preserve">čo zo schváleného rozpočtu na rok 2012 v sume </w:t>
      </w:r>
      <w:r w:rsidRPr="005646D8">
        <w:rPr>
          <w:rFonts w:ascii="Arial" w:hAnsi="Arial"/>
          <w:szCs w:val="20"/>
        </w:rPr>
        <w:tab/>
        <w:t>44 847 tis. Eur</w:t>
      </w:r>
      <w:r w:rsidRPr="005646D8">
        <w:rPr>
          <w:rFonts w:ascii="Arial" w:hAnsi="Arial"/>
          <w:szCs w:val="20"/>
        </w:rPr>
        <w:br/>
        <w:t>predstavuje plnenie na 45,08 %.</w:t>
      </w:r>
    </w:p>
    <w:p w:rsidR="005646D8" w:rsidRPr="005646D8" w:rsidRDefault="005646D8" w:rsidP="005646D8">
      <w:pPr>
        <w:tabs>
          <w:tab w:val="decimal" w:pos="8280"/>
        </w:tabs>
        <w:spacing w:before="240" w:after="120"/>
        <w:ind w:firstLine="709"/>
        <w:jc w:val="both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t>Súčasťou dávok, ktoré hradí štát sú tiež výdavky na vianočný príspevok a náklady spojené s jeho výplatou, ktoré boli v hodnotenom období vyplatené v sume 953 tis. Eur a výdavky na príplatok k dôchodku politickým väzňom a náklady spojené s jeho výplatou, ktoré predstavovali sumu 1 283 tis. Eur.</w:t>
      </w:r>
    </w:p>
    <w:p w:rsidR="005646D8" w:rsidRPr="005646D8" w:rsidRDefault="005646D8" w:rsidP="005646D8">
      <w:pPr>
        <w:tabs>
          <w:tab w:val="center" w:pos="-3119"/>
        </w:tabs>
        <w:spacing w:before="240" w:after="120"/>
        <w:ind w:firstLine="709"/>
        <w:jc w:val="both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lastRenderedPageBreak/>
        <w:t xml:space="preserve">Z rozdielu príjmov a výdavkov v hodnotenom období vyplýva pohľadávka Sociálnej poisťovne voči MPSVR SR v sume 862 tis. Eur. V zmysle Zmluvy o poukazovaní rozpočtových prostriedkov, ktoré poskytuje štát na úhradu nákladov na plnenia podľa § 168a a § 285 ods. písm. a) až m) zákona o sociálnom poistení a o ich zúčtovaní sa pohľadávka </w:t>
      </w:r>
      <w:proofErr w:type="spellStart"/>
      <w:r w:rsidRPr="005646D8">
        <w:rPr>
          <w:rFonts w:ascii="Arial" w:hAnsi="Arial"/>
          <w:szCs w:val="20"/>
        </w:rPr>
        <w:t>vysporiada</w:t>
      </w:r>
      <w:proofErr w:type="spellEnd"/>
      <w:r w:rsidRPr="005646D8">
        <w:rPr>
          <w:rFonts w:ascii="Arial" w:hAnsi="Arial"/>
          <w:szCs w:val="20"/>
        </w:rPr>
        <w:t xml:space="preserve"> pri poukazovaní zálohy na nasledujúci mesiac.  </w:t>
      </w:r>
    </w:p>
    <w:p w:rsidR="005646D8" w:rsidRPr="005646D8" w:rsidRDefault="005646D8" w:rsidP="005646D8">
      <w:pPr>
        <w:spacing w:before="240" w:after="120"/>
        <w:ind w:firstLine="708"/>
        <w:jc w:val="both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t>Od 1. septembra 2009 vypláca Sociálna poisťovňa ďalšiu dávku, ktorú uhrádza štát. Ide o p</w:t>
      </w:r>
      <w:r w:rsidRPr="005646D8">
        <w:rPr>
          <w:rFonts w:ascii="Arial" w:hAnsi="Arial" w:cs="Arial"/>
          <w:bCs/>
        </w:rPr>
        <w:t xml:space="preserve">ríspevok účastníkom národného boja za oslobodenie a vdovám a vdovcom po týchto osobách (ďalej len „príspevok“) podľa § 285 písm. n) zákona o sociálnom poistení v znení </w:t>
      </w:r>
      <w:hyperlink r:id="rId13" w:tgtFrame="_blank" w:history="1">
        <w:r w:rsidRPr="005646D8">
          <w:rPr>
            <w:rFonts w:ascii="Arial" w:hAnsi="Arial" w:cs="Arial"/>
            <w:bCs/>
          </w:rPr>
          <w:t>zákona č. 285/2009 Z. z o poskytovaní príspevku účastníkom národného boja za oslobodenie a vdovám a vdovcom po týchto osobách a o zmene a doplnení niektorých zákonov.</w:t>
        </w:r>
      </w:hyperlink>
      <w:r w:rsidRPr="005646D8">
        <w:rPr>
          <w:rFonts w:ascii="Arial" w:hAnsi="Arial" w:cs="Arial"/>
          <w:bCs/>
        </w:rPr>
        <w:t xml:space="preserve"> </w:t>
      </w:r>
      <w:r w:rsidRPr="005646D8">
        <w:rPr>
          <w:rFonts w:ascii="Arial" w:hAnsi="Arial"/>
          <w:szCs w:val="20"/>
        </w:rPr>
        <w:t>F</w:t>
      </w:r>
      <w:r w:rsidRPr="005646D8">
        <w:rPr>
          <w:rFonts w:ascii="Arial" w:hAnsi="Arial" w:cs="Arial"/>
          <w:bCs/>
        </w:rPr>
        <w:t xml:space="preserve">inančné prostriedky poukazuje Sociálnej poisťovni Ministerstvo obrany Slovenskej republiky (MO SR) v mesačnej periodicite na základe vyčíslenia sumy, ktorá bola vyplatená na príspevok a na úhradu výdavkov spojených s jeho výplatou. </w:t>
      </w:r>
    </w:p>
    <w:p w:rsidR="005646D8" w:rsidRPr="005646D8" w:rsidRDefault="005646D8" w:rsidP="007C4BBA">
      <w:pPr>
        <w:tabs>
          <w:tab w:val="left" w:pos="7560"/>
        </w:tabs>
        <w:spacing w:before="240" w:after="120"/>
        <w:ind w:firstLine="720"/>
        <w:jc w:val="both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t xml:space="preserve">Výdavky na príspevok a na úhradu výdavkov spojených s jeho výplatou boli v hodnotenom období vyčíslené v sume 784 tis. Eur. MO SR Sociálnej poisťovni v hodnotenom období poukázalo finančné prostriedky na výdavky, ktoré sa viažu k hodnotenému obdobiu roka 2012 v sume 476 tis. Eur. Záväzok MO SR voči Sociálnej poisťovni v sume 308 tis. Eur bude vyrovnaný v nasledujúcom období. </w:t>
      </w:r>
    </w:p>
    <w:p w:rsidR="005646D8" w:rsidRPr="005646D8" w:rsidRDefault="005646D8" w:rsidP="005646D8">
      <w:pPr>
        <w:widowControl w:val="0"/>
        <w:tabs>
          <w:tab w:val="left" w:pos="709"/>
        </w:tabs>
        <w:spacing w:before="240" w:after="120"/>
        <w:jc w:val="both"/>
        <w:rPr>
          <w:rFonts w:ascii="Arial" w:hAnsi="Arial"/>
          <w:b/>
          <w:sz w:val="28"/>
          <w:szCs w:val="28"/>
        </w:rPr>
      </w:pPr>
      <w:r w:rsidRPr="005646D8">
        <w:rPr>
          <w:rFonts w:ascii="Arial" w:hAnsi="Arial"/>
          <w:b/>
          <w:sz w:val="28"/>
          <w:szCs w:val="28"/>
        </w:rPr>
        <w:t>5.</w:t>
      </w:r>
      <w:r w:rsidRPr="005646D8">
        <w:rPr>
          <w:rFonts w:ascii="Arial" w:hAnsi="Arial"/>
          <w:b/>
          <w:sz w:val="28"/>
          <w:szCs w:val="28"/>
        </w:rPr>
        <w:tab/>
        <w:t>Záver</w:t>
      </w:r>
    </w:p>
    <w:p w:rsidR="005646D8" w:rsidRPr="005646D8" w:rsidRDefault="005646D8" w:rsidP="005646D8">
      <w:pPr>
        <w:widowControl w:val="0"/>
        <w:tabs>
          <w:tab w:val="left" w:pos="709"/>
        </w:tabs>
        <w:spacing w:before="240" w:after="120"/>
        <w:ind w:firstLine="720"/>
        <w:jc w:val="both"/>
        <w:rPr>
          <w:rFonts w:ascii="Arial" w:hAnsi="Arial" w:cs="Arial"/>
        </w:rPr>
      </w:pPr>
      <w:r w:rsidRPr="005646D8">
        <w:rPr>
          <w:rFonts w:ascii="Arial" w:hAnsi="Arial" w:cs="Arial"/>
        </w:rPr>
        <w:t xml:space="preserve">Z porovnania skutočných príjmov a výdavkov Sociálnej poisťovne </w:t>
      </w:r>
      <w:r w:rsidRPr="005646D8">
        <w:rPr>
          <w:rFonts w:ascii="Arial" w:hAnsi="Arial" w:cs="Arial"/>
        </w:rPr>
        <w:br/>
        <w:t>k 31. máju 2012 vyplývajú takéto bilančné rozdiely v hospodárení Sociálnej poisťovne podľa jednotlivých fondov:</w:t>
      </w:r>
    </w:p>
    <w:tbl>
      <w:tblPr>
        <w:tblW w:w="902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6"/>
        <w:gridCol w:w="1160"/>
        <w:gridCol w:w="1320"/>
        <w:gridCol w:w="1386"/>
        <w:gridCol w:w="1030"/>
      </w:tblGrid>
      <w:tr w:rsidR="005646D8" w:rsidRPr="005646D8" w:rsidTr="00CA1E63">
        <w:trPr>
          <w:trHeight w:val="255"/>
        </w:trPr>
        <w:tc>
          <w:tcPr>
            <w:tcW w:w="4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v tis. Eur</w:t>
            </w:r>
          </w:p>
        </w:tc>
      </w:tr>
      <w:tr w:rsidR="005646D8" w:rsidRPr="005646D8" w:rsidTr="00CA1E63">
        <w:trPr>
          <w:trHeight w:val="1020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 xml:space="preserve">Fond  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Bilančný rozdiel v bežnom roku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Prevod zostatku z roku 2011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 xml:space="preserve">Krytie deficitu  v dôchodkovom poistení 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Bilančný rozdiel k 31.5.2012</w:t>
            </w:r>
          </w:p>
        </w:tc>
      </w:tr>
      <w:tr w:rsidR="005646D8" w:rsidRPr="005646D8" w:rsidTr="00CA1E63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Základný fond nemocenského poistenia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-27 239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46 289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19 050</w:t>
            </w:r>
          </w:p>
        </w:tc>
      </w:tr>
      <w:tr w:rsidR="005646D8" w:rsidRPr="005646D8" w:rsidTr="00CA1E63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Základný fond starobného poistenia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-367 360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267 428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260 000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160 068</w:t>
            </w:r>
          </w:p>
        </w:tc>
      </w:tr>
      <w:tr w:rsidR="005646D8" w:rsidRPr="005646D8" w:rsidTr="00CA1E63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Základný fond invalidného poistenia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28 294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68 819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-60 000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37 113</w:t>
            </w:r>
          </w:p>
        </w:tc>
      </w:tr>
      <w:tr w:rsidR="005646D8" w:rsidRPr="005646D8" w:rsidTr="00CA1E63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Základný fond úrazového poistenia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34 948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26 287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61 235</w:t>
            </w:r>
          </w:p>
        </w:tc>
      </w:tr>
      <w:tr w:rsidR="005646D8" w:rsidRPr="005646D8" w:rsidTr="00CA1E63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Základný fond garančného poistenia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4 641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49 398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54 039</w:t>
            </w:r>
          </w:p>
        </w:tc>
      </w:tr>
      <w:tr w:rsidR="005646D8" w:rsidRPr="005646D8" w:rsidTr="00CA1E63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Základný fond poistenia v nezamestnanosti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43 096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38 735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81 831</w:t>
            </w:r>
          </w:p>
        </w:tc>
      </w:tr>
      <w:tr w:rsidR="005646D8" w:rsidRPr="005646D8" w:rsidTr="00CA1E63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Rezervný fond solidarity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307 487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16 399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-200 000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123 886</w:t>
            </w:r>
          </w:p>
        </w:tc>
      </w:tr>
      <w:tr w:rsidR="005646D8" w:rsidRPr="005646D8" w:rsidTr="00CA1E63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Správny fond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3 634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43 526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47 160</w:t>
            </w:r>
          </w:p>
        </w:tc>
      </w:tr>
      <w:tr w:rsidR="005646D8" w:rsidRPr="005646D8" w:rsidTr="00CA1E63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Spolu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27 501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556 881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584 382</w:t>
            </w:r>
          </w:p>
        </w:tc>
      </w:tr>
    </w:tbl>
    <w:p w:rsidR="005646D8" w:rsidRPr="005646D8" w:rsidRDefault="005646D8" w:rsidP="005646D8">
      <w:pPr>
        <w:widowControl w:val="0"/>
        <w:tabs>
          <w:tab w:val="left" w:pos="709"/>
        </w:tabs>
        <w:spacing w:after="120"/>
        <w:jc w:val="both"/>
        <w:rPr>
          <w:rFonts w:ascii="Arial" w:hAnsi="Arial" w:cs="Arial"/>
        </w:rPr>
      </w:pPr>
    </w:p>
    <w:p w:rsidR="005646D8" w:rsidRPr="005646D8" w:rsidRDefault="005646D8" w:rsidP="005646D8">
      <w:pPr>
        <w:tabs>
          <w:tab w:val="decimal" w:pos="8100"/>
        </w:tabs>
        <w:spacing w:after="120"/>
        <w:ind w:right="-159" w:firstLine="720"/>
        <w:jc w:val="both"/>
        <w:rPr>
          <w:rFonts w:ascii="Arial" w:hAnsi="Arial" w:cs="Arial"/>
          <w:szCs w:val="20"/>
        </w:rPr>
      </w:pPr>
      <w:r w:rsidRPr="005646D8">
        <w:rPr>
          <w:rFonts w:ascii="Arial" w:hAnsi="Arial" w:cs="Arial"/>
          <w:szCs w:val="20"/>
        </w:rPr>
        <w:t xml:space="preserve">Hospodárenie Sociálnej poisťovne v sledovanom období skončilo s lepším výsledkom o 128 853 tis. Eur, ako sa predpokladalo v časovom rozpise. </w:t>
      </w:r>
    </w:p>
    <w:p w:rsidR="005646D8" w:rsidRPr="005646D8" w:rsidRDefault="005646D8" w:rsidP="005646D8">
      <w:pPr>
        <w:tabs>
          <w:tab w:val="decimal" w:pos="8100"/>
        </w:tabs>
        <w:spacing w:after="120"/>
        <w:ind w:right="-159"/>
        <w:jc w:val="center"/>
        <w:rPr>
          <w:rFonts w:ascii="Arial" w:hAnsi="Arial" w:cs="Arial"/>
          <w:szCs w:val="20"/>
        </w:rPr>
      </w:pPr>
      <w:r w:rsidRPr="005646D8">
        <w:rPr>
          <w:rFonts w:ascii="Arial" w:hAnsi="Arial" w:cs="Arial"/>
          <w:szCs w:val="20"/>
        </w:rPr>
        <w:t xml:space="preserve">x  </w:t>
      </w:r>
      <w:proofErr w:type="spellStart"/>
      <w:r w:rsidRPr="005646D8">
        <w:rPr>
          <w:rFonts w:ascii="Arial" w:hAnsi="Arial" w:cs="Arial"/>
          <w:szCs w:val="20"/>
        </w:rPr>
        <w:t>x</w:t>
      </w:r>
      <w:proofErr w:type="spellEnd"/>
      <w:r w:rsidRPr="005646D8">
        <w:rPr>
          <w:rFonts w:ascii="Arial" w:hAnsi="Arial" w:cs="Arial"/>
          <w:szCs w:val="20"/>
        </w:rPr>
        <w:t xml:space="preserve">  </w:t>
      </w:r>
      <w:proofErr w:type="spellStart"/>
      <w:r w:rsidRPr="005646D8">
        <w:rPr>
          <w:rFonts w:ascii="Arial" w:hAnsi="Arial" w:cs="Arial"/>
          <w:szCs w:val="20"/>
        </w:rPr>
        <w:t>x</w:t>
      </w:r>
      <w:proofErr w:type="spellEnd"/>
    </w:p>
    <w:p w:rsidR="005646D8" w:rsidRPr="005646D8" w:rsidRDefault="005646D8" w:rsidP="005646D8">
      <w:pPr>
        <w:jc w:val="center"/>
        <w:rPr>
          <w:rFonts w:ascii="Arial" w:hAnsi="Arial" w:cs="Arial"/>
          <w:b/>
          <w:szCs w:val="20"/>
        </w:rPr>
      </w:pPr>
      <w:r w:rsidRPr="005646D8">
        <w:rPr>
          <w:rFonts w:ascii="Arial" w:hAnsi="Arial" w:cs="Arial"/>
          <w:b/>
          <w:szCs w:val="20"/>
        </w:rPr>
        <w:t>Informácia o príspevkoch na SDS v mesiacoch január až máj 2012</w:t>
      </w:r>
    </w:p>
    <w:p w:rsidR="005646D8" w:rsidRPr="005646D8" w:rsidRDefault="005646D8" w:rsidP="005646D8">
      <w:pPr>
        <w:tabs>
          <w:tab w:val="decimal" w:pos="8280"/>
        </w:tabs>
        <w:spacing w:before="240" w:after="120"/>
        <w:ind w:firstLine="709"/>
        <w:jc w:val="both"/>
        <w:rPr>
          <w:rFonts w:ascii="Arial" w:hAnsi="Arial" w:cs="Arial"/>
          <w:szCs w:val="20"/>
        </w:rPr>
      </w:pPr>
      <w:r w:rsidRPr="005646D8">
        <w:rPr>
          <w:rFonts w:ascii="Arial" w:hAnsi="Arial" w:cs="Arial"/>
          <w:szCs w:val="20"/>
        </w:rPr>
        <w:t>Sociálna poisťovňa vybrala príspevky na SDS vo výške</w:t>
      </w:r>
      <w:r w:rsidRPr="005646D8">
        <w:rPr>
          <w:rFonts w:ascii="Arial" w:hAnsi="Arial" w:cs="Arial"/>
          <w:szCs w:val="20"/>
        </w:rPr>
        <w:tab/>
        <w:t>366 060 tis. Eur,</w:t>
      </w:r>
      <w:r w:rsidRPr="005646D8">
        <w:rPr>
          <w:rFonts w:ascii="Arial" w:hAnsi="Arial" w:cs="Arial"/>
          <w:szCs w:val="20"/>
        </w:rPr>
        <w:br/>
        <w:t>čo je 42,52 % v roku 2012 predpokladanej sumy</w:t>
      </w:r>
      <w:r w:rsidRPr="005646D8">
        <w:rPr>
          <w:rFonts w:ascii="Arial" w:hAnsi="Arial" w:cs="Arial"/>
          <w:szCs w:val="20"/>
        </w:rPr>
        <w:tab/>
        <w:t>860 816 tis. Eur.</w:t>
      </w:r>
    </w:p>
    <w:p w:rsidR="005646D8" w:rsidRPr="005646D8" w:rsidRDefault="005646D8" w:rsidP="005646D8">
      <w:pPr>
        <w:tabs>
          <w:tab w:val="decimal" w:pos="8280"/>
          <w:tab w:val="decimal" w:pos="9000"/>
        </w:tabs>
        <w:ind w:firstLine="709"/>
        <w:jc w:val="both"/>
        <w:rPr>
          <w:rFonts w:ascii="Arial" w:hAnsi="Arial" w:cs="Arial"/>
          <w:szCs w:val="20"/>
        </w:rPr>
      </w:pPr>
      <w:r w:rsidRPr="005646D8">
        <w:rPr>
          <w:rFonts w:ascii="Arial" w:hAnsi="Arial" w:cs="Arial"/>
          <w:szCs w:val="20"/>
        </w:rPr>
        <w:lastRenderedPageBreak/>
        <w:t>DSS boli za EAO postúpené príspevky na SDS v sume</w:t>
      </w:r>
      <w:r w:rsidRPr="005646D8">
        <w:rPr>
          <w:rFonts w:ascii="Arial" w:hAnsi="Arial" w:cs="Arial"/>
          <w:szCs w:val="20"/>
        </w:rPr>
        <w:tab/>
      </w:r>
      <w:r w:rsidRPr="005646D8">
        <w:rPr>
          <w:rFonts w:ascii="Arial" w:hAnsi="Arial" w:cs="Arial"/>
          <w:b/>
          <w:szCs w:val="20"/>
        </w:rPr>
        <w:t>340 334 tis. Eur</w:t>
      </w:r>
      <w:r w:rsidRPr="005646D8">
        <w:rPr>
          <w:rFonts w:ascii="Arial" w:hAnsi="Arial" w:cs="Arial"/>
          <w:szCs w:val="20"/>
        </w:rPr>
        <w:t>,</w:t>
      </w:r>
      <w:r w:rsidRPr="005646D8">
        <w:rPr>
          <w:rFonts w:ascii="Arial" w:hAnsi="Arial" w:cs="Arial"/>
          <w:szCs w:val="20"/>
        </w:rPr>
        <w:br/>
        <w:t>čo je 43,11 % v roku 2012 predpokladanej sumy</w:t>
      </w:r>
      <w:r w:rsidRPr="005646D8">
        <w:rPr>
          <w:rFonts w:ascii="Arial" w:hAnsi="Arial" w:cs="Arial"/>
          <w:szCs w:val="20"/>
        </w:rPr>
        <w:tab/>
        <w:t>789 378 tis. Eur.</w:t>
      </w:r>
      <w:r w:rsidRPr="005646D8">
        <w:rPr>
          <w:rFonts w:ascii="Arial" w:hAnsi="Arial" w:cs="Arial"/>
          <w:szCs w:val="20"/>
        </w:rPr>
        <w:br/>
        <w:t>V tom príspevky na SDS za:</w:t>
      </w:r>
    </w:p>
    <w:p w:rsidR="005646D8" w:rsidRPr="005646D8" w:rsidRDefault="005646D8" w:rsidP="005646D8">
      <w:pPr>
        <w:tabs>
          <w:tab w:val="decimal" w:pos="8280"/>
        </w:tabs>
        <w:ind w:firstLine="709"/>
        <w:jc w:val="both"/>
        <w:rPr>
          <w:rFonts w:ascii="Arial" w:hAnsi="Arial" w:cs="Arial"/>
          <w:szCs w:val="20"/>
        </w:rPr>
      </w:pPr>
      <w:r w:rsidRPr="005646D8">
        <w:rPr>
          <w:rFonts w:ascii="Arial" w:hAnsi="Arial" w:cs="Arial"/>
          <w:szCs w:val="20"/>
        </w:rPr>
        <w:t>- zamestnancov</w:t>
      </w:r>
      <w:r w:rsidRPr="005646D8">
        <w:rPr>
          <w:rFonts w:ascii="Arial" w:hAnsi="Arial" w:cs="Arial"/>
          <w:szCs w:val="20"/>
        </w:rPr>
        <w:tab/>
        <w:t>318 394 tis. Eur,</w:t>
      </w:r>
    </w:p>
    <w:p w:rsidR="005646D8" w:rsidRPr="005646D8" w:rsidRDefault="005646D8" w:rsidP="005646D8">
      <w:pPr>
        <w:tabs>
          <w:tab w:val="decimal" w:pos="8280"/>
        </w:tabs>
        <w:ind w:firstLine="709"/>
        <w:jc w:val="both"/>
        <w:rPr>
          <w:rFonts w:ascii="Arial" w:hAnsi="Arial" w:cs="Arial"/>
          <w:szCs w:val="20"/>
        </w:rPr>
      </w:pPr>
      <w:r w:rsidRPr="005646D8">
        <w:rPr>
          <w:rFonts w:ascii="Arial" w:hAnsi="Arial" w:cs="Arial"/>
          <w:szCs w:val="20"/>
        </w:rPr>
        <w:t>- SZČO</w:t>
      </w:r>
      <w:r w:rsidRPr="005646D8">
        <w:rPr>
          <w:rFonts w:ascii="Arial" w:hAnsi="Arial" w:cs="Arial"/>
          <w:szCs w:val="20"/>
        </w:rPr>
        <w:tab/>
        <w:t>20 895 tis. Eur,</w:t>
      </w:r>
    </w:p>
    <w:p w:rsidR="005646D8" w:rsidRPr="005646D8" w:rsidRDefault="005646D8" w:rsidP="005646D8">
      <w:pPr>
        <w:tabs>
          <w:tab w:val="decimal" w:pos="8280"/>
        </w:tabs>
        <w:ind w:firstLine="709"/>
        <w:jc w:val="both"/>
        <w:rPr>
          <w:rFonts w:ascii="Arial" w:hAnsi="Arial" w:cs="Arial"/>
          <w:szCs w:val="20"/>
        </w:rPr>
      </w:pPr>
      <w:r w:rsidRPr="005646D8">
        <w:rPr>
          <w:rFonts w:ascii="Arial" w:hAnsi="Arial" w:cs="Arial"/>
          <w:szCs w:val="20"/>
        </w:rPr>
        <w:t>- DPO</w:t>
      </w:r>
      <w:r w:rsidRPr="005646D8">
        <w:rPr>
          <w:rFonts w:ascii="Arial" w:hAnsi="Arial" w:cs="Arial"/>
          <w:szCs w:val="20"/>
        </w:rPr>
        <w:tab/>
        <w:t>1 045 tis. Eur.</w:t>
      </w:r>
    </w:p>
    <w:p w:rsidR="005646D8" w:rsidRPr="005646D8" w:rsidRDefault="005646D8" w:rsidP="005646D8">
      <w:pPr>
        <w:tabs>
          <w:tab w:val="decimal" w:pos="8280"/>
        </w:tabs>
        <w:spacing w:before="240" w:after="120"/>
        <w:ind w:firstLine="709"/>
        <w:jc w:val="both"/>
        <w:rPr>
          <w:rFonts w:ascii="Arial" w:hAnsi="Arial" w:cs="Arial"/>
          <w:szCs w:val="20"/>
        </w:rPr>
      </w:pPr>
      <w:r w:rsidRPr="005646D8">
        <w:rPr>
          <w:rFonts w:ascii="Arial" w:hAnsi="Arial" w:cs="Arial"/>
          <w:szCs w:val="20"/>
        </w:rPr>
        <w:tab/>
        <w:t>Príspevky na SDS uhradené zo základného fondu garančného poistenia boli postúpené v sume</w:t>
      </w:r>
      <w:r w:rsidRPr="005646D8">
        <w:rPr>
          <w:rFonts w:ascii="Arial" w:hAnsi="Arial" w:cs="Arial"/>
          <w:szCs w:val="20"/>
        </w:rPr>
        <w:tab/>
      </w:r>
      <w:r w:rsidRPr="005646D8">
        <w:rPr>
          <w:rFonts w:ascii="Arial" w:hAnsi="Arial" w:cs="Arial"/>
          <w:b/>
          <w:szCs w:val="20"/>
        </w:rPr>
        <w:t>12 737 tis. Eur</w:t>
      </w:r>
      <w:r w:rsidRPr="005646D8">
        <w:rPr>
          <w:rFonts w:ascii="Arial" w:hAnsi="Arial" w:cs="Arial"/>
          <w:szCs w:val="20"/>
        </w:rPr>
        <w:t>.</w:t>
      </w:r>
    </w:p>
    <w:p w:rsidR="005646D8" w:rsidRPr="005646D8" w:rsidRDefault="005646D8" w:rsidP="005646D8">
      <w:pPr>
        <w:tabs>
          <w:tab w:val="decimal" w:pos="7740"/>
        </w:tabs>
        <w:spacing w:before="240" w:after="120"/>
        <w:ind w:firstLine="709"/>
        <w:jc w:val="both"/>
        <w:rPr>
          <w:rFonts w:ascii="Arial" w:hAnsi="Arial" w:cs="Arial"/>
          <w:szCs w:val="20"/>
        </w:rPr>
      </w:pPr>
      <w:r w:rsidRPr="005646D8">
        <w:rPr>
          <w:rFonts w:ascii="Arial" w:hAnsi="Arial" w:cs="Arial"/>
          <w:szCs w:val="20"/>
        </w:rPr>
        <w:t xml:space="preserve">Príspevky na SDS za sporiteľov štátu boli postúpené v sume </w:t>
      </w:r>
      <w:r w:rsidRPr="005646D8">
        <w:rPr>
          <w:rFonts w:ascii="Arial" w:hAnsi="Arial" w:cs="Arial"/>
          <w:b/>
          <w:szCs w:val="20"/>
        </w:rPr>
        <w:t xml:space="preserve"> 23 707 tis. Eur,</w:t>
      </w:r>
      <w:r w:rsidRPr="005646D8">
        <w:rPr>
          <w:rFonts w:ascii="Arial" w:hAnsi="Arial" w:cs="Arial"/>
          <w:b/>
          <w:szCs w:val="20"/>
        </w:rPr>
        <w:br/>
      </w:r>
      <w:r w:rsidRPr="005646D8">
        <w:rPr>
          <w:rFonts w:ascii="Arial" w:hAnsi="Arial" w:cs="Arial"/>
          <w:szCs w:val="20"/>
        </w:rPr>
        <w:t>čo je 35,44 % v roku 2012 predpokladanej sumy</w:t>
      </w:r>
      <w:r w:rsidRPr="005646D8">
        <w:rPr>
          <w:rFonts w:ascii="Arial" w:hAnsi="Arial" w:cs="Arial"/>
          <w:szCs w:val="20"/>
        </w:rPr>
        <w:tab/>
        <w:t xml:space="preserve">                                  66 900 tis. Eur.</w:t>
      </w:r>
    </w:p>
    <w:p w:rsidR="005646D8" w:rsidRPr="005646D8" w:rsidRDefault="005646D8" w:rsidP="005646D8">
      <w:pPr>
        <w:tabs>
          <w:tab w:val="decimal" w:pos="8280"/>
        </w:tabs>
        <w:spacing w:before="240" w:after="120"/>
        <w:ind w:firstLine="709"/>
        <w:jc w:val="both"/>
        <w:rPr>
          <w:rFonts w:ascii="Arial" w:hAnsi="Arial" w:cs="Arial"/>
          <w:szCs w:val="20"/>
        </w:rPr>
      </w:pPr>
      <w:r w:rsidRPr="005646D8">
        <w:rPr>
          <w:rFonts w:ascii="Arial" w:hAnsi="Arial" w:cs="Arial"/>
          <w:szCs w:val="20"/>
        </w:rPr>
        <w:t>Sociálna poisťovňa postúpila príspevky na SDS za sporiteľov, ktorí sa stali poberateľmi úrazovej renty a doplatky za poberateľov invalidného dôchodku (za predchádzajúce obdobia) v sume</w:t>
      </w:r>
      <w:r w:rsidRPr="005646D8">
        <w:rPr>
          <w:rFonts w:ascii="Arial" w:hAnsi="Arial" w:cs="Arial"/>
          <w:szCs w:val="20"/>
        </w:rPr>
        <w:tab/>
      </w:r>
      <w:r w:rsidRPr="005646D8">
        <w:rPr>
          <w:rFonts w:ascii="Arial" w:hAnsi="Arial" w:cs="Arial"/>
          <w:b/>
          <w:szCs w:val="20"/>
        </w:rPr>
        <w:t>124 tis. Eur.</w:t>
      </w:r>
    </w:p>
    <w:p w:rsidR="005646D8" w:rsidRPr="005646D8" w:rsidRDefault="005646D8" w:rsidP="005646D8">
      <w:pPr>
        <w:spacing w:before="240" w:after="120"/>
        <w:ind w:firstLine="709"/>
        <w:jc w:val="both"/>
        <w:rPr>
          <w:rFonts w:ascii="Arial" w:hAnsi="Arial" w:cs="Arial"/>
          <w:szCs w:val="20"/>
        </w:rPr>
      </w:pPr>
      <w:r w:rsidRPr="005646D8">
        <w:rPr>
          <w:rFonts w:ascii="Arial" w:hAnsi="Arial" w:cs="Arial"/>
          <w:szCs w:val="20"/>
        </w:rPr>
        <w:t xml:space="preserve">V hodnotenom období boli postúpené príspevky na SDS v celkovej sume  </w:t>
      </w:r>
      <w:r w:rsidRPr="005646D8">
        <w:rPr>
          <w:rFonts w:ascii="Arial" w:hAnsi="Arial" w:cs="Arial"/>
          <w:b/>
          <w:szCs w:val="20"/>
        </w:rPr>
        <w:t>376 902 tis. Eur</w:t>
      </w:r>
      <w:r w:rsidRPr="005646D8">
        <w:rPr>
          <w:rFonts w:ascii="Arial" w:hAnsi="Arial" w:cs="Arial"/>
          <w:szCs w:val="20"/>
        </w:rPr>
        <w:t>, čo je v porovnaní s rovnakým obdobím minulého roka (324 790 tis. Eur) viac o 52 112 tis. Eur.</w:t>
      </w:r>
    </w:p>
    <w:p w:rsidR="005646D8" w:rsidRPr="005646D8" w:rsidRDefault="005646D8" w:rsidP="005646D8">
      <w:pPr>
        <w:tabs>
          <w:tab w:val="decimal" w:pos="8280"/>
        </w:tabs>
        <w:spacing w:before="240" w:after="120"/>
        <w:ind w:firstLine="709"/>
        <w:jc w:val="both"/>
        <w:rPr>
          <w:rFonts w:ascii="Arial" w:hAnsi="Arial" w:cs="Arial"/>
          <w:szCs w:val="20"/>
        </w:rPr>
      </w:pPr>
      <w:r w:rsidRPr="005646D8">
        <w:rPr>
          <w:rFonts w:ascii="Arial" w:hAnsi="Arial" w:cs="Arial"/>
          <w:szCs w:val="20"/>
        </w:rPr>
        <w:t>Ku koncu mája 2012  evidovala  Sociálna poisťovňa</w:t>
      </w:r>
      <w:r w:rsidRPr="005646D8">
        <w:rPr>
          <w:rFonts w:ascii="Arial" w:hAnsi="Arial" w:cs="Arial"/>
          <w:szCs w:val="20"/>
        </w:rPr>
        <w:tab/>
        <w:t xml:space="preserve"> 1 453 834 sporiteľov, čo predstavuje od začiatku tohto roka prírastok 3 131 sporiteľov. Prehľad o štruktúre sporiteľov vyjadruje nasledovná tabuľka:</w:t>
      </w:r>
    </w:p>
    <w:tbl>
      <w:tblPr>
        <w:tblW w:w="8765" w:type="dxa"/>
        <w:tblInd w:w="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0"/>
        <w:gridCol w:w="6656"/>
        <w:gridCol w:w="1779"/>
      </w:tblGrid>
      <w:tr w:rsidR="005646D8" w:rsidRPr="005646D8" w:rsidTr="00CA1E63">
        <w:trPr>
          <w:trHeight w:val="339"/>
        </w:trPr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646D8">
              <w:rPr>
                <w:rFonts w:ascii="Calibri" w:hAnsi="Calibri" w:cs="Calibr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6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5646D8">
              <w:rPr>
                <w:rFonts w:ascii="Arial" w:hAnsi="Arial" w:cs="Arial"/>
                <w:bCs/>
                <w:sz w:val="22"/>
                <w:szCs w:val="22"/>
              </w:rPr>
              <w:t>zamestnanci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5646D8">
              <w:rPr>
                <w:rFonts w:ascii="Arial" w:hAnsi="Arial" w:cs="Arial"/>
                <w:bCs/>
                <w:sz w:val="22"/>
                <w:szCs w:val="22"/>
              </w:rPr>
              <w:t>937 087</w:t>
            </w:r>
          </w:p>
        </w:tc>
      </w:tr>
      <w:tr w:rsidR="005646D8" w:rsidRPr="005646D8" w:rsidTr="00CA1E63">
        <w:trPr>
          <w:trHeight w:val="339"/>
        </w:trPr>
        <w:tc>
          <w:tcPr>
            <w:tcW w:w="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646D8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5646D8">
              <w:rPr>
                <w:rFonts w:ascii="Arial" w:hAnsi="Arial" w:cs="Arial"/>
                <w:bCs/>
                <w:sz w:val="22"/>
                <w:szCs w:val="22"/>
              </w:rPr>
              <w:t>SZČO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5646D8">
              <w:rPr>
                <w:rFonts w:ascii="Arial" w:hAnsi="Arial" w:cs="Arial"/>
                <w:bCs/>
                <w:sz w:val="22"/>
                <w:szCs w:val="22"/>
              </w:rPr>
              <w:t>125 720</w:t>
            </w:r>
          </w:p>
        </w:tc>
      </w:tr>
      <w:tr w:rsidR="005646D8" w:rsidRPr="005646D8" w:rsidTr="00CA1E63">
        <w:trPr>
          <w:trHeight w:val="339"/>
        </w:trPr>
        <w:tc>
          <w:tcPr>
            <w:tcW w:w="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646D8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5646D8">
              <w:rPr>
                <w:rFonts w:ascii="Arial" w:hAnsi="Arial" w:cs="Arial"/>
                <w:bCs/>
                <w:sz w:val="22"/>
                <w:szCs w:val="22"/>
              </w:rPr>
              <w:t xml:space="preserve">dobrovoľne dôchodkovo poistené osoby 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5646D8">
              <w:rPr>
                <w:rFonts w:ascii="Arial" w:hAnsi="Arial" w:cs="Arial"/>
                <w:bCs/>
                <w:sz w:val="22"/>
                <w:szCs w:val="22"/>
              </w:rPr>
              <w:t>7 504</w:t>
            </w:r>
          </w:p>
        </w:tc>
      </w:tr>
      <w:tr w:rsidR="005646D8" w:rsidRPr="005646D8" w:rsidTr="00CA1E63">
        <w:trPr>
          <w:trHeight w:val="339"/>
        </w:trPr>
        <w:tc>
          <w:tcPr>
            <w:tcW w:w="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646D8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5646D8">
              <w:rPr>
                <w:rFonts w:ascii="Arial" w:hAnsi="Arial" w:cs="Arial"/>
                <w:bCs/>
                <w:sz w:val="22"/>
                <w:szCs w:val="22"/>
              </w:rPr>
              <w:t>sporitelia, za ktorých platí príspevky na SDS štát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5646D8">
              <w:rPr>
                <w:rFonts w:ascii="Arial" w:hAnsi="Arial" w:cs="Arial"/>
                <w:bCs/>
                <w:sz w:val="22"/>
                <w:szCs w:val="22"/>
              </w:rPr>
              <w:t>126 270</w:t>
            </w:r>
          </w:p>
        </w:tc>
      </w:tr>
      <w:tr w:rsidR="005646D8" w:rsidRPr="005646D8" w:rsidTr="00CA1E63">
        <w:trPr>
          <w:trHeight w:val="339"/>
        </w:trPr>
        <w:tc>
          <w:tcPr>
            <w:tcW w:w="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646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2"/>
                <w:szCs w:val="22"/>
              </w:rPr>
            </w:pPr>
            <w:r w:rsidRPr="005646D8">
              <w:rPr>
                <w:rFonts w:ascii="Arial" w:hAnsi="Arial" w:cs="Arial"/>
                <w:sz w:val="22"/>
                <w:szCs w:val="22"/>
              </w:rPr>
              <w:t>v tom: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5646D8">
              <w:rPr>
                <w:rFonts w:ascii="Arial" w:hAnsi="Arial" w:cs="Arial"/>
                <w:bCs/>
                <w:sz w:val="22"/>
                <w:szCs w:val="22"/>
              </w:rPr>
              <w:t> </w:t>
            </w:r>
          </w:p>
        </w:tc>
      </w:tr>
      <w:tr w:rsidR="005646D8" w:rsidRPr="005646D8" w:rsidTr="00CA1E63">
        <w:trPr>
          <w:trHeight w:val="339"/>
        </w:trPr>
        <w:tc>
          <w:tcPr>
            <w:tcW w:w="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646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numPr>
                <w:ilvl w:val="0"/>
                <w:numId w:val="22"/>
              </w:numPr>
              <w:ind w:left="472" w:hanging="283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5646D8">
              <w:rPr>
                <w:rFonts w:ascii="Arial" w:hAnsi="Arial" w:cs="Arial"/>
                <w:sz w:val="22"/>
                <w:szCs w:val="22"/>
              </w:rPr>
              <w:t>osoba  starajúca sa o dieťa do 6 rokov veku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646D8">
              <w:rPr>
                <w:rFonts w:ascii="Arial" w:hAnsi="Arial" w:cs="Arial"/>
                <w:sz w:val="22"/>
                <w:szCs w:val="22"/>
              </w:rPr>
              <w:t>108 145</w:t>
            </w:r>
          </w:p>
        </w:tc>
      </w:tr>
      <w:tr w:rsidR="005646D8" w:rsidRPr="005646D8" w:rsidTr="00CA1E63">
        <w:trPr>
          <w:trHeight w:val="339"/>
        </w:trPr>
        <w:tc>
          <w:tcPr>
            <w:tcW w:w="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646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numPr>
                <w:ilvl w:val="0"/>
                <w:numId w:val="22"/>
              </w:numPr>
              <w:ind w:left="472" w:hanging="283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5646D8">
              <w:rPr>
                <w:rFonts w:ascii="Arial" w:hAnsi="Arial" w:cs="Arial"/>
                <w:sz w:val="22"/>
                <w:szCs w:val="22"/>
              </w:rPr>
              <w:t>osoba, ktorá sa stará o dieťa s nepriaznivým zdravotným stavom  do 18 rokov veku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646D8">
              <w:rPr>
                <w:rFonts w:ascii="Arial" w:hAnsi="Arial" w:cs="Arial"/>
                <w:sz w:val="22"/>
                <w:szCs w:val="22"/>
              </w:rPr>
              <w:t>1 309</w:t>
            </w:r>
          </w:p>
        </w:tc>
      </w:tr>
      <w:tr w:rsidR="005646D8" w:rsidRPr="005646D8" w:rsidTr="00CA1E63">
        <w:trPr>
          <w:trHeight w:val="339"/>
        </w:trPr>
        <w:tc>
          <w:tcPr>
            <w:tcW w:w="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646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numPr>
                <w:ilvl w:val="0"/>
                <w:numId w:val="22"/>
              </w:numPr>
              <w:ind w:left="472" w:hanging="283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5646D8">
              <w:rPr>
                <w:rFonts w:ascii="Arial" w:hAnsi="Arial" w:cs="Arial"/>
                <w:sz w:val="22"/>
                <w:szCs w:val="22"/>
              </w:rPr>
              <w:t>osoba  poberajúca peňažný príspevok  za opatrovanie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646D8">
              <w:rPr>
                <w:rFonts w:ascii="Arial" w:hAnsi="Arial" w:cs="Arial"/>
                <w:sz w:val="22"/>
                <w:szCs w:val="22"/>
              </w:rPr>
              <w:t>6 032</w:t>
            </w:r>
          </w:p>
        </w:tc>
      </w:tr>
      <w:tr w:rsidR="005646D8" w:rsidRPr="005646D8" w:rsidTr="00CA1E63">
        <w:trPr>
          <w:trHeight w:val="339"/>
        </w:trPr>
        <w:tc>
          <w:tcPr>
            <w:tcW w:w="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646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numPr>
                <w:ilvl w:val="0"/>
                <w:numId w:val="22"/>
              </w:numPr>
              <w:ind w:left="472" w:hanging="283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5646D8">
              <w:rPr>
                <w:rFonts w:ascii="Arial" w:hAnsi="Arial" w:cs="Arial"/>
                <w:sz w:val="22"/>
                <w:szCs w:val="22"/>
              </w:rPr>
              <w:t>osoba, ktorá vykonávajúca osobnú asistenciu fyzickej osoby s ťažkým zdravotným postihnutím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646D8">
              <w:rPr>
                <w:rFonts w:ascii="Arial" w:hAnsi="Arial" w:cs="Arial"/>
                <w:sz w:val="22"/>
                <w:szCs w:val="22"/>
              </w:rPr>
              <w:t>203</w:t>
            </w:r>
          </w:p>
        </w:tc>
      </w:tr>
      <w:tr w:rsidR="005646D8" w:rsidRPr="005646D8" w:rsidTr="00CA1E63">
        <w:trPr>
          <w:trHeight w:val="339"/>
        </w:trPr>
        <w:tc>
          <w:tcPr>
            <w:tcW w:w="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646D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numPr>
                <w:ilvl w:val="0"/>
                <w:numId w:val="22"/>
              </w:numPr>
              <w:ind w:left="472" w:hanging="283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5646D8">
              <w:rPr>
                <w:rFonts w:ascii="Arial" w:hAnsi="Arial" w:cs="Arial"/>
                <w:sz w:val="22"/>
                <w:szCs w:val="22"/>
              </w:rPr>
              <w:t>osoba, ktorej sa poskytuje materské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646D8">
              <w:rPr>
                <w:rFonts w:ascii="Arial" w:hAnsi="Arial" w:cs="Arial"/>
                <w:sz w:val="22"/>
                <w:szCs w:val="22"/>
              </w:rPr>
              <w:t>10 581</w:t>
            </w:r>
          </w:p>
        </w:tc>
      </w:tr>
      <w:tr w:rsidR="005646D8" w:rsidRPr="005646D8" w:rsidTr="00CA1E63">
        <w:trPr>
          <w:trHeight w:val="339"/>
        </w:trPr>
        <w:tc>
          <w:tcPr>
            <w:tcW w:w="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646D8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5646D8">
              <w:rPr>
                <w:rFonts w:ascii="Arial" w:hAnsi="Arial" w:cs="Arial"/>
                <w:bCs/>
                <w:sz w:val="22"/>
                <w:szCs w:val="22"/>
              </w:rPr>
              <w:t xml:space="preserve">sporitelia, za ktorých platí príspevky na SDS Sociálna poisťovňa 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5646D8">
              <w:rPr>
                <w:rFonts w:ascii="Arial" w:hAnsi="Arial" w:cs="Arial"/>
                <w:bCs/>
                <w:sz w:val="22"/>
                <w:szCs w:val="22"/>
              </w:rPr>
              <w:t>35 096</w:t>
            </w:r>
          </w:p>
        </w:tc>
      </w:tr>
      <w:tr w:rsidR="005646D8" w:rsidRPr="005646D8" w:rsidTr="00CA1E63">
        <w:trPr>
          <w:trHeight w:val="339"/>
        </w:trPr>
        <w:tc>
          <w:tcPr>
            <w:tcW w:w="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646D8">
              <w:rPr>
                <w:rFonts w:ascii="Calibri" w:hAnsi="Calibri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5646D8">
              <w:rPr>
                <w:rFonts w:ascii="Arial" w:hAnsi="Arial" w:cs="Arial"/>
                <w:bCs/>
                <w:sz w:val="22"/>
                <w:szCs w:val="22"/>
              </w:rPr>
              <w:t>sporitelia bez poistenia a za ktorých neboli odvedené príspevky na SDS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5646D8">
              <w:rPr>
                <w:rFonts w:ascii="Arial" w:hAnsi="Arial" w:cs="Arial"/>
                <w:bCs/>
                <w:sz w:val="22"/>
                <w:szCs w:val="22"/>
              </w:rPr>
              <w:t>222 157</w:t>
            </w:r>
          </w:p>
        </w:tc>
      </w:tr>
    </w:tbl>
    <w:p w:rsidR="005646D8" w:rsidRPr="005646D8" w:rsidRDefault="005646D8" w:rsidP="005646D8">
      <w:pPr>
        <w:rPr>
          <w:rFonts w:ascii="Arial" w:hAnsi="Arial"/>
          <w:szCs w:val="20"/>
        </w:rPr>
      </w:pPr>
    </w:p>
    <w:p w:rsidR="005646D8" w:rsidRPr="005646D8" w:rsidRDefault="005646D8" w:rsidP="005646D8">
      <w:pPr>
        <w:tabs>
          <w:tab w:val="decimal" w:pos="8280"/>
        </w:tabs>
        <w:spacing w:before="120" w:after="120"/>
        <w:ind w:firstLine="709"/>
        <w:jc w:val="both"/>
        <w:rPr>
          <w:rFonts w:ascii="Arial" w:hAnsi="Arial" w:cs="Arial"/>
          <w:szCs w:val="20"/>
        </w:rPr>
      </w:pPr>
      <w:r w:rsidRPr="005646D8">
        <w:rPr>
          <w:rFonts w:ascii="Arial" w:hAnsi="Arial" w:cs="Arial"/>
          <w:szCs w:val="20"/>
        </w:rPr>
        <w:t>Od roku 2005 do 31. mája 2012 evidovala Sociálna poisťovňa 221 415 žiadostí o prestup do inej DSS. Z nich bolo realizovaných 176 512 prestupov. Od začiatku tohto roka je ich nárast o 7 795 realizovaných prestupov.</w:t>
      </w:r>
    </w:p>
    <w:p w:rsidR="005646D8" w:rsidRPr="005646D8" w:rsidRDefault="005646D8" w:rsidP="005646D8">
      <w:pPr>
        <w:spacing w:before="240" w:after="120"/>
        <w:jc w:val="center"/>
        <w:rPr>
          <w:rFonts w:ascii="Arial" w:hAnsi="Arial" w:cs="Arial"/>
          <w:szCs w:val="20"/>
        </w:rPr>
      </w:pPr>
      <w:r w:rsidRPr="005646D8">
        <w:rPr>
          <w:rFonts w:ascii="Arial" w:hAnsi="Arial" w:cs="Arial"/>
          <w:szCs w:val="20"/>
        </w:rPr>
        <w:t xml:space="preserve">x   </w:t>
      </w:r>
      <w:proofErr w:type="spellStart"/>
      <w:r w:rsidRPr="005646D8">
        <w:rPr>
          <w:rFonts w:ascii="Arial" w:hAnsi="Arial" w:cs="Arial"/>
          <w:szCs w:val="20"/>
        </w:rPr>
        <w:t>x</w:t>
      </w:r>
      <w:proofErr w:type="spellEnd"/>
      <w:r w:rsidRPr="005646D8">
        <w:rPr>
          <w:rFonts w:ascii="Arial" w:hAnsi="Arial" w:cs="Arial"/>
          <w:szCs w:val="20"/>
        </w:rPr>
        <w:t xml:space="preserve">   </w:t>
      </w:r>
      <w:proofErr w:type="spellStart"/>
      <w:r w:rsidRPr="005646D8">
        <w:rPr>
          <w:rFonts w:ascii="Arial" w:hAnsi="Arial" w:cs="Arial"/>
          <w:szCs w:val="20"/>
        </w:rPr>
        <w:t>x</w:t>
      </w:r>
      <w:proofErr w:type="spellEnd"/>
    </w:p>
    <w:p w:rsidR="009E7FC5" w:rsidRDefault="009E7FC5" w:rsidP="005646D8">
      <w:pPr>
        <w:spacing w:before="240" w:after="120"/>
        <w:ind w:firstLine="720"/>
        <w:jc w:val="both"/>
        <w:rPr>
          <w:rFonts w:ascii="Arial" w:hAnsi="Arial"/>
          <w:b/>
          <w:szCs w:val="20"/>
        </w:rPr>
      </w:pPr>
    </w:p>
    <w:p w:rsidR="005646D8" w:rsidRPr="005646D8" w:rsidRDefault="005646D8" w:rsidP="005646D8">
      <w:pPr>
        <w:spacing w:before="240" w:after="120"/>
        <w:ind w:firstLine="720"/>
        <w:jc w:val="both"/>
        <w:rPr>
          <w:rFonts w:ascii="Arial" w:hAnsi="Arial"/>
          <w:b/>
          <w:szCs w:val="20"/>
        </w:rPr>
      </w:pPr>
      <w:r w:rsidRPr="005646D8">
        <w:rPr>
          <w:rFonts w:ascii="Arial" w:hAnsi="Arial"/>
          <w:b/>
          <w:szCs w:val="20"/>
        </w:rPr>
        <w:lastRenderedPageBreak/>
        <w:t>Očakávané výsledky hospodárenia Sociálnej poisťovne v roku 2012</w:t>
      </w:r>
    </w:p>
    <w:p w:rsidR="005646D8" w:rsidRPr="005646D8" w:rsidRDefault="005646D8" w:rsidP="005646D8">
      <w:pPr>
        <w:spacing w:before="240"/>
        <w:ind w:firstLine="720"/>
        <w:jc w:val="both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t>Očakávané príjmy a výdavky Sociálnej poisťovne v roku 2012 zohľadňujú:</w:t>
      </w:r>
    </w:p>
    <w:p w:rsidR="005646D8" w:rsidRPr="005646D8" w:rsidRDefault="005646D8" w:rsidP="005646D8">
      <w:pPr>
        <w:numPr>
          <w:ilvl w:val="0"/>
          <w:numId w:val="17"/>
        </w:numPr>
        <w:ind w:hanging="780"/>
        <w:jc w:val="both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t xml:space="preserve">skutočný vývoj príjmov z poistného a príspevkov na SDS od zamestnancov, zamestnávateľov, samostatne zárobkovo činných osôb a dobrovoľne poistených osôb spolu, ako aj vývoj dlžného poistného v roku 2011 a v mesiacoch január až máj 2012, </w:t>
      </w:r>
    </w:p>
    <w:p w:rsidR="005646D8" w:rsidRPr="005646D8" w:rsidRDefault="005646D8" w:rsidP="005646D8">
      <w:pPr>
        <w:numPr>
          <w:ilvl w:val="0"/>
          <w:numId w:val="17"/>
        </w:numPr>
        <w:ind w:hanging="780"/>
        <w:jc w:val="both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t xml:space="preserve">skutočný vývoj výdavkov v roku 2011 a v mesiacoch január až máj 2012, </w:t>
      </w:r>
    </w:p>
    <w:p w:rsidR="005646D8" w:rsidRPr="005646D8" w:rsidRDefault="005646D8" w:rsidP="005646D8">
      <w:pPr>
        <w:numPr>
          <w:ilvl w:val="0"/>
          <w:numId w:val="17"/>
        </w:numPr>
        <w:ind w:left="782" w:hanging="782"/>
        <w:jc w:val="both"/>
        <w:rPr>
          <w:rFonts w:ascii="Arial" w:hAnsi="Arial"/>
          <w:szCs w:val="20"/>
        </w:rPr>
      </w:pPr>
      <w:r w:rsidRPr="005646D8">
        <w:rPr>
          <w:rFonts w:ascii="Arial" w:hAnsi="Arial"/>
          <w:szCs w:val="20"/>
        </w:rPr>
        <w:t>vplyv makroekonomických ukazovateľov zverejnených Inštitútom finančnej politiky Ministerstva financií Slovenskej republiky zo dňa 7. februára 2012,</w:t>
      </w:r>
    </w:p>
    <w:p w:rsidR="005646D8" w:rsidRPr="005646D8" w:rsidRDefault="005646D8" w:rsidP="005646D8">
      <w:pPr>
        <w:numPr>
          <w:ilvl w:val="0"/>
          <w:numId w:val="17"/>
        </w:numPr>
        <w:ind w:left="782" w:hanging="782"/>
        <w:jc w:val="both"/>
        <w:rPr>
          <w:rFonts w:ascii="Arial" w:hAnsi="Arial"/>
          <w:szCs w:val="20"/>
        </w:rPr>
      </w:pPr>
      <w:r w:rsidRPr="005646D8">
        <w:rPr>
          <w:rFonts w:ascii="Arial" w:hAnsi="Arial" w:cs="Arial"/>
          <w:szCs w:val="20"/>
        </w:rPr>
        <w:t xml:space="preserve">Ministerstvom financií SR navrhovanú výšku príjmov a výdavkov </w:t>
      </w:r>
      <w:r w:rsidRPr="005646D8">
        <w:rPr>
          <w:rFonts w:ascii="Arial" w:hAnsi="Arial"/>
          <w:szCs w:val="20"/>
        </w:rPr>
        <w:t>zo dňa 30. apríla 2012.</w:t>
      </w:r>
    </w:p>
    <w:p w:rsidR="005646D8" w:rsidRPr="005646D8" w:rsidRDefault="005646D8" w:rsidP="005646D8">
      <w:pPr>
        <w:spacing w:before="240" w:after="120"/>
        <w:ind w:firstLine="720"/>
        <w:jc w:val="both"/>
        <w:rPr>
          <w:rFonts w:ascii="Arial" w:hAnsi="Arial" w:cs="Arial"/>
        </w:rPr>
      </w:pPr>
      <w:r w:rsidRPr="005646D8">
        <w:rPr>
          <w:rFonts w:ascii="Arial" w:hAnsi="Arial" w:cs="Arial"/>
        </w:rPr>
        <w:t xml:space="preserve">Príjmy Sociálnej poisťovne sa </w:t>
      </w:r>
      <w:r w:rsidRPr="005646D8">
        <w:rPr>
          <w:rFonts w:ascii="Arial" w:hAnsi="Arial" w:cs="Arial"/>
          <w:b/>
        </w:rPr>
        <w:t>v roku 2012 očakávajú</w:t>
      </w:r>
      <w:r w:rsidRPr="005646D8">
        <w:rPr>
          <w:rFonts w:ascii="Arial" w:hAnsi="Arial" w:cs="Arial"/>
        </w:rPr>
        <w:t xml:space="preserve"> takéto: </w:t>
      </w:r>
    </w:p>
    <w:tbl>
      <w:tblPr>
        <w:tblW w:w="0" w:type="auto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8"/>
        <w:gridCol w:w="1238"/>
        <w:gridCol w:w="1262"/>
        <w:gridCol w:w="1262"/>
        <w:gridCol w:w="1055"/>
      </w:tblGrid>
      <w:tr w:rsidR="005646D8" w:rsidRPr="005646D8" w:rsidTr="00CA1E63"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v tis. Eur</w:t>
            </w:r>
          </w:p>
        </w:tc>
      </w:tr>
      <w:tr w:rsidR="005646D8" w:rsidRPr="005646D8" w:rsidTr="00CA1E63">
        <w:trPr>
          <w:trHeight w:val="207"/>
        </w:trPr>
        <w:tc>
          <w:tcPr>
            <w:tcW w:w="4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Príjmy s vplyvom II. piliera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Schválený rozpočet 2012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Upravený rozpočet 2012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Očakávaná skutočnosť v roku 2012</w:t>
            </w:r>
          </w:p>
        </w:tc>
        <w:tc>
          <w:tcPr>
            <w:tcW w:w="10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Rozdiel</w:t>
            </w:r>
          </w:p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 (3-2)</w:t>
            </w:r>
          </w:p>
        </w:tc>
      </w:tr>
      <w:tr w:rsidR="005646D8" w:rsidRPr="005646D8" w:rsidTr="00CA1E63">
        <w:trPr>
          <w:trHeight w:val="230"/>
        </w:trPr>
        <w:tc>
          <w:tcPr>
            <w:tcW w:w="4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46D8" w:rsidRPr="005646D8" w:rsidTr="00CA1E63"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5646D8" w:rsidRPr="005646D8" w:rsidTr="00CA1E63">
        <w:trPr>
          <w:trHeight w:val="227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príjmy celkom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6 534 611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6 525 214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6 484 982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-40 232</w:t>
            </w:r>
          </w:p>
        </w:tc>
      </w:tr>
      <w:tr w:rsidR="005646D8" w:rsidRPr="005646D8" w:rsidTr="00CA1E63">
        <w:trPr>
          <w:trHeight w:val="227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v tom: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646D8" w:rsidRPr="005646D8" w:rsidTr="00CA1E63">
        <w:trPr>
          <w:trHeight w:val="227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príjmy z bežného poistného od EAO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4 382 544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4 373 147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4 351 917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-21 230</w:t>
            </w:r>
          </w:p>
        </w:tc>
      </w:tr>
      <w:tr w:rsidR="005646D8" w:rsidRPr="005646D8" w:rsidTr="00CA1E63">
        <w:trPr>
          <w:trHeight w:val="227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príjmy z dlžného poistného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149 373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149 373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224 615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75 242</w:t>
            </w:r>
          </w:p>
        </w:tc>
      </w:tr>
      <w:tr w:rsidR="005646D8" w:rsidRPr="005646D8" w:rsidTr="00CA1E63">
        <w:trPr>
          <w:trHeight w:val="227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príjmy zo sankcií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4 445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4 445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4 445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46D8" w:rsidRPr="005646D8" w:rsidTr="00CA1E63">
        <w:trPr>
          <w:trHeight w:val="227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príjmy z poistného od štátu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173 915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173 915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185 719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11 804</w:t>
            </w:r>
          </w:p>
        </w:tc>
      </w:tr>
      <w:tr w:rsidR="005646D8" w:rsidRPr="005646D8" w:rsidTr="00CA1E63">
        <w:trPr>
          <w:trHeight w:val="227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príjmy od Sociálnej poisťovne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2 090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2 090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2 000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-90</w:t>
            </w:r>
          </w:p>
        </w:tc>
      </w:tr>
      <w:tr w:rsidR="005646D8" w:rsidRPr="005646D8" w:rsidTr="00CA1E63">
        <w:trPr>
          <w:trHeight w:val="227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ostatné príjmy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1 790 783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1 790 783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1 683 300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-107 483</w:t>
            </w:r>
          </w:p>
        </w:tc>
      </w:tr>
      <w:tr w:rsidR="005646D8" w:rsidRPr="005646D8" w:rsidTr="00CA1E63">
        <w:trPr>
          <w:trHeight w:val="227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z toho príjmy zo ŠR SR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1 780 000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1 780 000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1 672 335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-107 665</w:t>
            </w:r>
          </w:p>
        </w:tc>
      </w:tr>
      <w:tr w:rsidR="005646D8" w:rsidRPr="005646D8" w:rsidTr="00CA1E63">
        <w:trPr>
          <w:trHeight w:val="227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príspevky na SDS zaplatené zamestnávateľom po uplynutí 60 dní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27 023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27 023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29 060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2 037</w:t>
            </w:r>
          </w:p>
        </w:tc>
      </w:tr>
      <w:tr w:rsidR="005646D8" w:rsidRPr="005646D8" w:rsidTr="00CA1E63">
        <w:trPr>
          <w:trHeight w:val="227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príjmy správneho fondu z príspevkov na SDS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4 438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4 438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3 926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-512</w:t>
            </w:r>
          </w:p>
        </w:tc>
      </w:tr>
    </w:tbl>
    <w:p w:rsidR="007C4BBA" w:rsidRDefault="007C4BBA" w:rsidP="005646D8">
      <w:pPr>
        <w:spacing w:after="120"/>
        <w:ind w:firstLine="720"/>
        <w:jc w:val="both"/>
        <w:rPr>
          <w:rFonts w:ascii="Arial" w:hAnsi="Arial" w:cs="Arial"/>
        </w:rPr>
      </w:pPr>
    </w:p>
    <w:p w:rsidR="005646D8" w:rsidRPr="005646D8" w:rsidRDefault="005646D8" w:rsidP="005646D8">
      <w:pPr>
        <w:spacing w:after="120"/>
        <w:ind w:firstLine="720"/>
        <w:jc w:val="both"/>
        <w:rPr>
          <w:rFonts w:ascii="Arial" w:hAnsi="Arial" w:cs="Arial"/>
        </w:rPr>
      </w:pPr>
      <w:r w:rsidRPr="005646D8">
        <w:rPr>
          <w:rFonts w:ascii="Arial" w:hAnsi="Arial" w:cs="Arial"/>
        </w:rPr>
        <w:t>V roku 2012 sa očakávajú nižšie</w:t>
      </w:r>
      <w:r w:rsidRPr="005646D8">
        <w:rPr>
          <w:rFonts w:ascii="Arial" w:hAnsi="Arial" w:cs="Arial"/>
          <w:b/>
        </w:rPr>
        <w:t xml:space="preserve"> príjmy celkom </w:t>
      </w:r>
      <w:r w:rsidRPr="005646D8">
        <w:rPr>
          <w:rFonts w:ascii="Arial" w:hAnsi="Arial" w:cs="Arial"/>
        </w:rPr>
        <w:t xml:space="preserve">oproti upravenému rozpočtu na rok 2012 </w:t>
      </w:r>
      <w:r w:rsidRPr="005646D8">
        <w:rPr>
          <w:rFonts w:ascii="Arial" w:hAnsi="Arial" w:cs="Arial"/>
          <w:b/>
        </w:rPr>
        <w:t>o 40 232 tis. Eur</w:t>
      </w:r>
      <w:r w:rsidRPr="005646D8">
        <w:rPr>
          <w:rFonts w:ascii="Arial" w:hAnsi="Arial" w:cs="Arial"/>
        </w:rPr>
        <w:t>. Nižšie sa očakávajú príjmy z bežného poistného od EAO o 21 230 tis. Eur. Príjmy z dlžného poistného sa predpokladajú vo výške 224 615 tis. Eur, čo predstavuje prekročenie v absolútnej sume 75 242 tis. Eur. Zároveň sa predpokladá nižší transfer finančných prostriedkov zo ŠR SR o 107 665 tis. Eur.</w:t>
      </w:r>
    </w:p>
    <w:p w:rsidR="005646D8" w:rsidRPr="005646D8" w:rsidRDefault="005646D8" w:rsidP="005646D8">
      <w:pPr>
        <w:spacing w:before="240" w:after="120"/>
        <w:ind w:firstLine="720"/>
        <w:jc w:val="both"/>
        <w:rPr>
          <w:rFonts w:ascii="Arial" w:hAnsi="Arial" w:cs="Arial"/>
        </w:rPr>
      </w:pPr>
      <w:r w:rsidRPr="005646D8">
        <w:rPr>
          <w:rFonts w:ascii="Arial" w:hAnsi="Arial" w:cs="Arial"/>
        </w:rPr>
        <w:t>V očakávanej skutočnosti ostatných príjmov je v základnom fonde starobného poistenia zapracovaný transfer finančných prostriedkov zo ŠR SR v sume 1 672 335 tis. Eur na krytie deficitu vzniknutého dôsledkom zavedenia II. piliera a ako finančná výpomoc z dôvodu platobnej neschopnosti základného fondu starobného poistenia, v zmysle § 157 ods. 4 zákona o sociálnom poistení.</w:t>
      </w:r>
    </w:p>
    <w:p w:rsidR="005646D8" w:rsidRDefault="005646D8" w:rsidP="005646D8">
      <w:pPr>
        <w:spacing w:before="240" w:after="120"/>
        <w:ind w:firstLine="709"/>
        <w:jc w:val="both"/>
        <w:rPr>
          <w:rFonts w:ascii="Arial" w:hAnsi="Arial" w:cs="Arial"/>
        </w:rPr>
      </w:pPr>
      <w:r w:rsidRPr="005646D8">
        <w:rPr>
          <w:rFonts w:ascii="Arial" w:hAnsi="Arial" w:cs="Arial"/>
          <w:b/>
        </w:rPr>
        <w:t xml:space="preserve">Výdavky (náklady) </w:t>
      </w:r>
      <w:r w:rsidRPr="005646D8">
        <w:rPr>
          <w:rFonts w:ascii="Arial" w:hAnsi="Arial" w:cs="Arial"/>
        </w:rPr>
        <w:t xml:space="preserve">Sociálnej poisťovne </w:t>
      </w:r>
      <w:r w:rsidRPr="005646D8">
        <w:rPr>
          <w:rFonts w:ascii="Arial" w:hAnsi="Arial" w:cs="Arial"/>
          <w:b/>
        </w:rPr>
        <w:t xml:space="preserve">v roku 2012 </w:t>
      </w:r>
      <w:r w:rsidRPr="005646D8">
        <w:rPr>
          <w:rFonts w:ascii="Arial" w:hAnsi="Arial" w:cs="Arial"/>
        </w:rPr>
        <w:t>sa</w:t>
      </w:r>
      <w:r w:rsidRPr="005646D8">
        <w:rPr>
          <w:rFonts w:ascii="Arial" w:hAnsi="Arial" w:cs="Arial"/>
          <w:b/>
        </w:rPr>
        <w:t xml:space="preserve"> </w:t>
      </w:r>
      <w:r w:rsidRPr="005646D8">
        <w:rPr>
          <w:rFonts w:ascii="Arial" w:hAnsi="Arial" w:cs="Arial"/>
        </w:rPr>
        <w:t>očakávajú takéto:</w:t>
      </w:r>
    </w:p>
    <w:p w:rsidR="009E7FC5" w:rsidRDefault="009E7FC5" w:rsidP="005646D8">
      <w:pPr>
        <w:spacing w:before="240" w:after="120"/>
        <w:ind w:firstLine="709"/>
        <w:jc w:val="both"/>
        <w:rPr>
          <w:rFonts w:ascii="Arial" w:hAnsi="Arial" w:cs="Arial"/>
        </w:rPr>
      </w:pPr>
    </w:p>
    <w:p w:rsidR="009E7FC5" w:rsidRDefault="009E7FC5" w:rsidP="005646D8">
      <w:pPr>
        <w:spacing w:before="240" w:after="120"/>
        <w:ind w:firstLine="709"/>
        <w:jc w:val="both"/>
        <w:rPr>
          <w:rFonts w:ascii="Arial" w:hAnsi="Arial" w:cs="Arial"/>
        </w:rPr>
      </w:pPr>
    </w:p>
    <w:p w:rsidR="009E7FC5" w:rsidRDefault="009E7FC5" w:rsidP="005646D8">
      <w:pPr>
        <w:spacing w:before="240" w:after="120"/>
        <w:ind w:firstLine="709"/>
        <w:jc w:val="both"/>
        <w:rPr>
          <w:rFonts w:ascii="Arial" w:hAnsi="Arial" w:cs="Arial"/>
        </w:rPr>
      </w:pPr>
    </w:p>
    <w:p w:rsidR="009E7FC5" w:rsidRPr="005646D8" w:rsidRDefault="009E7FC5" w:rsidP="005646D8">
      <w:pPr>
        <w:spacing w:before="240" w:after="120"/>
        <w:ind w:firstLine="709"/>
        <w:jc w:val="both"/>
        <w:rPr>
          <w:rFonts w:ascii="Arial" w:hAnsi="Arial" w:cs="Arial"/>
        </w:rPr>
      </w:pPr>
    </w:p>
    <w:tbl>
      <w:tblPr>
        <w:tblW w:w="9229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4"/>
        <w:gridCol w:w="1433"/>
        <w:gridCol w:w="1433"/>
        <w:gridCol w:w="1434"/>
        <w:gridCol w:w="945"/>
      </w:tblGrid>
      <w:tr w:rsidR="005646D8" w:rsidRPr="005646D8" w:rsidTr="00CA1E63">
        <w:trPr>
          <w:trHeight w:val="255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v tis. Eur</w:t>
            </w:r>
          </w:p>
        </w:tc>
      </w:tr>
      <w:tr w:rsidR="005646D8" w:rsidRPr="005646D8" w:rsidTr="00CA1E63">
        <w:trPr>
          <w:trHeight w:val="76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Ukazovateľ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Schválený rozpočet rok 2012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Upravený rozpočet rok 2012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Očakávaná skutočnosť  rok 2012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Rozdiel (3-2)</w:t>
            </w:r>
          </w:p>
        </w:tc>
      </w:tr>
      <w:tr w:rsidR="005646D8" w:rsidRPr="005646D8" w:rsidTr="00CA1E63">
        <w:trPr>
          <w:trHeight w:val="25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46D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5646D8" w:rsidRPr="005646D8" w:rsidTr="00CA1E63">
        <w:trPr>
          <w:trHeight w:val="25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Použitie prostriedkov celkom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6 509 225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6 499 601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6 495 270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-4 331</w:t>
            </w:r>
          </w:p>
        </w:tc>
      </w:tr>
      <w:tr w:rsidR="005646D8" w:rsidRPr="005646D8" w:rsidTr="00CA1E63">
        <w:trPr>
          <w:trHeight w:val="25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v tom: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5646D8" w:rsidRPr="005646D8" w:rsidTr="00CA1E63">
        <w:trPr>
          <w:trHeight w:val="25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základný fond nemocenského poistenia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431 934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422 576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415 542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-7 034</w:t>
            </w:r>
          </w:p>
        </w:tc>
      </w:tr>
      <w:tr w:rsidR="005646D8" w:rsidRPr="005646D8" w:rsidTr="00CA1E63">
        <w:trPr>
          <w:trHeight w:val="25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základný fond starobného poistenia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4 814 092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4 814 092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4 813 659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-433</w:t>
            </w:r>
          </w:p>
        </w:tc>
      </w:tr>
      <w:tr w:rsidR="005646D8" w:rsidRPr="005646D8" w:rsidTr="00CA1E63">
        <w:trPr>
          <w:trHeight w:val="25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základný fond invalidného poistenia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890 568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890 568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890 568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5646D8" w:rsidRPr="005646D8" w:rsidTr="00CA1E63">
        <w:trPr>
          <w:trHeight w:val="25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základný fond úrazového poistenia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47 676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47 676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44 614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-3 062</w:t>
            </w:r>
          </w:p>
        </w:tc>
      </w:tr>
      <w:tr w:rsidR="005646D8" w:rsidRPr="005646D8" w:rsidTr="00CA1E63">
        <w:trPr>
          <w:trHeight w:val="25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základný fond garančného poistenia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41 073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41 073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38 747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-2 326</w:t>
            </w:r>
          </w:p>
        </w:tc>
      </w:tr>
      <w:tr w:rsidR="005646D8" w:rsidRPr="005646D8" w:rsidTr="00CA1E63">
        <w:trPr>
          <w:trHeight w:val="25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základný fond poistenia v nezamestnanosti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170 171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169 905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178 429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8 524</w:t>
            </w:r>
          </w:p>
        </w:tc>
      </w:tr>
      <w:tr w:rsidR="005646D8" w:rsidRPr="005646D8" w:rsidTr="00CA1E63">
        <w:trPr>
          <w:trHeight w:val="25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správny fond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113 711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113 711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113 711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:rsidR="005646D8" w:rsidRPr="005646D8" w:rsidRDefault="005646D8" w:rsidP="005646D8">
      <w:pPr>
        <w:ind w:firstLine="709"/>
        <w:jc w:val="both"/>
        <w:rPr>
          <w:rFonts w:ascii="Arial" w:hAnsi="Arial" w:cs="Arial"/>
        </w:rPr>
      </w:pPr>
    </w:p>
    <w:p w:rsidR="005646D8" w:rsidRPr="005646D8" w:rsidRDefault="005646D8" w:rsidP="005646D8">
      <w:pPr>
        <w:spacing w:before="240" w:after="120"/>
        <w:ind w:firstLine="720"/>
        <w:jc w:val="both"/>
        <w:rPr>
          <w:rFonts w:ascii="Arial" w:hAnsi="Arial" w:cs="Arial"/>
        </w:rPr>
      </w:pPr>
      <w:r w:rsidRPr="005646D8">
        <w:rPr>
          <w:rFonts w:ascii="Arial" w:hAnsi="Arial" w:cs="Arial"/>
        </w:rPr>
        <w:t xml:space="preserve">Z hľadiska </w:t>
      </w:r>
      <w:r w:rsidRPr="005646D8">
        <w:rPr>
          <w:rFonts w:ascii="Arial" w:hAnsi="Arial" w:cs="Arial"/>
          <w:b/>
        </w:rPr>
        <w:t>celkového hospodárenia Sociálnej poisťovne</w:t>
      </w:r>
      <w:r w:rsidRPr="005646D8">
        <w:rPr>
          <w:rFonts w:ascii="Arial" w:hAnsi="Arial" w:cs="Arial"/>
        </w:rPr>
        <w:t xml:space="preserve"> je možné očakávať k 31. 12. 2012 v jednotlivých fondoch takéto výsledky:</w:t>
      </w:r>
    </w:p>
    <w:tbl>
      <w:tblPr>
        <w:tblW w:w="92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00"/>
        <w:gridCol w:w="1340"/>
        <w:gridCol w:w="1560"/>
        <w:gridCol w:w="1400"/>
        <w:gridCol w:w="1220"/>
      </w:tblGrid>
      <w:tr w:rsidR="005646D8" w:rsidRPr="005646D8" w:rsidTr="00CA1E63">
        <w:trPr>
          <w:trHeight w:val="25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646D8">
              <w:rPr>
                <w:rFonts w:ascii="Arial" w:hAnsi="Arial" w:cs="Arial"/>
                <w:sz w:val="20"/>
                <w:szCs w:val="20"/>
              </w:rPr>
              <w:t>v tis. Eur</w:t>
            </w:r>
          </w:p>
        </w:tc>
      </w:tr>
      <w:tr w:rsidR="005646D8" w:rsidRPr="005646D8" w:rsidTr="00CA1E63">
        <w:trPr>
          <w:trHeight w:val="255"/>
        </w:trPr>
        <w:tc>
          <w:tcPr>
            <w:tcW w:w="3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Fond  </w:t>
            </w:r>
          </w:p>
        </w:tc>
        <w:tc>
          <w:tcPr>
            <w:tcW w:w="43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Bilančný rozdiel k 31.12.2012</w:t>
            </w: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Rozdiel (3-2)</w:t>
            </w:r>
          </w:p>
        </w:tc>
      </w:tr>
      <w:tr w:rsidR="005646D8" w:rsidRPr="005646D8" w:rsidTr="00CA1E63">
        <w:trPr>
          <w:trHeight w:val="480"/>
        </w:trPr>
        <w:tc>
          <w:tcPr>
            <w:tcW w:w="3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Schválený rozpočet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Upravený rozpočet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 xml:space="preserve">Očakávaná skutočnosť </w:t>
            </w:r>
          </w:p>
        </w:tc>
        <w:tc>
          <w:tcPr>
            <w:tcW w:w="1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646D8" w:rsidRPr="005646D8" w:rsidTr="00CA1E63">
        <w:trPr>
          <w:trHeight w:val="25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5646D8" w:rsidRPr="005646D8" w:rsidTr="00CA1E63">
        <w:trPr>
          <w:trHeight w:val="25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Základný fond nemocenského poistenia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50 000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50 000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5 000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-45 000</w:t>
            </w:r>
          </w:p>
        </w:tc>
      </w:tr>
      <w:tr w:rsidR="005646D8" w:rsidRPr="005646D8" w:rsidTr="00CA1E63">
        <w:trPr>
          <w:trHeight w:val="25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Základný fond starobného poistenia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267 156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267 044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350 855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83 811</w:t>
            </w:r>
          </w:p>
        </w:tc>
      </w:tr>
      <w:tr w:rsidR="005646D8" w:rsidRPr="005646D8" w:rsidTr="00CA1E63">
        <w:trPr>
          <w:trHeight w:val="25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Základný fond invalidného poistenia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153 663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154 226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110 013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-44 213</w:t>
            </w:r>
          </w:p>
        </w:tc>
      </w:tr>
      <w:tr w:rsidR="005646D8" w:rsidRPr="005646D8" w:rsidTr="00CA1E63">
        <w:trPr>
          <w:trHeight w:val="25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Základný fond úrazového poistenia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5 000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5 000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5 000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46D8" w:rsidRPr="005646D8" w:rsidTr="00CA1E63">
        <w:trPr>
          <w:trHeight w:val="25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Základný fond garančného poistenia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5 000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5 000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5 000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46D8" w:rsidRPr="005646D8" w:rsidTr="00CA1E63">
        <w:trPr>
          <w:trHeight w:val="25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Základný fond poistenia v nezamestnanosti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20 000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20 000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20 000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46D8" w:rsidRPr="005646D8" w:rsidTr="00CA1E63">
        <w:trPr>
          <w:trHeight w:val="25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Rezervný fond solidarity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46D8" w:rsidRPr="005646D8" w:rsidTr="00CA1E63">
        <w:trPr>
          <w:trHeight w:val="25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Správny fond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51 127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50 903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50 725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-178</w:t>
            </w:r>
          </w:p>
        </w:tc>
      </w:tr>
      <w:tr w:rsidR="005646D8" w:rsidRPr="005646D8" w:rsidTr="00CA1E63">
        <w:trPr>
          <w:trHeight w:val="25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Spolu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551 946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552 173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546 593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6D8" w:rsidRPr="005646D8" w:rsidRDefault="005646D8" w:rsidP="00564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646D8">
              <w:rPr>
                <w:rFonts w:ascii="Arial" w:hAnsi="Arial" w:cs="Arial"/>
                <w:sz w:val="18"/>
                <w:szCs w:val="18"/>
              </w:rPr>
              <w:t>-5 580</w:t>
            </w:r>
          </w:p>
        </w:tc>
      </w:tr>
    </w:tbl>
    <w:p w:rsidR="005646D8" w:rsidRPr="005646D8" w:rsidRDefault="005646D8" w:rsidP="005646D8">
      <w:pPr>
        <w:ind w:firstLine="720"/>
        <w:jc w:val="both"/>
        <w:rPr>
          <w:rFonts w:ascii="Arial" w:hAnsi="Arial" w:cs="Arial"/>
        </w:rPr>
      </w:pPr>
    </w:p>
    <w:p w:rsidR="005646D8" w:rsidRPr="005646D8" w:rsidRDefault="005646D8" w:rsidP="005646D8">
      <w:pPr>
        <w:spacing w:after="120"/>
        <w:ind w:firstLine="720"/>
        <w:jc w:val="both"/>
        <w:rPr>
          <w:rFonts w:ascii="Arial" w:hAnsi="Arial" w:cs="Arial"/>
        </w:rPr>
      </w:pPr>
      <w:r w:rsidRPr="005646D8">
        <w:rPr>
          <w:rFonts w:ascii="Arial" w:hAnsi="Arial" w:cs="Arial"/>
          <w:szCs w:val="20"/>
        </w:rPr>
        <w:t>Hospodárenie Sociálnej poisťovne v roku 2012 by malo skončiť horším výsledkom o 5 580 tis. Eur, ako sa predpokladalo v upravenom rozpočte.</w:t>
      </w:r>
    </w:p>
    <w:p w:rsidR="005646D8" w:rsidRPr="005646D8" w:rsidRDefault="005646D8" w:rsidP="005646D8">
      <w:pPr>
        <w:spacing w:before="240" w:after="120"/>
        <w:jc w:val="center"/>
        <w:rPr>
          <w:rFonts w:ascii="Arial" w:hAnsi="Arial" w:cs="Arial"/>
        </w:rPr>
      </w:pPr>
      <w:r w:rsidRPr="005646D8">
        <w:rPr>
          <w:rFonts w:ascii="Arial" w:hAnsi="Arial" w:cs="Arial"/>
        </w:rPr>
        <w:t xml:space="preserve">x  </w:t>
      </w:r>
      <w:proofErr w:type="spellStart"/>
      <w:r w:rsidRPr="005646D8">
        <w:rPr>
          <w:rFonts w:ascii="Arial" w:hAnsi="Arial" w:cs="Arial"/>
        </w:rPr>
        <w:t>x</w:t>
      </w:r>
      <w:proofErr w:type="spellEnd"/>
      <w:r w:rsidRPr="005646D8">
        <w:rPr>
          <w:rFonts w:ascii="Arial" w:hAnsi="Arial" w:cs="Arial"/>
        </w:rPr>
        <w:t xml:space="preserve">  </w:t>
      </w:r>
      <w:proofErr w:type="spellStart"/>
      <w:r w:rsidRPr="005646D8">
        <w:rPr>
          <w:rFonts w:ascii="Arial" w:hAnsi="Arial" w:cs="Arial"/>
        </w:rPr>
        <w:t>x</w:t>
      </w:r>
      <w:proofErr w:type="spellEnd"/>
    </w:p>
    <w:p w:rsidR="005646D8" w:rsidRPr="005646D8" w:rsidRDefault="005646D8" w:rsidP="005646D8">
      <w:pPr>
        <w:spacing w:before="120" w:after="120"/>
        <w:ind w:firstLine="720"/>
        <w:jc w:val="both"/>
        <w:rPr>
          <w:rFonts w:ascii="Arial" w:hAnsi="Arial" w:cs="Arial"/>
          <w:szCs w:val="20"/>
        </w:rPr>
      </w:pPr>
      <w:r w:rsidRPr="005646D8">
        <w:rPr>
          <w:rFonts w:ascii="Arial" w:hAnsi="Arial"/>
          <w:szCs w:val="20"/>
        </w:rPr>
        <w:t>Sociálna poisťovňa očakáva, že v roku 2012 postúpi príspevky na SDS do DSS v sume 850 116 tis. Eur.</w:t>
      </w:r>
    </w:p>
    <w:p w:rsidR="000A39AE" w:rsidRPr="000A39AE" w:rsidRDefault="000A39AE" w:rsidP="005646D8">
      <w:pPr>
        <w:pStyle w:val="Zarkazkladnhotextu"/>
        <w:ind w:left="0"/>
        <w:jc w:val="center"/>
        <w:rPr>
          <w:rFonts w:cs="Arial"/>
        </w:rPr>
      </w:pPr>
    </w:p>
    <w:sectPr w:rsidR="000A39AE" w:rsidRPr="000A39AE" w:rsidSect="00F732AA">
      <w:headerReference w:type="default" r:id="rId14"/>
      <w:footerReference w:type="default" r:id="rId15"/>
      <w:pgSz w:w="11906" w:h="16838"/>
      <w:pgMar w:top="1417" w:right="1466" w:bottom="141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6C6B" w:rsidRDefault="00346C6B">
      <w:r>
        <w:separator/>
      </w:r>
    </w:p>
  </w:endnote>
  <w:endnote w:type="continuationSeparator" w:id="0">
    <w:p w:rsidR="00346C6B" w:rsidRDefault="00346C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757" w:rsidRPr="00657CB2" w:rsidRDefault="005F5757" w:rsidP="00657CB2">
    <w:pPr>
      <w:pStyle w:val="Pta"/>
      <w:jc w:val="center"/>
      <w:rPr>
        <w:rFonts w:ascii="Arial" w:hAnsi="Arial" w:cs="Arial"/>
        <w:sz w:val="24"/>
        <w:szCs w:val="24"/>
      </w:rPr>
    </w:pPr>
    <w:r w:rsidRPr="00657CB2">
      <w:rPr>
        <w:rFonts w:ascii="Arial" w:hAnsi="Arial" w:cs="Arial"/>
        <w:sz w:val="24"/>
        <w:szCs w:val="24"/>
      </w:rPr>
      <w:t>BRATISLAVA</w:t>
    </w:r>
    <w:r w:rsidRPr="00657CB2">
      <w:rPr>
        <w:rFonts w:ascii="Arial" w:hAnsi="Arial" w:cs="Arial"/>
        <w:sz w:val="24"/>
        <w:szCs w:val="24"/>
      </w:rPr>
      <w:br/>
    </w:r>
    <w:r w:rsidR="00907146">
      <w:rPr>
        <w:rFonts w:ascii="Arial" w:hAnsi="Arial" w:cs="Arial"/>
        <w:sz w:val="24"/>
        <w:szCs w:val="24"/>
      </w:rPr>
      <w:t>jún</w:t>
    </w:r>
    <w:r w:rsidRPr="00657CB2">
      <w:rPr>
        <w:rFonts w:ascii="Arial" w:hAnsi="Arial" w:cs="Arial"/>
        <w:sz w:val="24"/>
        <w:szCs w:val="24"/>
      </w:rPr>
      <w:t xml:space="preserve"> 20</w:t>
    </w:r>
    <w:r>
      <w:rPr>
        <w:rFonts w:ascii="Arial" w:hAnsi="Arial" w:cs="Arial"/>
        <w:sz w:val="24"/>
        <w:szCs w:val="24"/>
      </w:rPr>
      <w:t>1</w:t>
    </w:r>
    <w:r w:rsidR="00040C67">
      <w:rPr>
        <w:rFonts w:ascii="Arial" w:hAnsi="Arial" w:cs="Arial"/>
        <w:sz w:val="24"/>
        <w:szCs w:val="24"/>
      </w:rPr>
      <w:t>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757" w:rsidRPr="00657CB2" w:rsidRDefault="005F5757" w:rsidP="00657CB2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6C6B" w:rsidRDefault="00346C6B">
      <w:r>
        <w:separator/>
      </w:r>
    </w:p>
  </w:footnote>
  <w:footnote w:type="continuationSeparator" w:id="0">
    <w:p w:rsidR="00346C6B" w:rsidRDefault="00346C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757" w:rsidRDefault="00346C6B">
    <w:pPr>
      <w:pStyle w:val="Hlavi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135pt;margin-top:1.3pt;width:190.2pt;height:69.85pt;z-index:251657728">
          <v:imagedata r:id="rId1" o:title=""/>
          <w10:wrap type="topAndBottom"/>
        </v:shape>
        <o:OLEObject Type="Embed" ProgID="CorelDraw.Graphic.8" ShapeID="_x0000_s2049" DrawAspect="Content" ObjectID="_1402206808" r:id="rId2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757" w:rsidRDefault="005F5757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53DEA"/>
    <w:multiLevelType w:val="hybridMultilevel"/>
    <w:tmpl w:val="F1062A84"/>
    <w:lvl w:ilvl="0" w:tplc="041B000B">
      <w:start w:val="1"/>
      <w:numFmt w:val="bullet"/>
      <w:lvlText w:val="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C7734D"/>
    <w:multiLevelType w:val="hybridMultilevel"/>
    <w:tmpl w:val="4B80F9D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2638EE"/>
    <w:multiLevelType w:val="hybridMultilevel"/>
    <w:tmpl w:val="60565CB2"/>
    <w:lvl w:ilvl="0" w:tplc="041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E360EC"/>
    <w:multiLevelType w:val="hybridMultilevel"/>
    <w:tmpl w:val="1830572A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8C40E5"/>
    <w:multiLevelType w:val="multilevel"/>
    <w:tmpl w:val="C5E0A75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  <w:color w:val="000000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  <w:color w:val="000000"/>
      </w:rPr>
    </w:lvl>
  </w:abstractNum>
  <w:abstractNum w:abstractNumId="5">
    <w:nsid w:val="25055D2F"/>
    <w:multiLevelType w:val="hybridMultilevel"/>
    <w:tmpl w:val="2092CCE6"/>
    <w:lvl w:ilvl="0" w:tplc="041B000B">
      <w:start w:val="1"/>
      <w:numFmt w:val="bullet"/>
      <w:lvlText w:val="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6">
    <w:nsid w:val="29C93B14"/>
    <w:multiLevelType w:val="multilevel"/>
    <w:tmpl w:val="5EBCDFCE"/>
    <w:lvl w:ilvl="0">
      <w:start w:val="3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2BF33C7D"/>
    <w:multiLevelType w:val="hybridMultilevel"/>
    <w:tmpl w:val="9FA64606"/>
    <w:lvl w:ilvl="0" w:tplc="041B000B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8">
    <w:nsid w:val="2CEE7005"/>
    <w:multiLevelType w:val="hybridMultilevel"/>
    <w:tmpl w:val="7A28AF2E"/>
    <w:lvl w:ilvl="0" w:tplc="F798072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2A2473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346EE80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13813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55086C6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CAE8CDF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83D294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BBB0E0C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48E4DA72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330F0A26"/>
    <w:multiLevelType w:val="hybridMultilevel"/>
    <w:tmpl w:val="1DC4385C"/>
    <w:lvl w:ilvl="0" w:tplc="041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6B26F94"/>
    <w:multiLevelType w:val="multilevel"/>
    <w:tmpl w:val="B61E30E4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11">
    <w:nsid w:val="497B48C8"/>
    <w:multiLevelType w:val="hybridMultilevel"/>
    <w:tmpl w:val="6948548A"/>
    <w:lvl w:ilvl="0" w:tplc="4BE62390">
      <w:start w:val="3"/>
      <w:numFmt w:val="decimal"/>
      <w:lvlText w:val="%1."/>
      <w:lvlJc w:val="left"/>
      <w:pPr>
        <w:tabs>
          <w:tab w:val="num" w:pos="5220"/>
        </w:tabs>
        <w:ind w:left="5220" w:hanging="360"/>
      </w:pPr>
      <w:rPr>
        <w:rFonts w:hint="default"/>
      </w:rPr>
    </w:lvl>
    <w:lvl w:ilvl="1" w:tplc="985ECB50" w:tentative="1">
      <w:start w:val="1"/>
      <w:numFmt w:val="lowerLetter"/>
      <w:lvlText w:val="%2."/>
      <w:lvlJc w:val="left"/>
      <w:pPr>
        <w:tabs>
          <w:tab w:val="num" w:pos="5940"/>
        </w:tabs>
        <w:ind w:left="5940" w:hanging="360"/>
      </w:pPr>
    </w:lvl>
    <w:lvl w:ilvl="2" w:tplc="55201164" w:tentative="1">
      <w:start w:val="1"/>
      <w:numFmt w:val="lowerRoman"/>
      <w:lvlText w:val="%3."/>
      <w:lvlJc w:val="right"/>
      <w:pPr>
        <w:tabs>
          <w:tab w:val="num" w:pos="6660"/>
        </w:tabs>
        <w:ind w:left="6660" w:hanging="180"/>
      </w:pPr>
    </w:lvl>
    <w:lvl w:ilvl="3" w:tplc="7C9CFFB2" w:tentative="1">
      <w:start w:val="1"/>
      <w:numFmt w:val="decimal"/>
      <w:lvlText w:val="%4."/>
      <w:lvlJc w:val="left"/>
      <w:pPr>
        <w:tabs>
          <w:tab w:val="num" w:pos="7380"/>
        </w:tabs>
        <w:ind w:left="7380" w:hanging="360"/>
      </w:pPr>
    </w:lvl>
    <w:lvl w:ilvl="4" w:tplc="06A64C18" w:tentative="1">
      <w:start w:val="1"/>
      <w:numFmt w:val="lowerLetter"/>
      <w:lvlText w:val="%5."/>
      <w:lvlJc w:val="left"/>
      <w:pPr>
        <w:tabs>
          <w:tab w:val="num" w:pos="8100"/>
        </w:tabs>
        <w:ind w:left="8100" w:hanging="360"/>
      </w:pPr>
    </w:lvl>
    <w:lvl w:ilvl="5" w:tplc="C6869294" w:tentative="1">
      <w:start w:val="1"/>
      <w:numFmt w:val="lowerRoman"/>
      <w:lvlText w:val="%6."/>
      <w:lvlJc w:val="right"/>
      <w:pPr>
        <w:tabs>
          <w:tab w:val="num" w:pos="8820"/>
        </w:tabs>
        <w:ind w:left="8820" w:hanging="180"/>
      </w:pPr>
    </w:lvl>
    <w:lvl w:ilvl="6" w:tplc="99F27AE2" w:tentative="1">
      <w:start w:val="1"/>
      <w:numFmt w:val="decimal"/>
      <w:lvlText w:val="%7."/>
      <w:lvlJc w:val="left"/>
      <w:pPr>
        <w:tabs>
          <w:tab w:val="num" w:pos="9540"/>
        </w:tabs>
        <w:ind w:left="9540" w:hanging="360"/>
      </w:pPr>
    </w:lvl>
    <w:lvl w:ilvl="7" w:tplc="95D2108C" w:tentative="1">
      <w:start w:val="1"/>
      <w:numFmt w:val="lowerLetter"/>
      <w:lvlText w:val="%8."/>
      <w:lvlJc w:val="left"/>
      <w:pPr>
        <w:tabs>
          <w:tab w:val="num" w:pos="10260"/>
        </w:tabs>
        <w:ind w:left="10260" w:hanging="360"/>
      </w:pPr>
    </w:lvl>
    <w:lvl w:ilvl="8" w:tplc="23EA4332" w:tentative="1">
      <w:start w:val="1"/>
      <w:numFmt w:val="lowerRoman"/>
      <w:lvlText w:val="%9."/>
      <w:lvlJc w:val="right"/>
      <w:pPr>
        <w:tabs>
          <w:tab w:val="num" w:pos="10980"/>
        </w:tabs>
        <w:ind w:left="10980" w:hanging="180"/>
      </w:pPr>
    </w:lvl>
  </w:abstractNum>
  <w:abstractNum w:abstractNumId="12">
    <w:nsid w:val="53883DFA"/>
    <w:multiLevelType w:val="hybridMultilevel"/>
    <w:tmpl w:val="BA84F284"/>
    <w:lvl w:ilvl="0" w:tplc="5C1E409A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>
    <w:nsid w:val="56A0023F"/>
    <w:multiLevelType w:val="hybridMultilevel"/>
    <w:tmpl w:val="0A0CB62A"/>
    <w:lvl w:ilvl="0" w:tplc="74EC26B4">
      <w:start w:val="3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4">
    <w:nsid w:val="5B71561D"/>
    <w:multiLevelType w:val="multilevel"/>
    <w:tmpl w:val="B18859D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  <w:color w:val="000000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  <w:color w:val="000000"/>
      </w:rPr>
    </w:lvl>
  </w:abstractNum>
  <w:abstractNum w:abstractNumId="15">
    <w:nsid w:val="5EC56337"/>
    <w:multiLevelType w:val="singleLevel"/>
    <w:tmpl w:val="041B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65A835E4"/>
    <w:multiLevelType w:val="hybridMultilevel"/>
    <w:tmpl w:val="832468F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295E26"/>
    <w:multiLevelType w:val="hybridMultilevel"/>
    <w:tmpl w:val="2E7EEA62"/>
    <w:lvl w:ilvl="0" w:tplc="041B000B">
      <w:start w:val="1"/>
      <w:numFmt w:val="bullet"/>
      <w:lvlText w:val="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589"/>
        </w:tabs>
        <w:ind w:left="358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09"/>
        </w:tabs>
        <w:ind w:left="430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29"/>
        </w:tabs>
        <w:ind w:left="502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49"/>
        </w:tabs>
        <w:ind w:left="574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69"/>
        </w:tabs>
        <w:ind w:left="6469" w:hanging="360"/>
      </w:pPr>
      <w:rPr>
        <w:rFonts w:ascii="Wingdings" w:hAnsi="Wingdings" w:hint="default"/>
      </w:rPr>
    </w:lvl>
  </w:abstractNum>
  <w:abstractNum w:abstractNumId="18">
    <w:nsid w:val="6B352BB2"/>
    <w:multiLevelType w:val="hybridMultilevel"/>
    <w:tmpl w:val="2292ABE2"/>
    <w:lvl w:ilvl="0" w:tplc="041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F763EAF"/>
    <w:multiLevelType w:val="hybridMultilevel"/>
    <w:tmpl w:val="25162A42"/>
    <w:lvl w:ilvl="0" w:tplc="041B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78C03774"/>
    <w:multiLevelType w:val="multilevel"/>
    <w:tmpl w:val="3AA8BE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1">
    <w:nsid w:val="7D8F30E1"/>
    <w:multiLevelType w:val="multilevel"/>
    <w:tmpl w:val="6B5C34B0"/>
    <w:lvl w:ilvl="0">
      <w:start w:val="1"/>
      <w:numFmt w:val="decimal"/>
      <w:pStyle w:val="Nadpis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1.1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Nadpis3"/>
      <w:lvlText w:val="%1.1.1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2">
    <w:nsid w:val="7E3C2AE0"/>
    <w:multiLevelType w:val="multilevel"/>
    <w:tmpl w:val="CD1080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num w:numId="1">
    <w:abstractNumId w:val="15"/>
  </w:num>
  <w:num w:numId="2">
    <w:abstractNumId w:val="11"/>
  </w:num>
  <w:num w:numId="3">
    <w:abstractNumId w:val="8"/>
  </w:num>
  <w:num w:numId="4">
    <w:abstractNumId w:val="21"/>
  </w:num>
  <w:num w:numId="5">
    <w:abstractNumId w:val="2"/>
  </w:num>
  <w:num w:numId="6">
    <w:abstractNumId w:val="17"/>
  </w:num>
  <w:num w:numId="7">
    <w:abstractNumId w:val="22"/>
  </w:num>
  <w:num w:numId="8">
    <w:abstractNumId w:val="10"/>
  </w:num>
  <w:num w:numId="9">
    <w:abstractNumId w:val="6"/>
  </w:num>
  <w:num w:numId="10">
    <w:abstractNumId w:val="19"/>
  </w:num>
  <w:num w:numId="11">
    <w:abstractNumId w:val="13"/>
  </w:num>
  <w:num w:numId="12">
    <w:abstractNumId w:val="20"/>
  </w:num>
  <w:num w:numId="13">
    <w:abstractNumId w:val="18"/>
  </w:num>
  <w:num w:numId="14">
    <w:abstractNumId w:val="5"/>
  </w:num>
  <w:num w:numId="15">
    <w:abstractNumId w:val="14"/>
  </w:num>
  <w:num w:numId="16">
    <w:abstractNumId w:val="3"/>
  </w:num>
  <w:num w:numId="17">
    <w:abstractNumId w:val="7"/>
  </w:num>
  <w:num w:numId="18">
    <w:abstractNumId w:val="9"/>
  </w:num>
  <w:num w:numId="19">
    <w:abstractNumId w:val="12"/>
  </w:num>
  <w:num w:numId="20">
    <w:abstractNumId w:val="0"/>
  </w:num>
  <w:num w:numId="21">
    <w:abstractNumId w:val="16"/>
  </w:num>
  <w:num w:numId="22">
    <w:abstractNumId w:val="1"/>
  </w:num>
  <w:num w:numId="23">
    <w:abstractNumId w:val="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B76"/>
    <w:rsid w:val="000046E7"/>
    <w:rsid w:val="000066EC"/>
    <w:rsid w:val="00025C71"/>
    <w:rsid w:val="00040C67"/>
    <w:rsid w:val="0005444A"/>
    <w:rsid w:val="00074C37"/>
    <w:rsid w:val="00076B05"/>
    <w:rsid w:val="000871F5"/>
    <w:rsid w:val="00087DA3"/>
    <w:rsid w:val="00095B9D"/>
    <w:rsid w:val="00096632"/>
    <w:rsid w:val="000A2836"/>
    <w:rsid w:val="000A355C"/>
    <w:rsid w:val="000A39AE"/>
    <w:rsid w:val="000B5A7C"/>
    <w:rsid w:val="000C25AA"/>
    <w:rsid w:val="000C7655"/>
    <w:rsid w:val="000E012E"/>
    <w:rsid w:val="000F5BF1"/>
    <w:rsid w:val="00103A08"/>
    <w:rsid w:val="001045FA"/>
    <w:rsid w:val="001116CB"/>
    <w:rsid w:val="00115741"/>
    <w:rsid w:val="00120A2D"/>
    <w:rsid w:val="00122BD7"/>
    <w:rsid w:val="001400AF"/>
    <w:rsid w:val="00141FD0"/>
    <w:rsid w:val="00145793"/>
    <w:rsid w:val="00153309"/>
    <w:rsid w:val="0015694A"/>
    <w:rsid w:val="00170E64"/>
    <w:rsid w:val="0018085D"/>
    <w:rsid w:val="00191426"/>
    <w:rsid w:val="001A1135"/>
    <w:rsid w:val="001A4CBC"/>
    <w:rsid w:val="001B20CF"/>
    <w:rsid w:val="001C7AEF"/>
    <w:rsid w:val="001D0314"/>
    <w:rsid w:val="001D0600"/>
    <w:rsid w:val="001D0FCD"/>
    <w:rsid w:val="001D1B44"/>
    <w:rsid w:val="001E1B8A"/>
    <w:rsid w:val="001E1CBE"/>
    <w:rsid w:val="001E20C2"/>
    <w:rsid w:val="001F1D5A"/>
    <w:rsid w:val="002037F9"/>
    <w:rsid w:val="0021534F"/>
    <w:rsid w:val="00221B11"/>
    <w:rsid w:val="00222B97"/>
    <w:rsid w:val="00230E8D"/>
    <w:rsid w:val="00233410"/>
    <w:rsid w:val="00241345"/>
    <w:rsid w:val="00242047"/>
    <w:rsid w:val="00247DCE"/>
    <w:rsid w:val="00252CF5"/>
    <w:rsid w:val="002568F8"/>
    <w:rsid w:val="002667C1"/>
    <w:rsid w:val="0029385B"/>
    <w:rsid w:val="002A5CBE"/>
    <w:rsid w:val="002B34A0"/>
    <w:rsid w:val="002C5161"/>
    <w:rsid w:val="002D4ADF"/>
    <w:rsid w:val="002E701B"/>
    <w:rsid w:val="00301449"/>
    <w:rsid w:val="0032100D"/>
    <w:rsid w:val="003215BF"/>
    <w:rsid w:val="00321754"/>
    <w:rsid w:val="003261FA"/>
    <w:rsid w:val="00346C6B"/>
    <w:rsid w:val="00347392"/>
    <w:rsid w:val="00356ECC"/>
    <w:rsid w:val="0037457F"/>
    <w:rsid w:val="00375DB3"/>
    <w:rsid w:val="0038108E"/>
    <w:rsid w:val="00392264"/>
    <w:rsid w:val="003A1D2A"/>
    <w:rsid w:val="003B0253"/>
    <w:rsid w:val="003B76F0"/>
    <w:rsid w:val="003C1A7D"/>
    <w:rsid w:val="003E1029"/>
    <w:rsid w:val="003F7C26"/>
    <w:rsid w:val="00411F98"/>
    <w:rsid w:val="00415580"/>
    <w:rsid w:val="00415F50"/>
    <w:rsid w:val="00430578"/>
    <w:rsid w:val="00435B59"/>
    <w:rsid w:val="00453BB1"/>
    <w:rsid w:val="00455546"/>
    <w:rsid w:val="004572D0"/>
    <w:rsid w:val="004621B1"/>
    <w:rsid w:val="00475AA9"/>
    <w:rsid w:val="004764FC"/>
    <w:rsid w:val="00485707"/>
    <w:rsid w:val="004B536A"/>
    <w:rsid w:val="004C2BC8"/>
    <w:rsid w:val="004C31D6"/>
    <w:rsid w:val="004D0C8A"/>
    <w:rsid w:val="004D1194"/>
    <w:rsid w:val="004D2C1E"/>
    <w:rsid w:val="004D781A"/>
    <w:rsid w:val="004D7CF7"/>
    <w:rsid w:val="004E52D9"/>
    <w:rsid w:val="004F4973"/>
    <w:rsid w:val="004F761A"/>
    <w:rsid w:val="00504C33"/>
    <w:rsid w:val="00506E81"/>
    <w:rsid w:val="00514213"/>
    <w:rsid w:val="00520F4D"/>
    <w:rsid w:val="005211A4"/>
    <w:rsid w:val="0053100D"/>
    <w:rsid w:val="00531395"/>
    <w:rsid w:val="00531A2A"/>
    <w:rsid w:val="00536121"/>
    <w:rsid w:val="00541557"/>
    <w:rsid w:val="00556ECB"/>
    <w:rsid w:val="00557E34"/>
    <w:rsid w:val="005603E8"/>
    <w:rsid w:val="00564222"/>
    <w:rsid w:val="005646D8"/>
    <w:rsid w:val="005740EF"/>
    <w:rsid w:val="0057621C"/>
    <w:rsid w:val="00585F3B"/>
    <w:rsid w:val="005910A7"/>
    <w:rsid w:val="005A2C24"/>
    <w:rsid w:val="005B148C"/>
    <w:rsid w:val="005B32C3"/>
    <w:rsid w:val="005C0EDE"/>
    <w:rsid w:val="005C1964"/>
    <w:rsid w:val="005C1D59"/>
    <w:rsid w:val="005C7FE2"/>
    <w:rsid w:val="005F5757"/>
    <w:rsid w:val="005F6398"/>
    <w:rsid w:val="005F683C"/>
    <w:rsid w:val="00600C50"/>
    <w:rsid w:val="0060142F"/>
    <w:rsid w:val="006065E9"/>
    <w:rsid w:val="00606EC5"/>
    <w:rsid w:val="006149EF"/>
    <w:rsid w:val="006311A6"/>
    <w:rsid w:val="00632522"/>
    <w:rsid w:val="00641E12"/>
    <w:rsid w:val="006436AD"/>
    <w:rsid w:val="00655763"/>
    <w:rsid w:val="00657CB2"/>
    <w:rsid w:val="00671848"/>
    <w:rsid w:val="006727E6"/>
    <w:rsid w:val="0067527D"/>
    <w:rsid w:val="00676334"/>
    <w:rsid w:val="006827B9"/>
    <w:rsid w:val="00683921"/>
    <w:rsid w:val="00692D8A"/>
    <w:rsid w:val="00693D28"/>
    <w:rsid w:val="006A0268"/>
    <w:rsid w:val="006A6D2D"/>
    <w:rsid w:val="006A7745"/>
    <w:rsid w:val="006B4EA6"/>
    <w:rsid w:val="006B55BD"/>
    <w:rsid w:val="006C1AC5"/>
    <w:rsid w:val="006D1D5C"/>
    <w:rsid w:val="006E50AF"/>
    <w:rsid w:val="006E5D57"/>
    <w:rsid w:val="006E6452"/>
    <w:rsid w:val="006F33F4"/>
    <w:rsid w:val="00703521"/>
    <w:rsid w:val="00704D7E"/>
    <w:rsid w:val="007154B3"/>
    <w:rsid w:val="0072204C"/>
    <w:rsid w:val="007230A8"/>
    <w:rsid w:val="0072485E"/>
    <w:rsid w:val="00744906"/>
    <w:rsid w:val="007466FB"/>
    <w:rsid w:val="007543A6"/>
    <w:rsid w:val="00774F4A"/>
    <w:rsid w:val="00777AB9"/>
    <w:rsid w:val="00782064"/>
    <w:rsid w:val="00786FDE"/>
    <w:rsid w:val="00790AB8"/>
    <w:rsid w:val="007A06EB"/>
    <w:rsid w:val="007B085C"/>
    <w:rsid w:val="007B15F9"/>
    <w:rsid w:val="007B2A41"/>
    <w:rsid w:val="007C4BBA"/>
    <w:rsid w:val="007E6210"/>
    <w:rsid w:val="007E792B"/>
    <w:rsid w:val="0080376C"/>
    <w:rsid w:val="00805848"/>
    <w:rsid w:val="00814DE9"/>
    <w:rsid w:val="00820518"/>
    <w:rsid w:val="0082085D"/>
    <w:rsid w:val="00832168"/>
    <w:rsid w:val="008322FA"/>
    <w:rsid w:val="008345C6"/>
    <w:rsid w:val="0083676A"/>
    <w:rsid w:val="00841FFC"/>
    <w:rsid w:val="008422B6"/>
    <w:rsid w:val="00851C76"/>
    <w:rsid w:val="00852B0B"/>
    <w:rsid w:val="00860730"/>
    <w:rsid w:val="00860DED"/>
    <w:rsid w:val="008615AA"/>
    <w:rsid w:val="00864E2E"/>
    <w:rsid w:val="00873251"/>
    <w:rsid w:val="008734D0"/>
    <w:rsid w:val="00880AA9"/>
    <w:rsid w:val="00881B4E"/>
    <w:rsid w:val="008904E5"/>
    <w:rsid w:val="00893085"/>
    <w:rsid w:val="00893F72"/>
    <w:rsid w:val="008A37C1"/>
    <w:rsid w:val="008A4011"/>
    <w:rsid w:val="008A43C5"/>
    <w:rsid w:val="008B5598"/>
    <w:rsid w:val="008C788E"/>
    <w:rsid w:val="008D1DC6"/>
    <w:rsid w:val="008D4284"/>
    <w:rsid w:val="008D7879"/>
    <w:rsid w:val="008F0186"/>
    <w:rsid w:val="008F6014"/>
    <w:rsid w:val="0090439B"/>
    <w:rsid w:val="00907146"/>
    <w:rsid w:val="009143AF"/>
    <w:rsid w:val="009166DE"/>
    <w:rsid w:val="00941B7E"/>
    <w:rsid w:val="00952D81"/>
    <w:rsid w:val="0095335F"/>
    <w:rsid w:val="00960230"/>
    <w:rsid w:val="0097392A"/>
    <w:rsid w:val="00973CAF"/>
    <w:rsid w:val="00991FE0"/>
    <w:rsid w:val="00995B76"/>
    <w:rsid w:val="00996976"/>
    <w:rsid w:val="009B5D9F"/>
    <w:rsid w:val="009C0D64"/>
    <w:rsid w:val="009C3DC7"/>
    <w:rsid w:val="009E7FC5"/>
    <w:rsid w:val="009F48BB"/>
    <w:rsid w:val="009F5EF0"/>
    <w:rsid w:val="00A02473"/>
    <w:rsid w:val="00A31599"/>
    <w:rsid w:val="00A335DF"/>
    <w:rsid w:val="00A4666B"/>
    <w:rsid w:val="00A47FA6"/>
    <w:rsid w:val="00A51015"/>
    <w:rsid w:val="00A6696B"/>
    <w:rsid w:val="00A76E58"/>
    <w:rsid w:val="00A835DE"/>
    <w:rsid w:val="00A84BF6"/>
    <w:rsid w:val="00A95552"/>
    <w:rsid w:val="00AA7232"/>
    <w:rsid w:val="00AC5056"/>
    <w:rsid w:val="00AC5393"/>
    <w:rsid w:val="00AD21FB"/>
    <w:rsid w:val="00AD7728"/>
    <w:rsid w:val="00AE3AF5"/>
    <w:rsid w:val="00AF6367"/>
    <w:rsid w:val="00B04981"/>
    <w:rsid w:val="00B1606E"/>
    <w:rsid w:val="00B166A4"/>
    <w:rsid w:val="00B30FD8"/>
    <w:rsid w:val="00B45A54"/>
    <w:rsid w:val="00B556F0"/>
    <w:rsid w:val="00B62E7E"/>
    <w:rsid w:val="00B63243"/>
    <w:rsid w:val="00B96CA3"/>
    <w:rsid w:val="00BA41A4"/>
    <w:rsid w:val="00BC6519"/>
    <w:rsid w:val="00BD7236"/>
    <w:rsid w:val="00BE226F"/>
    <w:rsid w:val="00C04AC7"/>
    <w:rsid w:val="00C07717"/>
    <w:rsid w:val="00C4530D"/>
    <w:rsid w:val="00C54ECA"/>
    <w:rsid w:val="00C65250"/>
    <w:rsid w:val="00C830D8"/>
    <w:rsid w:val="00C83F30"/>
    <w:rsid w:val="00C84727"/>
    <w:rsid w:val="00C96396"/>
    <w:rsid w:val="00C971F1"/>
    <w:rsid w:val="00CA14A9"/>
    <w:rsid w:val="00CA2333"/>
    <w:rsid w:val="00CA3E44"/>
    <w:rsid w:val="00CA615A"/>
    <w:rsid w:val="00CB6EF9"/>
    <w:rsid w:val="00CC1F0C"/>
    <w:rsid w:val="00CC768B"/>
    <w:rsid w:val="00CE37E7"/>
    <w:rsid w:val="00CE3D8C"/>
    <w:rsid w:val="00CE4723"/>
    <w:rsid w:val="00CE549A"/>
    <w:rsid w:val="00CE5B4B"/>
    <w:rsid w:val="00CE6BDF"/>
    <w:rsid w:val="00CF09C6"/>
    <w:rsid w:val="00CF2E5C"/>
    <w:rsid w:val="00D01394"/>
    <w:rsid w:val="00D07D06"/>
    <w:rsid w:val="00D10434"/>
    <w:rsid w:val="00D1232F"/>
    <w:rsid w:val="00D17D96"/>
    <w:rsid w:val="00D23FCB"/>
    <w:rsid w:val="00D27AB7"/>
    <w:rsid w:val="00D33579"/>
    <w:rsid w:val="00D35AB4"/>
    <w:rsid w:val="00D41528"/>
    <w:rsid w:val="00D463CA"/>
    <w:rsid w:val="00D64A39"/>
    <w:rsid w:val="00D6616E"/>
    <w:rsid w:val="00D733B9"/>
    <w:rsid w:val="00D80CD5"/>
    <w:rsid w:val="00D813DB"/>
    <w:rsid w:val="00D85D90"/>
    <w:rsid w:val="00D935E2"/>
    <w:rsid w:val="00D96029"/>
    <w:rsid w:val="00DA7095"/>
    <w:rsid w:val="00DD6CDF"/>
    <w:rsid w:val="00DD7B69"/>
    <w:rsid w:val="00DE331D"/>
    <w:rsid w:val="00DE397F"/>
    <w:rsid w:val="00DF661F"/>
    <w:rsid w:val="00DF7B06"/>
    <w:rsid w:val="00E017F9"/>
    <w:rsid w:val="00E06169"/>
    <w:rsid w:val="00E20A54"/>
    <w:rsid w:val="00E334A4"/>
    <w:rsid w:val="00E335A2"/>
    <w:rsid w:val="00E43338"/>
    <w:rsid w:val="00E433FE"/>
    <w:rsid w:val="00E46240"/>
    <w:rsid w:val="00E54AD5"/>
    <w:rsid w:val="00E61D70"/>
    <w:rsid w:val="00E65525"/>
    <w:rsid w:val="00E9026E"/>
    <w:rsid w:val="00E9343E"/>
    <w:rsid w:val="00EA4631"/>
    <w:rsid w:val="00EB3A73"/>
    <w:rsid w:val="00EC6245"/>
    <w:rsid w:val="00EE1AD5"/>
    <w:rsid w:val="00EE2D56"/>
    <w:rsid w:val="00EF5F12"/>
    <w:rsid w:val="00F429E7"/>
    <w:rsid w:val="00F47107"/>
    <w:rsid w:val="00F54459"/>
    <w:rsid w:val="00F572A7"/>
    <w:rsid w:val="00F732AA"/>
    <w:rsid w:val="00F82FA7"/>
    <w:rsid w:val="00F841D7"/>
    <w:rsid w:val="00F85FD2"/>
    <w:rsid w:val="00F97BDB"/>
    <w:rsid w:val="00FB2697"/>
    <w:rsid w:val="00FB6B4F"/>
    <w:rsid w:val="00FF18C4"/>
    <w:rsid w:val="00FF4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E20A54"/>
    <w:rPr>
      <w:sz w:val="24"/>
      <w:szCs w:val="24"/>
    </w:rPr>
  </w:style>
  <w:style w:type="paragraph" w:styleId="Nadpis1">
    <w:name w:val="heading 1"/>
    <w:basedOn w:val="Normlny"/>
    <w:next w:val="Normlny"/>
    <w:qFormat/>
    <w:rsid w:val="00485707"/>
    <w:pPr>
      <w:keepNext/>
      <w:numPr>
        <w:numId w:val="4"/>
      </w:numPr>
      <w:spacing w:before="240" w:after="120" w:line="360" w:lineRule="auto"/>
      <w:jc w:val="both"/>
      <w:outlineLvl w:val="0"/>
    </w:pPr>
    <w:rPr>
      <w:rFonts w:ascii="Arial" w:hAnsi="Arial"/>
      <w:b/>
      <w:kern w:val="28"/>
      <w:sz w:val="28"/>
      <w:szCs w:val="20"/>
    </w:rPr>
  </w:style>
  <w:style w:type="paragraph" w:styleId="Nadpis2">
    <w:name w:val="heading 2"/>
    <w:basedOn w:val="Normlny"/>
    <w:next w:val="Normlny"/>
    <w:link w:val="Nadpis2Char"/>
    <w:qFormat/>
    <w:rsid w:val="00E20A54"/>
    <w:pPr>
      <w:keepNext/>
      <w:jc w:val="both"/>
      <w:outlineLvl w:val="1"/>
    </w:pPr>
    <w:rPr>
      <w:rFonts w:ascii="Arial" w:hAnsi="Arial"/>
      <w:b/>
      <w:sz w:val="22"/>
      <w:szCs w:val="20"/>
    </w:rPr>
  </w:style>
  <w:style w:type="paragraph" w:styleId="Nadpis3">
    <w:name w:val="heading 3"/>
    <w:basedOn w:val="Normlny"/>
    <w:next w:val="Normlny"/>
    <w:qFormat/>
    <w:rsid w:val="00485707"/>
    <w:pPr>
      <w:keepNext/>
      <w:numPr>
        <w:ilvl w:val="2"/>
        <w:numId w:val="4"/>
      </w:numPr>
      <w:tabs>
        <w:tab w:val="clear" w:pos="1440"/>
        <w:tab w:val="num" w:pos="360"/>
      </w:tabs>
      <w:spacing w:before="120" w:after="60" w:line="360" w:lineRule="auto"/>
      <w:ind w:left="360" w:hanging="360"/>
      <w:jc w:val="both"/>
      <w:outlineLvl w:val="2"/>
    </w:pPr>
    <w:rPr>
      <w:rFonts w:ascii="Arial" w:hAnsi="Arial"/>
      <w:b/>
      <w:szCs w:val="20"/>
    </w:rPr>
  </w:style>
  <w:style w:type="paragraph" w:styleId="Nadpis4">
    <w:name w:val="heading 4"/>
    <w:basedOn w:val="Normlny"/>
    <w:next w:val="Normlny"/>
    <w:qFormat/>
    <w:rsid w:val="00E20A54"/>
    <w:pPr>
      <w:keepNext/>
      <w:outlineLvl w:val="3"/>
    </w:pPr>
    <w:rPr>
      <w:rFonts w:ascii="Arial" w:hAnsi="Arial"/>
      <w:szCs w:val="20"/>
    </w:rPr>
  </w:style>
  <w:style w:type="paragraph" w:styleId="Nadpis6">
    <w:name w:val="heading 6"/>
    <w:basedOn w:val="Normlny"/>
    <w:next w:val="Normlny"/>
    <w:qFormat/>
    <w:rsid w:val="00485707"/>
    <w:pPr>
      <w:keepNext/>
      <w:tabs>
        <w:tab w:val="left" w:pos="567"/>
        <w:tab w:val="left" w:pos="709"/>
        <w:tab w:val="decimal" w:pos="8222"/>
      </w:tabs>
      <w:spacing w:before="240" w:after="120" w:line="360" w:lineRule="auto"/>
      <w:jc w:val="center"/>
      <w:outlineLvl w:val="5"/>
    </w:pPr>
    <w:rPr>
      <w:rFonts w:ascii="Arial" w:hAnsi="Arial"/>
      <w:b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CarCharChar">
    <w:name w:val="Car Char Char"/>
    <w:basedOn w:val="Normlny"/>
    <w:rsid w:val="00E20A54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Zarkazkladnhotextu">
    <w:name w:val="Body Text Indent"/>
    <w:basedOn w:val="Normlny"/>
    <w:link w:val="ZarkazkladnhotextuChar"/>
    <w:rsid w:val="00E20A54"/>
    <w:pPr>
      <w:ind w:left="360"/>
      <w:jc w:val="both"/>
    </w:pPr>
    <w:rPr>
      <w:rFonts w:ascii="Arial" w:hAnsi="Arial"/>
      <w:szCs w:val="20"/>
    </w:rPr>
  </w:style>
  <w:style w:type="paragraph" w:styleId="Pta">
    <w:name w:val="footer"/>
    <w:basedOn w:val="Normlny"/>
    <w:link w:val="PtaChar"/>
    <w:rsid w:val="00E20A54"/>
    <w:pPr>
      <w:tabs>
        <w:tab w:val="center" w:pos="4536"/>
        <w:tab w:val="right" w:pos="9072"/>
      </w:tabs>
    </w:pPr>
    <w:rPr>
      <w:sz w:val="20"/>
      <w:szCs w:val="20"/>
      <w:lang w:eastAsia="cs-CZ"/>
    </w:rPr>
  </w:style>
  <w:style w:type="paragraph" w:styleId="Zkladntext">
    <w:name w:val="Body Text"/>
    <w:basedOn w:val="Normlny"/>
    <w:link w:val="ZkladntextChar"/>
    <w:rsid w:val="00E20A54"/>
    <w:rPr>
      <w:rFonts w:ascii="Arial" w:hAnsi="Arial"/>
      <w:color w:val="000000"/>
      <w:sz w:val="20"/>
      <w:szCs w:val="20"/>
      <w:lang w:eastAsia="cs-CZ"/>
    </w:rPr>
  </w:style>
  <w:style w:type="character" w:styleId="Hypertextovprepojenie">
    <w:name w:val="Hyperlink"/>
    <w:basedOn w:val="Predvolenpsmoodseku"/>
    <w:rsid w:val="00E20A54"/>
    <w:rPr>
      <w:color w:val="0000FF"/>
      <w:u w:val="single"/>
    </w:rPr>
  </w:style>
  <w:style w:type="character" w:styleId="PouitHypertextovPrepojenie">
    <w:name w:val="FollowedHyperlink"/>
    <w:basedOn w:val="Predvolenpsmoodseku"/>
    <w:rsid w:val="00FF48A1"/>
    <w:rPr>
      <w:color w:val="800080"/>
      <w:u w:val="single"/>
    </w:rPr>
  </w:style>
  <w:style w:type="paragraph" w:styleId="Textbubliny">
    <w:name w:val="Balloon Text"/>
    <w:basedOn w:val="Normlny"/>
    <w:link w:val="TextbublinyChar"/>
    <w:rsid w:val="00557E34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rsid w:val="00657CB2"/>
    <w:pPr>
      <w:tabs>
        <w:tab w:val="center" w:pos="4536"/>
        <w:tab w:val="right" w:pos="9072"/>
      </w:tabs>
    </w:pPr>
    <w:rPr>
      <w:rFonts w:ascii="Arial" w:hAnsi="Arial"/>
      <w:szCs w:val="20"/>
    </w:rPr>
  </w:style>
  <w:style w:type="paragraph" w:styleId="Zkladntext2">
    <w:name w:val="Body Text 2"/>
    <w:basedOn w:val="Normlny"/>
    <w:link w:val="Zkladntext2Char"/>
    <w:rsid w:val="00657CB2"/>
    <w:pPr>
      <w:spacing w:after="120" w:line="480" w:lineRule="auto"/>
    </w:pPr>
    <w:rPr>
      <w:rFonts w:ascii="Arial" w:hAnsi="Arial"/>
      <w:szCs w:val="20"/>
    </w:rPr>
  </w:style>
  <w:style w:type="paragraph" w:styleId="Zkladntext3">
    <w:name w:val="Body Text 3"/>
    <w:basedOn w:val="Normlny"/>
    <w:rsid w:val="00657CB2"/>
    <w:pPr>
      <w:spacing w:after="120"/>
    </w:pPr>
    <w:rPr>
      <w:rFonts w:ascii="Arial" w:hAnsi="Arial"/>
      <w:sz w:val="16"/>
      <w:szCs w:val="16"/>
    </w:rPr>
  </w:style>
  <w:style w:type="paragraph" w:styleId="Zarkazkladnhotextu3">
    <w:name w:val="Body Text Indent 3"/>
    <w:basedOn w:val="Normlny"/>
    <w:link w:val="Zarkazkladnhotextu3Char"/>
    <w:rsid w:val="00485707"/>
    <w:pPr>
      <w:spacing w:after="120"/>
      <w:ind w:left="283"/>
    </w:pPr>
    <w:rPr>
      <w:rFonts w:ascii="Arial" w:hAnsi="Arial"/>
      <w:sz w:val="16"/>
      <w:szCs w:val="16"/>
    </w:rPr>
  </w:style>
  <w:style w:type="paragraph" w:styleId="Zarkazkladnhotextu2">
    <w:name w:val="Body Text Indent 2"/>
    <w:basedOn w:val="Normlny"/>
    <w:link w:val="Zarkazkladnhotextu2Char"/>
    <w:rsid w:val="00485707"/>
    <w:pPr>
      <w:spacing w:after="120" w:line="480" w:lineRule="auto"/>
      <w:ind w:left="283"/>
    </w:pPr>
    <w:rPr>
      <w:rFonts w:ascii="Arial" w:hAnsi="Arial"/>
      <w:szCs w:val="20"/>
    </w:rPr>
  </w:style>
  <w:style w:type="character" w:styleId="slostrany">
    <w:name w:val="page number"/>
    <w:basedOn w:val="Predvolenpsmoodseku"/>
    <w:rsid w:val="00485707"/>
  </w:style>
  <w:style w:type="paragraph" w:customStyle="1" w:styleId="kSk">
    <w:name w:val="kSk"/>
    <w:basedOn w:val="Normlny"/>
    <w:rsid w:val="00485707"/>
    <w:pPr>
      <w:tabs>
        <w:tab w:val="left" w:pos="426"/>
        <w:tab w:val="decimal" w:pos="8080"/>
      </w:tabs>
      <w:spacing w:after="240" w:line="360" w:lineRule="auto"/>
    </w:pPr>
    <w:rPr>
      <w:rFonts w:ascii="Arial" w:hAnsi="Arial"/>
      <w:szCs w:val="20"/>
    </w:rPr>
  </w:style>
  <w:style w:type="table" w:styleId="Mriekatabuky">
    <w:name w:val="Table Grid"/>
    <w:basedOn w:val="Normlnatabuka"/>
    <w:rsid w:val="004857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obecn">
    <w:name w:val="Všeobecný"/>
    <w:basedOn w:val="Normlny"/>
    <w:rsid w:val="00485707"/>
    <w:pPr>
      <w:jc w:val="both"/>
    </w:pPr>
    <w:rPr>
      <w:rFonts w:ascii="Arial" w:hAnsi="Arial"/>
      <w:szCs w:val="20"/>
      <w:lang w:eastAsia="cs-CZ"/>
    </w:rPr>
  </w:style>
  <w:style w:type="paragraph" w:customStyle="1" w:styleId="Char">
    <w:name w:val="Char"/>
    <w:basedOn w:val="Normlny"/>
    <w:rsid w:val="00475AA9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truktradokumentu">
    <w:name w:val="Document Map"/>
    <w:basedOn w:val="Normlny"/>
    <w:semiHidden/>
    <w:rsid w:val="003B0253"/>
    <w:pPr>
      <w:shd w:val="clear" w:color="auto" w:fill="000080"/>
    </w:pPr>
    <w:rPr>
      <w:rFonts w:ascii="Tahoma" w:hAnsi="Tahoma" w:cs="Tahoma"/>
      <w:sz w:val="20"/>
      <w:szCs w:val="20"/>
    </w:rPr>
  </w:style>
  <w:style w:type="numbering" w:customStyle="1" w:styleId="Bezzoznamu1">
    <w:name w:val="Bez zoznamu1"/>
    <w:next w:val="Bezzoznamu"/>
    <w:uiPriority w:val="99"/>
    <w:semiHidden/>
    <w:unhideWhenUsed/>
    <w:rsid w:val="007B085C"/>
  </w:style>
  <w:style w:type="character" w:customStyle="1" w:styleId="Nadpis2Char">
    <w:name w:val="Nadpis 2 Char"/>
    <w:basedOn w:val="Predvolenpsmoodseku"/>
    <w:link w:val="Nadpis2"/>
    <w:rsid w:val="007B085C"/>
    <w:rPr>
      <w:rFonts w:ascii="Arial" w:hAnsi="Arial"/>
      <w:b/>
      <w:sz w:val="22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7B085C"/>
    <w:rPr>
      <w:rFonts w:ascii="Arial" w:hAnsi="Arial"/>
      <w:sz w:val="16"/>
      <w:szCs w:val="16"/>
    </w:rPr>
  </w:style>
  <w:style w:type="character" w:customStyle="1" w:styleId="ZarkazkladnhotextuChar">
    <w:name w:val="Zarážka základného textu Char"/>
    <w:basedOn w:val="Predvolenpsmoodseku"/>
    <w:link w:val="Zarkazkladnhotextu"/>
    <w:rsid w:val="007B085C"/>
    <w:rPr>
      <w:rFonts w:ascii="Arial" w:hAnsi="Arial"/>
      <w:sz w:val="24"/>
    </w:rPr>
  </w:style>
  <w:style w:type="character" w:customStyle="1" w:styleId="ZkladntextChar">
    <w:name w:val="Základný text Char"/>
    <w:basedOn w:val="Predvolenpsmoodseku"/>
    <w:link w:val="Zkladntext"/>
    <w:rsid w:val="007B085C"/>
    <w:rPr>
      <w:rFonts w:ascii="Arial" w:hAnsi="Arial"/>
      <w:color w:val="000000"/>
      <w:lang w:eastAsia="cs-CZ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7B085C"/>
    <w:rPr>
      <w:rFonts w:ascii="Arial" w:hAnsi="Arial"/>
      <w:sz w:val="24"/>
    </w:rPr>
  </w:style>
  <w:style w:type="character" w:customStyle="1" w:styleId="Zkladntext2Char">
    <w:name w:val="Základný text 2 Char"/>
    <w:basedOn w:val="Predvolenpsmoodseku"/>
    <w:link w:val="Zkladntext2"/>
    <w:rsid w:val="007B085C"/>
    <w:rPr>
      <w:rFonts w:ascii="Arial" w:hAnsi="Arial"/>
      <w:sz w:val="24"/>
    </w:rPr>
  </w:style>
  <w:style w:type="character" w:customStyle="1" w:styleId="PtaChar">
    <w:name w:val="Päta Char"/>
    <w:basedOn w:val="Predvolenpsmoodseku"/>
    <w:link w:val="Pta"/>
    <w:rsid w:val="007B085C"/>
    <w:rPr>
      <w:lang w:eastAsia="cs-CZ"/>
    </w:rPr>
  </w:style>
  <w:style w:type="character" w:customStyle="1" w:styleId="TextbublinyChar">
    <w:name w:val="Text bubliny Char"/>
    <w:basedOn w:val="Predvolenpsmoodseku"/>
    <w:link w:val="Textbubliny"/>
    <w:rsid w:val="007B085C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99"/>
    <w:qFormat/>
    <w:rsid w:val="007B085C"/>
    <w:pPr>
      <w:ind w:left="720"/>
      <w:contextualSpacing/>
    </w:pPr>
    <w:rPr>
      <w:rFonts w:ascii="Arial" w:hAnsi="Arial"/>
      <w:szCs w:val="20"/>
    </w:rPr>
  </w:style>
  <w:style w:type="numbering" w:customStyle="1" w:styleId="Bezzoznamu2">
    <w:name w:val="Bez zoznamu2"/>
    <w:next w:val="Bezzoznamu"/>
    <w:uiPriority w:val="99"/>
    <w:semiHidden/>
    <w:unhideWhenUsed/>
    <w:rsid w:val="000A39AE"/>
  </w:style>
  <w:style w:type="numbering" w:customStyle="1" w:styleId="Bezzoznamu3">
    <w:name w:val="Bez zoznamu3"/>
    <w:next w:val="Bezzoznamu"/>
    <w:uiPriority w:val="99"/>
    <w:semiHidden/>
    <w:unhideWhenUsed/>
    <w:rsid w:val="005646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E20A54"/>
    <w:rPr>
      <w:sz w:val="24"/>
      <w:szCs w:val="24"/>
    </w:rPr>
  </w:style>
  <w:style w:type="paragraph" w:styleId="Nadpis1">
    <w:name w:val="heading 1"/>
    <w:basedOn w:val="Normlny"/>
    <w:next w:val="Normlny"/>
    <w:qFormat/>
    <w:rsid w:val="00485707"/>
    <w:pPr>
      <w:keepNext/>
      <w:numPr>
        <w:numId w:val="4"/>
      </w:numPr>
      <w:spacing w:before="240" w:after="120" w:line="360" w:lineRule="auto"/>
      <w:jc w:val="both"/>
      <w:outlineLvl w:val="0"/>
    </w:pPr>
    <w:rPr>
      <w:rFonts w:ascii="Arial" w:hAnsi="Arial"/>
      <w:b/>
      <w:kern w:val="28"/>
      <w:sz w:val="28"/>
      <w:szCs w:val="20"/>
    </w:rPr>
  </w:style>
  <w:style w:type="paragraph" w:styleId="Nadpis2">
    <w:name w:val="heading 2"/>
    <w:basedOn w:val="Normlny"/>
    <w:next w:val="Normlny"/>
    <w:link w:val="Nadpis2Char"/>
    <w:qFormat/>
    <w:rsid w:val="00E20A54"/>
    <w:pPr>
      <w:keepNext/>
      <w:jc w:val="both"/>
      <w:outlineLvl w:val="1"/>
    </w:pPr>
    <w:rPr>
      <w:rFonts w:ascii="Arial" w:hAnsi="Arial"/>
      <w:b/>
      <w:sz w:val="22"/>
      <w:szCs w:val="20"/>
    </w:rPr>
  </w:style>
  <w:style w:type="paragraph" w:styleId="Nadpis3">
    <w:name w:val="heading 3"/>
    <w:basedOn w:val="Normlny"/>
    <w:next w:val="Normlny"/>
    <w:qFormat/>
    <w:rsid w:val="00485707"/>
    <w:pPr>
      <w:keepNext/>
      <w:numPr>
        <w:ilvl w:val="2"/>
        <w:numId w:val="4"/>
      </w:numPr>
      <w:tabs>
        <w:tab w:val="clear" w:pos="1440"/>
        <w:tab w:val="num" w:pos="360"/>
      </w:tabs>
      <w:spacing w:before="120" w:after="60" w:line="360" w:lineRule="auto"/>
      <w:ind w:left="360" w:hanging="360"/>
      <w:jc w:val="both"/>
      <w:outlineLvl w:val="2"/>
    </w:pPr>
    <w:rPr>
      <w:rFonts w:ascii="Arial" w:hAnsi="Arial"/>
      <w:b/>
      <w:szCs w:val="20"/>
    </w:rPr>
  </w:style>
  <w:style w:type="paragraph" w:styleId="Nadpis4">
    <w:name w:val="heading 4"/>
    <w:basedOn w:val="Normlny"/>
    <w:next w:val="Normlny"/>
    <w:qFormat/>
    <w:rsid w:val="00E20A54"/>
    <w:pPr>
      <w:keepNext/>
      <w:outlineLvl w:val="3"/>
    </w:pPr>
    <w:rPr>
      <w:rFonts w:ascii="Arial" w:hAnsi="Arial"/>
      <w:szCs w:val="20"/>
    </w:rPr>
  </w:style>
  <w:style w:type="paragraph" w:styleId="Nadpis6">
    <w:name w:val="heading 6"/>
    <w:basedOn w:val="Normlny"/>
    <w:next w:val="Normlny"/>
    <w:qFormat/>
    <w:rsid w:val="00485707"/>
    <w:pPr>
      <w:keepNext/>
      <w:tabs>
        <w:tab w:val="left" w:pos="567"/>
        <w:tab w:val="left" w:pos="709"/>
        <w:tab w:val="decimal" w:pos="8222"/>
      </w:tabs>
      <w:spacing w:before="240" w:after="120" w:line="360" w:lineRule="auto"/>
      <w:jc w:val="center"/>
      <w:outlineLvl w:val="5"/>
    </w:pPr>
    <w:rPr>
      <w:rFonts w:ascii="Arial" w:hAnsi="Arial"/>
      <w:b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CarCharChar">
    <w:name w:val="Car Char Char"/>
    <w:basedOn w:val="Normlny"/>
    <w:rsid w:val="00E20A54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Zarkazkladnhotextu">
    <w:name w:val="Body Text Indent"/>
    <w:basedOn w:val="Normlny"/>
    <w:link w:val="ZarkazkladnhotextuChar"/>
    <w:rsid w:val="00E20A54"/>
    <w:pPr>
      <w:ind w:left="360"/>
      <w:jc w:val="both"/>
    </w:pPr>
    <w:rPr>
      <w:rFonts w:ascii="Arial" w:hAnsi="Arial"/>
      <w:szCs w:val="20"/>
    </w:rPr>
  </w:style>
  <w:style w:type="paragraph" w:styleId="Pta">
    <w:name w:val="footer"/>
    <w:basedOn w:val="Normlny"/>
    <w:link w:val="PtaChar"/>
    <w:rsid w:val="00E20A54"/>
    <w:pPr>
      <w:tabs>
        <w:tab w:val="center" w:pos="4536"/>
        <w:tab w:val="right" w:pos="9072"/>
      </w:tabs>
    </w:pPr>
    <w:rPr>
      <w:sz w:val="20"/>
      <w:szCs w:val="20"/>
      <w:lang w:eastAsia="cs-CZ"/>
    </w:rPr>
  </w:style>
  <w:style w:type="paragraph" w:styleId="Zkladntext">
    <w:name w:val="Body Text"/>
    <w:basedOn w:val="Normlny"/>
    <w:link w:val="ZkladntextChar"/>
    <w:rsid w:val="00E20A54"/>
    <w:rPr>
      <w:rFonts w:ascii="Arial" w:hAnsi="Arial"/>
      <w:color w:val="000000"/>
      <w:sz w:val="20"/>
      <w:szCs w:val="20"/>
      <w:lang w:eastAsia="cs-CZ"/>
    </w:rPr>
  </w:style>
  <w:style w:type="character" w:styleId="Hypertextovprepojenie">
    <w:name w:val="Hyperlink"/>
    <w:basedOn w:val="Predvolenpsmoodseku"/>
    <w:rsid w:val="00E20A54"/>
    <w:rPr>
      <w:color w:val="0000FF"/>
      <w:u w:val="single"/>
    </w:rPr>
  </w:style>
  <w:style w:type="character" w:styleId="PouitHypertextovPrepojenie">
    <w:name w:val="FollowedHyperlink"/>
    <w:basedOn w:val="Predvolenpsmoodseku"/>
    <w:rsid w:val="00FF48A1"/>
    <w:rPr>
      <w:color w:val="800080"/>
      <w:u w:val="single"/>
    </w:rPr>
  </w:style>
  <w:style w:type="paragraph" w:styleId="Textbubliny">
    <w:name w:val="Balloon Text"/>
    <w:basedOn w:val="Normlny"/>
    <w:link w:val="TextbublinyChar"/>
    <w:rsid w:val="00557E34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rsid w:val="00657CB2"/>
    <w:pPr>
      <w:tabs>
        <w:tab w:val="center" w:pos="4536"/>
        <w:tab w:val="right" w:pos="9072"/>
      </w:tabs>
    </w:pPr>
    <w:rPr>
      <w:rFonts w:ascii="Arial" w:hAnsi="Arial"/>
      <w:szCs w:val="20"/>
    </w:rPr>
  </w:style>
  <w:style w:type="paragraph" w:styleId="Zkladntext2">
    <w:name w:val="Body Text 2"/>
    <w:basedOn w:val="Normlny"/>
    <w:link w:val="Zkladntext2Char"/>
    <w:rsid w:val="00657CB2"/>
    <w:pPr>
      <w:spacing w:after="120" w:line="480" w:lineRule="auto"/>
    </w:pPr>
    <w:rPr>
      <w:rFonts w:ascii="Arial" w:hAnsi="Arial"/>
      <w:szCs w:val="20"/>
    </w:rPr>
  </w:style>
  <w:style w:type="paragraph" w:styleId="Zkladntext3">
    <w:name w:val="Body Text 3"/>
    <w:basedOn w:val="Normlny"/>
    <w:rsid w:val="00657CB2"/>
    <w:pPr>
      <w:spacing w:after="120"/>
    </w:pPr>
    <w:rPr>
      <w:rFonts w:ascii="Arial" w:hAnsi="Arial"/>
      <w:sz w:val="16"/>
      <w:szCs w:val="16"/>
    </w:rPr>
  </w:style>
  <w:style w:type="paragraph" w:styleId="Zarkazkladnhotextu3">
    <w:name w:val="Body Text Indent 3"/>
    <w:basedOn w:val="Normlny"/>
    <w:link w:val="Zarkazkladnhotextu3Char"/>
    <w:rsid w:val="00485707"/>
    <w:pPr>
      <w:spacing w:after="120"/>
      <w:ind w:left="283"/>
    </w:pPr>
    <w:rPr>
      <w:rFonts w:ascii="Arial" w:hAnsi="Arial"/>
      <w:sz w:val="16"/>
      <w:szCs w:val="16"/>
    </w:rPr>
  </w:style>
  <w:style w:type="paragraph" w:styleId="Zarkazkladnhotextu2">
    <w:name w:val="Body Text Indent 2"/>
    <w:basedOn w:val="Normlny"/>
    <w:link w:val="Zarkazkladnhotextu2Char"/>
    <w:rsid w:val="00485707"/>
    <w:pPr>
      <w:spacing w:after="120" w:line="480" w:lineRule="auto"/>
      <w:ind w:left="283"/>
    </w:pPr>
    <w:rPr>
      <w:rFonts w:ascii="Arial" w:hAnsi="Arial"/>
      <w:szCs w:val="20"/>
    </w:rPr>
  </w:style>
  <w:style w:type="character" w:styleId="slostrany">
    <w:name w:val="page number"/>
    <w:basedOn w:val="Predvolenpsmoodseku"/>
    <w:rsid w:val="00485707"/>
  </w:style>
  <w:style w:type="paragraph" w:customStyle="1" w:styleId="kSk">
    <w:name w:val="kSk"/>
    <w:basedOn w:val="Normlny"/>
    <w:rsid w:val="00485707"/>
    <w:pPr>
      <w:tabs>
        <w:tab w:val="left" w:pos="426"/>
        <w:tab w:val="decimal" w:pos="8080"/>
      </w:tabs>
      <w:spacing w:after="240" w:line="360" w:lineRule="auto"/>
    </w:pPr>
    <w:rPr>
      <w:rFonts w:ascii="Arial" w:hAnsi="Arial"/>
      <w:szCs w:val="20"/>
    </w:rPr>
  </w:style>
  <w:style w:type="table" w:styleId="Mriekatabuky">
    <w:name w:val="Table Grid"/>
    <w:basedOn w:val="Normlnatabuka"/>
    <w:rsid w:val="004857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obecn">
    <w:name w:val="Všeobecný"/>
    <w:basedOn w:val="Normlny"/>
    <w:rsid w:val="00485707"/>
    <w:pPr>
      <w:jc w:val="both"/>
    </w:pPr>
    <w:rPr>
      <w:rFonts w:ascii="Arial" w:hAnsi="Arial"/>
      <w:szCs w:val="20"/>
      <w:lang w:eastAsia="cs-CZ"/>
    </w:rPr>
  </w:style>
  <w:style w:type="paragraph" w:customStyle="1" w:styleId="Char">
    <w:name w:val="Char"/>
    <w:basedOn w:val="Normlny"/>
    <w:rsid w:val="00475AA9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truktradokumentu">
    <w:name w:val="Document Map"/>
    <w:basedOn w:val="Normlny"/>
    <w:semiHidden/>
    <w:rsid w:val="003B0253"/>
    <w:pPr>
      <w:shd w:val="clear" w:color="auto" w:fill="000080"/>
    </w:pPr>
    <w:rPr>
      <w:rFonts w:ascii="Tahoma" w:hAnsi="Tahoma" w:cs="Tahoma"/>
      <w:sz w:val="20"/>
      <w:szCs w:val="20"/>
    </w:rPr>
  </w:style>
  <w:style w:type="numbering" w:customStyle="1" w:styleId="Bezzoznamu1">
    <w:name w:val="Bez zoznamu1"/>
    <w:next w:val="Bezzoznamu"/>
    <w:uiPriority w:val="99"/>
    <w:semiHidden/>
    <w:unhideWhenUsed/>
    <w:rsid w:val="007B085C"/>
  </w:style>
  <w:style w:type="character" w:customStyle="1" w:styleId="Nadpis2Char">
    <w:name w:val="Nadpis 2 Char"/>
    <w:basedOn w:val="Predvolenpsmoodseku"/>
    <w:link w:val="Nadpis2"/>
    <w:rsid w:val="007B085C"/>
    <w:rPr>
      <w:rFonts w:ascii="Arial" w:hAnsi="Arial"/>
      <w:b/>
      <w:sz w:val="22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7B085C"/>
    <w:rPr>
      <w:rFonts w:ascii="Arial" w:hAnsi="Arial"/>
      <w:sz w:val="16"/>
      <w:szCs w:val="16"/>
    </w:rPr>
  </w:style>
  <w:style w:type="character" w:customStyle="1" w:styleId="ZarkazkladnhotextuChar">
    <w:name w:val="Zarážka základného textu Char"/>
    <w:basedOn w:val="Predvolenpsmoodseku"/>
    <w:link w:val="Zarkazkladnhotextu"/>
    <w:rsid w:val="007B085C"/>
    <w:rPr>
      <w:rFonts w:ascii="Arial" w:hAnsi="Arial"/>
      <w:sz w:val="24"/>
    </w:rPr>
  </w:style>
  <w:style w:type="character" w:customStyle="1" w:styleId="ZkladntextChar">
    <w:name w:val="Základný text Char"/>
    <w:basedOn w:val="Predvolenpsmoodseku"/>
    <w:link w:val="Zkladntext"/>
    <w:rsid w:val="007B085C"/>
    <w:rPr>
      <w:rFonts w:ascii="Arial" w:hAnsi="Arial"/>
      <w:color w:val="000000"/>
      <w:lang w:eastAsia="cs-CZ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7B085C"/>
    <w:rPr>
      <w:rFonts w:ascii="Arial" w:hAnsi="Arial"/>
      <w:sz w:val="24"/>
    </w:rPr>
  </w:style>
  <w:style w:type="character" w:customStyle="1" w:styleId="Zkladntext2Char">
    <w:name w:val="Základný text 2 Char"/>
    <w:basedOn w:val="Predvolenpsmoodseku"/>
    <w:link w:val="Zkladntext2"/>
    <w:rsid w:val="007B085C"/>
    <w:rPr>
      <w:rFonts w:ascii="Arial" w:hAnsi="Arial"/>
      <w:sz w:val="24"/>
    </w:rPr>
  </w:style>
  <w:style w:type="character" w:customStyle="1" w:styleId="PtaChar">
    <w:name w:val="Päta Char"/>
    <w:basedOn w:val="Predvolenpsmoodseku"/>
    <w:link w:val="Pta"/>
    <w:rsid w:val="007B085C"/>
    <w:rPr>
      <w:lang w:eastAsia="cs-CZ"/>
    </w:rPr>
  </w:style>
  <w:style w:type="character" w:customStyle="1" w:styleId="TextbublinyChar">
    <w:name w:val="Text bubliny Char"/>
    <w:basedOn w:val="Predvolenpsmoodseku"/>
    <w:link w:val="Textbubliny"/>
    <w:rsid w:val="007B085C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99"/>
    <w:qFormat/>
    <w:rsid w:val="007B085C"/>
    <w:pPr>
      <w:ind w:left="720"/>
      <w:contextualSpacing/>
    </w:pPr>
    <w:rPr>
      <w:rFonts w:ascii="Arial" w:hAnsi="Arial"/>
      <w:szCs w:val="20"/>
    </w:rPr>
  </w:style>
  <w:style w:type="numbering" w:customStyle="1" w:styleId="Bezzoznamu2">
    <w:name w:val="Bez zoznamu2"/>
    <w:next w:val="Bezzoznamu"/>
    <w:uiPriority w:val="99"/>
    <w:semiHidden/>
    <w:unhideWhenUsed/>
    <w:rsid w:val="000A39AE"/>
  </w:style>
  <w:style w:type="numbering" w:customStyle="1" w:styleId="Bezzoznamu3">
    <w:name w:val="Bez zoznamu3"/>
    <w:next w:val="Bezzoznamu"/>
    <w:uiPriority w:val="99"/>
    <w:semiHidden/>
    <w:unhideWhenUsed/>
    <w:rsid w:val="005646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80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pi.sk/Main/Default.aspx?Template=~/Main/TArticles.ascx&amp;phContent=~/ZzSR/ShowRule.ascx&amp;RuleId=0&amp;FragmentId1=5345907&amp;FragmentId2=5345908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2188466313392199"/>
          <c:y val="0.22000047743159165"/>
          <c:w val="0.55775117376814642"/>
          <c:h val="0.56222344232517862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693">
              <a:solidFill>
                <a:srgbClr val="000000"/>
              </a:solidFill>
              <a:prstDash val="solid"/>
            </a:ln>
          </c:spPr>
          <c:explosion val="16"/>
          <c:dPt>
            <c:idx val="0"/>
            <c:bubble3D val="0"/>
            <c:explosion val="7"/>
            <c:spPr>
              <a:pattFill prst="pct70">
                <a:fgClr>
                  <a:srgbClr xmlns:mc="http://schemas.openxmlformats.org/markup-compatibility/2006" xmlns:a14="http://schemas.microsoft.com/office/drawing/2010/main" val="FFFFFF" mc:Ignorable="a14" a14:legacySpreadsheetColorIndex="9"/>
                </a:fgClr>
                <a:bgClr>
                  <a:srgbClr xmlns:mc="http://schemas.openxmlformats.org/markup-compatibility/2006" xmlns:a14="http://schemas.microsoft.com/office/drawing/2010/main" val="000000" mc:Ignorable="a14" a14:legacySpreadsheetColorIndex="8"/>
                </a:bgClr>
              </a:patt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explosion val="1"/>
            <c:spPr>
              <a:pattFill prst="smConfetti">
                <a:fgClr>
                  <a:srgbClr xmlns:mc="http://schemas.openxmlformats.org/markup-compatibility/2006" xmlns:a14="http://schemas.microsoft.com/office/drawing/2010/main" val="000000" mc:Ignorable="a14" a14:legacySpreadsheetColorIndex="8"/>
                </a:fgClr>
                <a:bgClr>
                  <a:srgbClr xmlns:mc="http://schemas.openxmlformats.org/markup-compatibility/2006" xmlns:a14="http://schemas.microsoft.com/office/drawing/2010/main" val="FFFFFF" mc:Ignorable="a14" a14:legacySpreadsheetColorIndex="9"/>
                </a:bgClr>
              </a:patt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explosion val="26"/>
            <c:spPr>
              <a:solidFill>
                <a:srgbClr val="FFFF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pattFill prst="pct60">
                <a:fgClr>
                  <a:srgbClr xmlns:mc="http://schemas.openxmlformats.org/markup-compatibility/2006" xmlns:a14="http://schemas.microsoft.com/office/drawing/2010/main" val="FFFFFF" mc:Ignorable="a14" a14:legacySpreadsheetColorIndex="9"/>
                </a:fgClr>
                <a:bgClr>
                  <a:srgbClr xmlns:mc="http://schemas.openxmlformats.org/markup-compatibility/2006" xmlns:a14="http://schemas.microsoft.com/office/drawing/2010/main" val="000000" mc:Ignorable="a14" a14:legacySpreadsheetColorIndex="8"/>
                </a:bgClr>
              </a:patt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pattFill prst="wdDnDiag">
                <a:fgClr>
                  <a:srgbClr xmlns:mc="http://schemas.openxmlformats.org/markup-compatibility/2006" xmlns:a14="http://schemas.microsoft.com/office/drawing/2010/main" val="000000" mc:Ignorable="a14" a14:legacySpreadsheetColorIndex="8"/>
                </a:fgClr>
                <a:bgClr>
                  <a:srgbClr xmlns:mc="http://schemas.openxmlformats.org/markup-compatibility/2006" xmlns:a14="http://schemas.microsoft.com/office/drawing/2010/main" val="FFFFFF" mc:Ignorable="a14" a14:legacySpreadsheetColorIndex="9"/>
                </a:bgClr>
              </a:patt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FF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8.2482121029475469E-2"/>
                  <c:y val="7.434253172576052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starobné 
73,</a:t>
                    </a:r>
                    <a:r>
                      <a:rPr lang="sk-SK"/>
                      <a:t>51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10861320027923835"/>
                  <c:y val="3.075591540877979E-3"/>
                </c:manualLayout>
              </c:layout>
              <c:tx>
                <c:rich>
                  <a:bodyPr/>
                  <a:lstStyle/>
                  <a:p>
                    <a:pPr>
                      <a:defRPr sz="800" b="0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sk-SK"/>
                      <a:t>predčasné star.
2,47%</a:t>
                    </a:r>
                  </a:p>
                </c:rich>
              </c:tx>
              <c:spPr>
                <a:noFill/>
                <a:ln w="25386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8.5241643487577887E-2"/>
                  <c:y val="-4.0663635267564002E-2"/>
                </c:manualLayout>
              </c:layout>
              <c:tx>
                <c:rich>
                  <a:bodyPr/>
                  <a:lstStyle/>
                  <a:p>
                    <a:pPr>
                      <a:defRPr sz="800" b="0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sk-SK"/>
                      <a:t>vdovecké
0,81%</a:t>
                    </a:r>
                  </a:p>
                </c:rich>
              </c:tx>
              <c:spPr>
                <a:noFill/>
                <a:ln w="25386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2358118156578743E-2"/>
                  <c:y val="-0.14467362311418389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2.2717156563455319E-2"/>
                  <c:y val="-0.12752293819677032"/>
                </c:manualLayout>
              </c:layout>
              <c:tx>
                <c:rich>
                  <a:bodyPr/>
                  <a:lstStyle/>
                  <a:p>
                    <a:pPr>
                      <a:defRPr sz="800" b="0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sk-SK"/>
                      <a:t>invalidné
12,87%</a:t>
                    </a:r>
                  </a:p>
                </c:rich>
              </c:tx>
              <c:spPr>
                <a:noFill/>
                <a:ln w="25386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7.9262171920881849E-3"/>
                  <c:y val="-0.1667043992492199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sirotské
0,8</a:t>
                    </a:r>
                    <a:r>
                      <a:rPr lang="sk-SK"/>
                      <a:t>1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numFmt formatCode="0.00%" sourceLinked="0"/>
            <c:spPr>
              <a:noFill/>
              <a:ln w="25386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sk-SK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Grafy!$B$117:$G$117</c:f>
              <c:strCache>
                <c:ptCount val="6"/>
                <c:pt idx="0">
                  <c:v>starobné </c:v>
                </c:pt>
                <c:pt idx="1">
                  <c:v>predčasné starobné</c:v>
                </c:pt>
                <c:pt idx="2">
                  <c:v>vdovecké</c:v>
                </c:pt>
                <c:pt idx="3">
                  <c:v>vdovské</c:v>
                </c:pt>
                <c:pt idx="4">
                  <c:v>invalidné</c:v>
                </c:pt>
                <c:pt idx="5">
                  <c:v>sirotské</c:v>
                </c:pt>
              </c:strCache>
            </c:strRef>
          </c:cat>
          <c:val>
            <c:numRef>
              <c:f>Grafy!$B$118:$G$118</c:f>
              <c:numCache>
                <c:formatCode>0.00</c:formatCode>
                <c:ptCount val="6"/>
                <c:pt idx="0">
                  <c:v>73.510000000000005</c:v>
                </c:pt>
                <c:pt idx="1">
                  <c:v>2.4700000000000002</c:v>
                </c:pt>
                <c:pt idx="2" formatCode="General">
                  <c:v>0.81</c:v>
                </c:pt>
                <c:pt idx="3">
                  <c:v>9.5299999999999994</c:v>
                </c:pt>
                <c:pt idx="4" formatCode="General">
                  <c:v>12.87</c:v>
                </c:pt>
                <c:pt idx="5" formatCode="General">
                  <c:v>0.81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86">
          <a:noFill/>
        </a:ln>
      </c:spPr>
    </c:plotArea>
    <c:plotVisOnly val="1"/>
    <c:dispBlanksAs val="zero"/>
    <c:showDLblsOverMax val="0"/>
  </c:chart>
  <c:spPr>
    <a:solidFill>
      <a:srgbClr val="FFFFFF"/>
    </a:solidFill>
    <a:ln>
      <a:noFill/>
    </a:ln>
  </c:spPr>
  <c:txPr>
    <a:bodyPr/>
    <a:lstStyle/>
    <a:p>
      <a:pPr>
        <a:defRPr sz="1074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k-SK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9335728211799622"/>
          <c:y val="0.14345128907395996"/>
          <c:w val="0.70210118172326674"/>
          <c:h val="0.65904432806442481"/>
        </c:manualLayout>
      </c:layout>
      <c:lineChart>
        <c:grouping val="standard"/>
        <c:varyColors val="0"/>
        <c:ser>
          <c:idx val="0"/>
          <c:order val="0"/>
          <c:tx>
            <c:strRef>
              <c:f>Grafy!$A$5</c:f>
              <c:strCache>
                <c:ptCount val="1"/>
                <c:pt idx="0">
                  <c:v>rok</c:v>
                </c:pt>
              </c:strCache>
            </c:strRef>
          </c:tx>
          <c:spPr>
            <a:ln w="12695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pattFill prst="dashVert">
                <a:fgClr>
                  <a:srgbClr xmlns:mc="http://schemas.openxmlformats.org/markup-compatibility/2006" xmlns:a14="http://schemas.microsoft.com/office/drawing/2010/main" val="000000" mc:Ignorable="a14" a14:legacySpreadsheetColorIndex="8"/>
                </a:fgClr>
                <a:bgClr>
                  <a:srgbClr xmlns:mc="http://schemas.openxmlformats.org/markup-compatibility/2006" xmlns:a14="http://schemas.microsoft.com/office/drawing/2010/main" val="FFFFFF" mc:Ignorable="a14" a14:legacySpreadsheetColorIndex="9"/>
                </a:bgClr>
              </a:patt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1.8626022953565122E-2"/>
                  <c:y val="-9.13623269375141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2489145961312476E-2"/>
                  <c:y val="-8.42613963720166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2192621364688664E-2"/>
                  <c:y val="-8.10701212237605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4268575007212571E-2"/>
                  <c:y val="-8.32101308844155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8040714079640849E-2"/>
                  <c:y val="-9.03981237378587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7744330216095641E-2"/>
                  <c:y val="-9.25979596231180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5735435885527715E-2"/>
                  <c:y val="-8.91922877711239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1279122951454125E-2"/>
                  <c:y val="-8.03177540723152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2.6328485078775339E-2"/>
                  <c:y val="-8.38398193573918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2.6047863320034056E-2"/>
                  <c:y val="-8.66241830635915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2.8123816962557963E-2"/>
                  <c:y val="-9.07137827283784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2.3082335887638711E-2"/>
                  <c:y val="-8.14137146382201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2.2785811291014896E-2"/>
                  <c:y val="-9.1280851534356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1.6510241849795586E-2"/>
                  <c:y val="-8.72752879282550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-1.9851948801306002E-2"/>
                  <c:y val="-9.4442562750609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-2.4268434274133964E-2"/>
                  <c:y val="-8.26174555231593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-2.0515223800778255E-2"/>
                  <c:y val="-9.38186939492873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-1.9000091476501096E-2"/>
                  <c:y val="-0.102073083436632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-2.6794311568962725E-2"/>
                  <c:y val="-9.77902706729286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layout>
                <c:manualLayout>
                  <c:x val="-2.6238221192804917E-2"/>
                  <c:y val="-9.66784806001245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layout>
                <c:manualLayout>
                  <c:x val="-2.0332911001749016E-2"/>
                  <c:y val="-9.86748607643556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layout>
                <c:manualLayout>
                  <c:x val="-1.8626266775467866E-2"/>
                  <c:y val="-9.64238117685400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>
                <c:manualLayout>
                  <c:x val="-2.0512117416906731E-2"/>
                  <c:y val="-9.48294545221758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3"/>
              <c:layout>
                <c:manualLayout>
                  <c:x val="6.2294261638503781E-2"/>
                  <c:y val="-0.1617471082640588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spPr>
              <a:noFill/>
              <a:ln w="25390">
                <a:noFill/>
              </a:ln>
            </c:spPr>
            <c:txPr>
              <a:bodyPr rot="-5400000" vert="horz"/>
              <a:lstStyle/>
              <a:p>
                <a:pPr algn="ctr" rtl="0">
                  <a:defRPr/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Grafy!$B$4:$R$4</c:f>
              <c:strCache>
                <c:ptCount val="17"/>
                <c:pt idx="0">
                  <c:v>k 31.1.2011</c:v>
                </c:pt>
                <c:pt idx="1">
                  <c:v>k 28.2.2011</c:v>
                </c:pt>
                <c:pt idx="2">
                  <c:v>k 31.3.2011</c:v>
                </c:pt>
                <c:pt idx="3">
                  <c:v>k 30.4.2011</c:v>
                </c:pt>
                <c:pt idx="4">
                  <c:v>k 31.5.2011</c:v>
                </c:pt>
                <c:pt idx="5">
                  <c:v>k 30.6.2011</c:v>
                </c:pt>
                <c:pt idx="6">
                  <c:v>k 31.7.2011</c:v>
                </c:pt>
                <c:pt idx="7">
                  <c:v>k 31.8.2011</c:v>
                </c:pt>
                <c:pt idx="8">
                  <c:v>k 30.9.2011</c:v>
                </c:pt>
                <c:pt idx="9">
                  <c:v>k 31.10.2011</c:v>
                </c:pt>
                <c:pt idx="10">
                  <c:v>k 30.11.2011</c:v>
                </c:pt>
                <c:pt idx="11">
                  <c:v>k 31.12.2011</c:v>
                </c:pt>
                <c:pt idx="12">
                  <c:v>k 31.1.2012</c:v>
                </c:pt>
                <c:pt idx="13">
                  <c:v>k 29.2.2012</c:v>
                </c:pt>
                <c:pt idx="14">
                  <c:v>k 31.3.2012</c:v>
                </c:pt>
                <c:pt idx="15">
                  <c:v>k 30.4.2012</c:v>
                </c:pt>
                <c:pt idx="16">
                  <c:v>k 31.5.2012</c:v>
                </c:pt>
              </c:strCache>
            </c:strRef>
          </c:cat>
          <c:val>
            <c:numRef>
              <c:f>Grafy!$B$5:$R$5</c:f>
              <c:numCache>
                <c:formatCode>#,##0</c:formatCode>
                <c:ptCount val="17"/>
                <c:pt idx="0">
                  <c:v>1599184</c:v>
                </c:pt>
                <c:pt idx="1">
                  <c:v>1597730</c:v>
                </c:pt>
                <c:pt idx="2">
                  <c:v>1588616</c:v>
                </c:pt>
                <c:pt idx="3">
                  <c:v>1588812</c:v>
                </c:pt>
                <c:pt idx="4">
                  <c:v>1589031</c:v>
                </c:pt>
                <c:pt idx="5" formatCode="0">
                  <c:v>1588977</c:v>
                </c:pt>
                <c:pt idx="6" formatCode="0">
                  <c:v>1588427</c:v>
                </c:pt>
                <c:pt idx="7" formatCode="0">
                  <c:v>1588371</c:v>
                </c:pt>
                <c:pt idx="8" formatCode="0">
                  <c:v>1587963</c:v>
                </c:pt>
                <c:pt idx="9" formatCode="0">
                  <c:v>1586841</c:v>
                </c:pt>
                <c:pt idx="10" formatCode="0">
                  <c:v>1591491</c:v>
                </c:pt>
                <c:pt idx="11" formatCode="0">
                  <c:v>1595772</c:v>
                </c:pt>
                <c:pt idx="12">
                  <c:v>1594513</c:v>
                </c:pt>
                <c:pt idx="13">
                  <c:v>1593568</c:v>
                </c:pt>
                <c:pt idx="14">
                  <c:v>1595736</c:v>
                </c:pt>
                <c:pt idx="15">
                  <c:v>1599329</c:v>
                </c:pt>
                <c:pt idx="16">
                  <c:v>1600342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3174">
              <a:solidFill>
                <a:srgbClr val="000000"/>
              </a:solidFill>
              <a:prstDash val="solid"/>
            </a:ln>
          </c:spPr>
        </c:dropLines>
        <c:marker val="1"/>
        <c:smooth val="0"/>
        <c:axId val="76894208"/>
        <c:axId val="76895744"/>
      </c:lineChart>
      <c:catAx>
        <c:axId val="76894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-3600000" vert="horz"/>
          <a:lstStyle/>
          <a:p>
            <a:pPr>
              <a:defRPr/>
            </a:pPr>
            <a:endParaRPr lang="sk-SK"/>
          </a:p>
        </c:txPr>
        <c:crossAx val="768957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6895744"/>
        <c:scaling>
          <c:orientation val="minMax"/>
          <c:max val="1610000"/>
          <c:min val="1530000"/>
        </c:scaling>
        <c:delete val="0"/>
        <c:axPos val="l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r>
                  <a:rPr lang="sk-SK"/>
                  <a:t>počty</a:t>
                </a:r>
              </a:p>
            </c:rich>
          </c:tx>
          <c:layout>
            <c:manualLayout>
              <c:xMode val="edge"/>
              <c:yMode val="edge"/>
              <c:x val="8.5409461580673557E-2"/>
              <c:y val="0.43243290884935676"/>
            </c:manualLayout>
          </c:layout>
          <c:overlay val="0"/>
          <c:spPr>
            <a:noFill/>
            <a:ln w="25390">
              <a:noFill/>
            </a:ln>
          </c:spPr>
        </c:title>
        <c:numFmt formatCode="#,##0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sk-SK"/>
          </a:p>
        </c:txPr>
        <c:crossAx val="76894208"/>
        <c:crosses val="autoZero"/>
        <c:crossBetween val="between"/>
        <c:majorUnit val="10000"/>
      </c:valAx>
      <c:spPr>
        <a:solidFill>
          <a:srgbClr val="FFFFFF"/>
        </a:solidFill>
        <a:ln w="25390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sk-SK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3792E1-70FE-4E67-825D-1BCC50F6F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20</Pages>
  <Words>6099</Words>
  <Characters>34770</Characters>
  <Application>Microsoft Office Word</Application>
  <DocSecurity>0</DocSecurity>
  <Lines>289</Lines>
  <Paragraphs>81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 </vt:lpstr>
    </vt:vector>
  </TitlesOfParts>
  <Company>Sociálna poisťovňa</Company>
  <LinksUpToDate>false</LinksUpToDate>
  <CharactersWithSpaces>40788</CharactersWithSpaces>
  <SharedDoc>false</SharedDoc>
  <HLinks>
    <vt:vector size="6" baseType="variant">
      <vt:variant>
        <vt:i4>8126497</vt:i4>
      </vt:variant>
      <vt:variant>
        <vt:i4>0</vt:i4>
      </vt:variant>
      <vt:variant>
        <vt:i4>0</vt:i4>
      </vt:variant>
      <vt:variant>
        <vt:i4>5</vt:i4>
      </vt:variant>
      <vt:variant>
        <vt:lpwstr>http://www.epi.sk/Main/Default.aspx?Template=~/Main/TArticles.ascx&amp;phContent=~/ZzSR/ShowRule.ascx&amp;RuleId=0&amp;FragmentId1=5345907&amp;FragmentId2=5345908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szabova_z</dc:creator>
  <cp:keywords/>
  <dc:description/>
  <cp:lastModifiedBy>mihalcova_r</cp:lastModifiedBy>
  <cp:revision>20</cp:revision>
  <cp:lastPrinted>2012-06-26T07:04:00Z</cp:lastPrinted>
  <dcterms:created xsi:type="dcterms:W3CDTF">2012-04-12T14:37:00Z</dcterms:created>
  <dcterms:modified xsi:type="dcterms:W3CDTF">2012-06-26T07:07:00Z</dcterms:modified>
</cp:coreProperties>
</file>