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D29" w:rsidRPr="001C7FFA" w:rsidRDefault="00EF6D29" w:rsidP="00EF6D29">
      <w:pPr>
        <w:spacing w:before="240" w:after="120"/>
        <w:jc w:val="center"/>
        <w:rPr>
          <w:rFonts w:ascii="Times New Roman" w:hAnsi="Times New Roman"/>
          <w:b/>
        </w:rPr>
      </w:pPr>
      <w:bookmarkStart w:id="0" w:name="_GoBack"/>
      <w:r w:rsidRPr="001C7FFA">
        <w:rPr>
          <w:rFonts w:ascii="Times New Roman" w:hAnsi="Times New Roman"/>
          <w:b/>
        </w:rPr>
        <w:t xml:space="preserve">Stanovisko Dozornej rady Sociálnej poisťovne k návrhu rozpočtu </w:t>
      </w:r>
      <w:r w:rsidRPr="001C7FFA">
        <w:rPr>
          <w:rFonts w:ascii="Times New Roman" w:hAnsi="Times New Roman"/>
          <w:b/>
        </w:rPr>
        <w:br/>
        <w:t>Sociálnej poisťovne na rok 201</w:t>
      </w:r>
      <w:r w:rsidR="004A1B36">
        <w:rPr>
          <w:rFonts w:ascii="Times New Roman" w:hAnsi="Times New Roman"/>
          <w:b/>
        </w:rPr>
        <w:t>2</w:t>
      </w:r>
      <w:r w:rsidRPr="001C7FFA">
        <w:rPr>
          <w:rFonts w:ascii="Times New Roman" w:hAnsi="Times New Roman"/>
          <w:b/>
        </w:rPr>
        <w:t xml:space="preserve"> a rozpočtovému výhľadu na roky 201</w:t>
      </w:r>
      <w:r w:rsidR="004A1B36">
        <w:rPr>
          <w:rFonts w:ascii="Times New Roman" w:hAnsi="Times New Roman"/>
          <w:b/>
        </w:rPr>
        <w:t>3</w:t>
      </w:r>
      <w:r w:rsidR="00717C5E">
        <w:rPr>
          <w:rFonts w:ascii="Times New Roman" w:hAnsi="Times New Roman"/>
          <w:b/>
        </w:rPr>
        <w:t xml:space="preserve"> a</w:t>
      </w:r>
      <w:r w:rsidRPr="001C7FFA">
        <w:rPr>
          <w:rFonts w:ascii="Times New Roman" w:hAnsi="Times New Roman"/>
          <w:b/>
        </w:rPr>
        <w:t xml:space="preserve"> 201</w:t>
      </w:r>
      <w:r w:rsidR="004A1B36">
        <w:rPr>
          <w:rFonts w:ascii="Times New Roman" w:hAnsi="Times New Roman"/>
          <w:b/>
        </w:rPr>
        <w:t>4</w:t>
      </w:r>
    </w:p>
    <w:bookmarkEnd w:id="0"/>
    <w:p w:rsidR="00EF6D29" w:rsidRPr="001C7FFA" w:rsidRDefault="00EF6D29" w:rsidP="00EF6D29">
      <w:pPr>
        <w:spacing w:before="240" w:after="120"/>
        <w:ind w:firstLine="720"/>
        <w:jc w:val="both"/>
        <w:rPr>
          <w:rFonts w:ascii="Times New Roman" w:hAnsi="Times New Roman"/>
        </w:rPr>
      </w:pPr>
      <w:r w:rsidRPr="001C7FFA">
        <w:rPr>
          <w:rFonts w:ascii="Times New Roman" w:hAnsi="Times New Roman"/>
        </w:rPr>
        <w:t>Návrh rozpočtu Sociálnej poisťovne na rok 201</w:t>
      </w:r>
      <w:r w:rsidR="004A1B36">
        <w:rPr>
          <w:rFonts w:ascii="Times New Roman" w:hAnsi="Times New Roman"/>
        </w:rPr>
        <w:t>2</w:t>
      </w:r>
      <w:r w:rsidRPr="001C7FFA">
        <w:rPr>
          <w:rFonts w:ascii="Times New Roman" w:hAnsi="Times New Roman"/>
        </w:rPr>
        <w:t xml:space="preserve"> a rozpočtový výhľad na roky 201</w:t>
      </w:r>
      <w:r w:rsidR="004A1B36">
        <w:rPr>
          <w:rFonts w:ascii="Times New Roman" w:hAnsi="Times New Roman"/>
        </w:rPr>
        <w:t>3</w:t>
      </w:r>
      <w:r w:rsidRPr="001C7FFA">
        <w:rPr>
          <w:rFonts w:ascii="Times New Roman" w:hAnsi="Times New Roman"/>
        </w:rPr>
        <w:t xml:space="preserve"> a 201</w:t>
      </w:r>
      <w:r w:rsidR="004A1B36">
        <w:rPr>
          <w:rFonts w:ascii="Times New Roman" w:hAnsi="Times New Roman"/>
        </w:rPr>
        <w:t>4</w:t>
      </w:r>
      <w:r w:rsidRPr="001C7FFA">
        <w:rPr>
          <w:rFonts w:ascii="Times New Roman" w:hAnsi="Times New Roman"/>
        </w:rPr>
        <w:t xml:space="preserve"> (ďalej len „návrh rozpočtu na rok 201</w:t>
      </w:r>
      <w:r w:rsidR="004A1B36">
        <w:rPr>
          <w:rFonts w:ascii="Times New Roman" w:hAnsi="Times New Roman"/>
        </w:rPr>
        <w:t>2</w:t>
      </w:r>
      <w:r w:rsidRPr="001C7FFA">
        <w:rPr>
          <w:rFonts w:ascii="Times New Roman" w:hAnsi="Times New Roman"/>
        </w:rPr>
        <w:t>“) predložil Dozornej rade Sociálnej poisťovne generálny riaditeľ Sociálnej poisťovne nadväzne na ustanovenie § 122 ods. 4 písm. c) bod 2. zákona č. 461/2003 Z. z. o sociálnom poistení v znení neskorších predpisov</w:t>
      </w:r>
      <w:r w:rsidR="009D572A">
        <w:rPr>
          <w:rFonts w:ascii="Times New Roman" w:hAnsi="Times New Roman"/>
        </w:rPr>
        <w:t xml:space="preserve"> (ďalej len „zákon o sociálnom poistení“)</w:t>
      </w:r>
      <w:r w:rsidRPr="001C7FFA">
        <w:rPr>
          <w:rFonts w:ascii="Times New Roman" w:hAnsi="Times New Roman"/>
        </w:rPr>
        <w:t xml:space="preserve">. </w:t>
      </w:r>
    </w:p>
    <w:p w:rsidR="00EF6D29" w:rsidRPr="001C7FFA" w:rsidRDefault="008A73F7" w:rsidP="00EF6D29">
      <w:pPr>
        <w:spacing w:before="240" w:after="12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návrhu rozpočtu na rok 2012 sú zapracované </w:t>
      </w:r>
      <w:r w:rsidR="0010456D">
        <w:rPr>
          <w:rFonts w:ascii="Times New Roman" w:hAnsi="Times New Roman"/>
        </w:rPr>
        <w:t xml:space="preserve">predpokladané </w:t>
      </w:r>
      <w:r>
        <w:rPr>
          <w:rFonts w:ascii="Times New Roman" w:hAnsi="Times New Roman"/>
        </w:rPr>
        <w:t xml:space="preserve">finančné </w:t>
      </w:r>
      <w:r w:rsidR="00C37E9B">
        <w:rPr>
          <w:rFonts w:ascii="Times New Roman" w:hAnsi="Times New Roman"/>
        </w:rPr>
        <w:t>dosahy</w:t>
      </w:r>
      <w:r>
        <w:rPr>
          <w:rFonts w:ascii="Times New Roman" w:hAnsi="Times New Roman"/>
        </w:rPr>
        <w:t xml:space="preserve"> návrhu novely zákona o sociálnom poistení. </w:t>
      </w:r>
      <w:r w:rsidR="00EF6D29" w:rsidRPr="001C7FFA">
        <w:rPr>
          <w:rFonts w:ascii="Times New Roman" w:hAnsi="Times New Roman"/>
        </w:rPr>
        <w:t>Návrh rozpočtu na rok 201</w:t>
      </w:r>
      <w:r w:rsidR="004A1B36">
        <w:rPr>
          <w:rFonts w:ascii="Times New Roman" w:hAnsi="Times New Roman"/>
        </w:rPr>
        <w:t>2</w:t>
      </w:r>
      <w:r w:rsidR="00EF6D29" w:rsidRPr="001C7FFA">
        <w:rPr>
          <w:rFonts w:ascii="Times New Roman" w:hAnsi="Times New Roman"/>
        </w:rPr>
        <w:t xml:space="preserve"> rešpektuje príslušné ustanovenia zákona č. 523/2004 Z. z. o rozpočtových pravidlách verejnej správy a o zmene a doplnení niektorých zákonov v znení neskorších predpisov (ďalej len „zákon o rozpočtových pravidlách“) a ďalšie predpisy a dokumenty, ktorými sú:</w:t>
      </w:r>
    </w:p>
    <w:p w:rsidR="00EF6D29" w:rsidRPr="001C7FFA" w:rsidRDefault="00EF6D29" w:rsidP="00EF6D29">
      <w:pPr>
        <w:numPr>
          <w:ilvl w:val="0"/>
          <w:numId w:val="14"/>
        </w:numPr>
        <w:tabs>
          <w:tab w:val="clear" w:pos="1425"/>
          <w:tab w:val="num" w:pos="720"/>
        </w:tabs>
        <w:spacing w:before="120"/>
        <w:ind w:left="720" w:hanging="720"/>
        <w:jc w:val="both"/>
        <w:rPr>
          <w:rFonts w:ascii="Times New Roman" w:hAnsi="Times New Roman"/>
        </w:rPr>
      </w:pPr>
      <w:r w:rsidRPr="001C7FFA">
        <w:rPr>
          <w:rFonts w:ascii="Times New Roman" w:hAnsi="Times New Roman"/>
        </w:rPr>
        <w:t>Príručka na zostavenie návrhu rozpočtu verejnej správy na roky 201</w:t>
      </w:r>
      <w:r w:rsidR="004A1B36">
        <w:rPr>
          <w:rFonts w:ascii="Times New Roman" w:hAnsi="Times New Roman"/>
        </w:rPr>
        <w:t>2</w:t>
      </w:r>
      <w:r w:rsidRPr="001C7FFA">
        <w:rPr>
          <w:rFonts w:ascii="Times New Roman" w:hAnsi="Times New Roman"/>
        </w:rPr>
        <w:t xml:space="preserve"> až 201</w:t>
      </w:r>
      <w:r w:rsidR="004A1B36">
        <w:rPr>
          <w:rFonts w:ascii="Times New Roman" w:hAnsi="Times New Roman"/>
        </w:rPr>
        <w:t>4</w:t>
      </w:r>
      <w:r w:rsidRPr="001C7FFA">
        <w:rPr>
          <w:rFonts w:ascii="Times New Roman" w:hAnsi="Times New Roman"/>
        </w:rPr>
        <w:t xml:space="preserve"> uverejnená vo Finančnom spravodajcovi č.</w:t>
      </w:r>
      <w:r w:rsidR="00717C5E">
        <w:rPr>
          <w:rFonts w:ascii="Times New Roman" w:hAnsi="Times New Roman"/>
        </w:rPr>
        <w:t xml:space="preserve"> 2</w:t>
      </w:r>
      <w:r w:rsidRPr="001C7FFA">
        <w:rPr>
          <w:rFonts w:ascii="Times New Roman" w:hAnsi="Times New Roman"/>
        </w:rPr>
        <w:t>/20</w:t>
      </w:r>
      <w:r w:rsidR="00717C5E">
        <w:rPr>
          <w:rFonts w:ascii="Times New Roman" w:hAnsi="Times New Roman"/>
        </w:rPr>
        <w:t>1</w:t>
      </w:r>
      <w:r w:rsidR="004A1B36">
        <w:rPr>
          <w:rFonts w:ascii="Times New Roman" w:hAnsi="Times New Roman"/>
        </w:rPr>
        <w:t>1</w:t>
      </w:r>
      <w:r w:rsidRPr="001C7FFA">
        <w:rPr>
          <w:rFonts w:ascii="Times New Roman" w:hAnsi="Times New Roman"/>
        </w:rPr>
        <w:t>,</w:t>
      </w:r>
    </w:p>
    <w:p w:rsidR="00717C5E" w:rsidRDefault="00717C5E" w:rsidP="00EF6D29">
      <w:pPr>
        <w:numPr>
          <w:ilvl w:val="0"/>
          <w:numId w:val="12"/>
        </w:numPr>
        <w:tabs>
          <w:tab w:val="clear" w:pos="1425"/>
          <w:tab w:val="num" w:pos="720"/>
        </w:tabs>
        <w:spacing w:before="120"/>
        <w:ind w:left="720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Metodické usmernenie Ministerstva financií Slovenskej republiky k č. M</w:t>
      </w:r>
      <w:r w:rsidRPr="001C7FFA">
        <w:rPr>
          <w:rFonts w:ascii="Times New Roman" w:hAnsi="Times New Roman"/>
        </w:rPr>
        <w:t xml:space="preserve">F/010175/2004-42 </w:t>
      </w:r>
      <w:r>
        <w:rPr>
          <w:rFonts w:ascii="Times New Roman" w:hAnsi="Times New Roman"/>
        </w:rPr>
        <w:t xml:space="preserve">zo dňa 8. decembra 2004 a vysvetlivky k ekonomickej klasifikácii rozpočtovej klasifikácii v znení Dodatku č. 1 (FS č. 9/2005), Dodatku č. 2 (FS č. 3/2006), Dodatku č. 3 (FS č. 10/2006), Dodatku č. 4 (FS č. 11/2007), Dodatku č. 5 (FS č. 5/2008), </w:t>
      </w:r>
      <w:r w:rsidR="009D572A">
        <w:rPr>
          <w:rFonts w:ascii="Times New Roman" w:hAnsi="Times New Roman"/>
        </w:rPr>
        <w:t>Dodatku č. 6 (FS č. 6/2009)</w:t>
      </w:r>
      <w:r w:rsidR="00430445">
        <w:rPr>
          <w:rFonts w:ascii="Times New Roman" w:hAnsi="Times New Roman"/>
        </w:rPr>
        <w:t>,</w:t>
      </w:r>
      <w:r w:rsidR="009D572A">
        <w:rPr>
          <w:rFonts w:ascii="Times New Roman" w:hAnsi="Times New Roman"/>
        </w:rPr>
        <w:t xml:space="preserve"> Dodatku č. 7 (FS č. 5/2010)</w:t>
      </w:r>
      <w:r w:rsidR="00430445">
        <w:rPr>
          <w:rFonts w:ascii="Times New Roman" w:hAnsi="Times New Roman"/>
        </w:rPr>
        <w:t xml:space="preserve"> a Dodatku č. 8 (FS č. 12/2010)</w:t>
      </w:r>
      <w:r w:rsidR="009D572A">
        <w:rPr>
          <w:rFonts w:ascii="Times New Roman" w:hAnsi="Times New Roman"/>
        </w:rPr>
        <w:t>,</w:t>
      </w:r>
    </w:p>
    <w:p w:rsidR="00EF6D29" w:rsidRPr="001C7FFA" w:rsidRDefault="00EF6D29" w:rsidP="00EF6D29">
      <w:pPr>
        <w:numPr>
          <w:ilvl w:val="0"/>
          <w:numId w:val="12"/>
        </w:numPr>
        <w:tabs>
          <w:tab w:val="clear" w:pos="1425"/>
          <w:tab w:val="num" w:pos="720"/>
        </w:tabs>
        <w:spacing w:before="120"/>
        <w:ind w:left="720" w:hanging="720"/>
        <w:jc w:val="both"/>
        <w:rPr>
          <w:rFonts w:ascii="Times New Roman" w:hAnsi="Times New Roman"/>
        </w:rPr>
      </w:pPr>
      <w:r w:rsidRPr="001C7FFA">
        <w:rPr>
          <w:rFonts w:ascii="Times New Roman" w:hAnsi="Times New Roman"/>
        </w:rPr>
        <w:t xml:space="preserve">Funkčná klasifikácia v zmysle vyhlášky Štatistického úradu Slovenskej republiky č. 195/2003 Z. z., ktorou sa vydáva štatistická klasifikácia výdavkov verejnej správy, </w:t>
      </w:r>
    </w:p>
    <w:p w:rsidR="004A1B36" w:rsidRPr="00FC64A7" w:rsidRDefault="00EF6D29" w:rsidP="004A1B36">
      <w:pPr>
        <w:numPr>
          <w:ilvl w:val="0"/>
          <w:numId w:val="12"/>
        </w:numPr>
        <w:tabs>
          <w:tab w:val="clear" w:pos="1425"/>
          <w:tab w:val="num" w:pos="720"/>
        </w:tabs>
        <w:spacing w:before="120"/>
        <w:ind w:left="720" w:hanging="720"/>
        <w:jc w:val="both"/>
        <w:rPr>
          <w:rFonts w:ascii="Times New Roman" w:hAnsi="Times New Roman"/>
          <w:b/>
        </w:rPr>
      </w:pPr>
      <w:r w:rsidRPr="001C7FFA">
        <w:rPr>
          <w:rFonts w:ascii="Times New Roman" w:hAnsi="Times New Roman"/>
        </w:rPr>
        <w:t>Makroekonomické prognózy Inštitútu finančnej politiky MF SR z</w:t>
      </w:r>
      <w:r w:rsidR="004A1B36">
        <w:rPr>
          <w:rFonts w:ascii="Times New Roman" w:hAnsi="Times New Roman"/>
        </w:rPr>
        <w:t xml:space="preserve">o 16. </w:t>
      </w:r>
      <w:r w:rsidR="00DB593A">
        <w:rPr>
          <w:rFonts w:ascii="Times New Roman" w:hAnsi="Times New Roman"/>
        </w:rPr>
        <w:t>j</w:t>
      </w:r>
      <w:r w:rsidR="004A1B36">
        <w:rPr>
          <w:rFonts w:ascii="Times New Roman" w:hAnsi="Times New Roman"/>
        </w:rPr>
        <w:t>úna</w:t>
      </w:r>
      <w:r w:rsidR="00DB593A">
        <w:rPr>
          <w:rFonts w:ascii="Times New Roman" w:hAnsi="Times New Roman"/>
        </w:rPr>
        <w:t xml:space="preserve"> </w:t>
      </w:r>
      <w:r w:rsidR="004A1B36">
        <w:rPr>
          <w:rFonts w:ascii="Times New Roman" w:hAnsi="Times New Roman"/>
        </w:rPr>
        <w:t>2011</w:t>
      </w:r>
      <w:r w:rsidRPr="001C7FFA">
        <w:rPr>
          <w:rFonts w:ascii="Times New Roman" w:hAnsi="Times New Roman"/>
        </w:rPr>
        <w:t>.</w:t>
      </w:r>
    </w:p>
    <w:p w:rsidR="00EF6D29" w:rsidRDefault="00EF6D29" w:rsidP="004A1B36">
      <w:pPr>
        <w:tabs>
          <w:tab w:val="left" w:pos="720"/>
        </w:tabs>
        <w:spacing w:before="120"/>
        <w:jc w:val="both"/>
        <w:rPr>
          <w:rFonts w:ascii="Times New Roman" w:hAnsi="Times New Roman"/>
          <w:b/>
        </w:rPr>
      </w:pPr>
      <w:r w:rsidRPr="001C7FFA">
        <w:rPr>
          <w:rFonts w:ascii="Times New Roman" w:hAnsi="Times New Roman"/>
        </w:rPr>
        <w:tab/>
      </w:r>
      <w:r w:rsidRPr="001C7FFA">
        <w:rPr>
          <w:rFonts w:ascii="Times New Roman" w:hAnsi="Times New Roman"/>
          <w:b/>
        </w:rPr>
        <w:t>Návrh rozpočtu na rok 201</w:t>
      </w:r>
      <w:r w:rsidR="007D73E7">
        <w:rPr>
          <w:rFonts w:ascii="Times New Roman" w:hAnsi="Times New Roman"/>
          <w:b/>
        </w:rPr>
        <w:t>2</w:t>
      </w:r>
      <w:r w:rsidRPr="001C7FFA">
        <w:rPr>
          <w:rFonts w:ascii="Times New Roman" w:hAnsi="Times New Roman"/>
          <w:b/>
        </w:rPr>
        <w:t xml:space="preserve"> je spracovaný v štruktúre:</w:t>
      </w:r>
    </w:p>
    <w:p w:rsidR="00EF6D29" w:rsidRPr="001C7FFA" w:rsidRDefault="00EF6D29" w:rsidP="00EF6D29">
      <w:pPr>
        <w:numPr>
          <w:ilvl w:val="0"/>
          <w:numId w:val="20"/>
        </w:numPr>
        <w:tabs>
          <w:tab w:val="clear" w:pos="1425"/>
          <w:tab w:val="num" w:pos="720"/>
        </w:tabs>
        <w:ind w:left="720" w:hanging="720"/>
        <w:jc w:val="both"/>
        <w:rPr>
          <w:rFonts w:ascii="Times New Roman" w:hAnsi="Times New Roman"/>
        </w:rPr>
      </w:pPr>
      <w:r w:rsidRPr="001C7FFA">
        <w:rPr>
          <w:rFonts w:ascii="Times New Roman" w:hAnsi="Times New Roman"/>
        </w:rPr>
        <w:t>Očakávané výsledky hospodárenia Sociálnej poisťovne v roku 20</w:t>
      </w:r>
      <w:r w:rsidR="009D572A">
        <w:rPr>
          <w:rFonts w:ascii="Times New Roman" w:hAnsi="Times New Roman"/>
        </w:rPr>
        <w:t>1</w:t>
      </w:r>
      <w:r w:rsidR="004A1B36">
        <w:rPr>
          <w:rFonts w:ascii="Times New Roman" w:hAnsi="Times New Roman"/>
        </w:rPr>
        <w:t>1</w:t>
      </w:r>
      <w:r w:rsidRPr="001C7FFA">
        <w:rPr>
          <w:rFonts w:ascii="Times New Roman" w:hAnsi="Times New Roman"/>
        </w:rPr>
        <w:t>,</w:t>
      </w:r>
    </w:p>
    <w:p w:rsidR="00EF6D29" w:rsidRPr="001C7FFA" w:rsidRDefault="00EF6D29" w:rsidP="00EF6D29">
      <w:pPr>
        <w:numPr>
          <w:ilvl w:val="0"/>
          <w:numId w:val="20"/>
        </w:numPr>
        <w:tabs>
          <w:tab w:val="clear" w:pos="1425"/>
          <w:tab w:val="num" w:pos="720"/>
        </w:tabs>
        <w:ind w:left="720" w:hanging="720"/>
        <w:jc w:val="both"/>
        <w:rPr>
          <w:rFonts w:ascii="Times New Roman" w:hAnsi="Times New Roman"/>
        </w:rPr>
      </w:pPr>
      <w:r w:rsidRPr="001C7FFA">
        <w:rPr>
          <w:rFonts w:ascii="Times New Roman" w:hAnsi="Times New Roman"/>
        </w:rPr>
        <w:t>Návrh rozpočtu Sociálnej poisťovne na rok 201</w:t>
      </w:r>
      <w:r w:rsidR="004A1B36">
        <w:rPr>
          <w:rFonts w:ascii="Times New Roman" w:hAnsi="Times New Roman"/>
        </w:rPr>
        <w:t>2</w:t>
      </w:r>
      <w:r w:rsidRPr="001C7FFA">
        <w:rPr>
          <w:rFonts w:ascii="Times New Roman" w:hAnsi="Times New Roman"/>
        </w:rPr>
        <w:t xml:space="preserve"> s predpokladaným vývojom príjmov a výdavkov na ďalšie 2 roky,</w:t>
      </w:r>
      <w:r w:rsidR="00EF19B9">
        <w:rPr>
          <w:rFonts w:ascii="Times New Roman" w:hAnsi="Times New Roman"/>
        </w:rPr>
        <w:t xml:space="preserve"> v ktorom sú zapracované </w:t>
      </w:r>
      <w:r w:rsidR="00C37E9B">
        <w:rPr>
          <w:rFonts w:ascii="Times New Roman" w:hAnsi="Times New Roman"/>
        </w:rPr>
        <w:t>dosahy</w:t>
      </w:r>
      <w:r w:rsidR="00EF19B9">
        <w:rPr>
          <w:rFonts w:ascii="Times New Roman" w:hAnsi="Times New Roman"/>
        </w:rPr>
        <w:t xml:space="preserve"> navrhovanej novely zákona o sociálnom poistení,</w:t>
      </w:r>
    </w:p>
    <w:p w:rsidR="00EF6D29" w:rsidRPr="001C7FFA" w:rsidRDefault="00EF6D29" w:rsidP="00EF6D29">
      <w:pPr>
        <w:numPr>
          <w:ilvl w:val="0"/>
          <w:numId w:val="20"/>
        </w:numPr>
        <w:tabs>
          <w:tab w:val="clear" w:pos="1425"/>
          <w:tab w:val="num" w:pos="720"/>
        </w:tabs>
        <w:ind w:left="720" w:hanging="720"/>
        <w:jc w:val="both"/>
        <w:rPr>
          <w:rFonts w:ascii="Times New Roman" w:hAnsi="Times New Roman"/>
        </w:rPr>
      </w:pPr>
      <w:r w:rsidRPr="001C7FFA">
        <w:rPr>
          <w:rFonts w:ascii="Times New Roman" w:hAnsi="Times New Roman"/>
        </w:rPr>
        <w:t>Záver.</w:t>
      </w:r>
    </w:p>
    <w:p w:rsidR="009D572A" w:rsidRDefault="00EF6D29" w:rsidP="00EA0E2F">
      <w:pPr>
        <w:spacing w:before="240" w:after="120"/>
        <w:ind w:firstLine="720"/>
        <w:jc w:val="both"/>
        <w:rPr>
          <w:rFonts w:ascii="Times New Roman" w:hAnsi="Times New Roman"/>
        </w:rPr>
      </w:pPr>
      <w:r w:rsidRPr="001C7FFA">
        <w:rPr>
          <w:rFonts w:ascii="Times New Roman" w:hAnsi="Times New Roman"/>
          <w:b/>
        </w:rPr>
        <w:t>Očakávané výsledky hospodárenia Sociálnej poisťovne v roku 20</w:t>
      </w:r>
      <w:r w:rsidR="009D572A">
        <w:rPr>
          <w:rFonts w:ascii="Times New Roman" w:hAnsi="Times New Roman"/>
          <w:b/>
        </w:rPr>
        <w:t>1</w:t>
      </w:r>
      <w:r w:rsidR="004A1B36">
        <w:rPr>
          <w:rFonts w:ascii="Times New Roman" w:hAnsi="Times New Roman"/>
          <w:b/>
        </w:rPr>
        <w:t>1</w:t>
      </w:r>
      <w:r w:rsidRPr="001C7FFA">
        <w:rPr>
          <w:rFonts w:ascii="Times New Roman" w:hAnsi="Times New Roman"/>
          <w:b/>
        </w:rPr>
        <w:t xml:space="preserve"> </w:t>
      </w:r>
      <w:r w:rsidRPr="001C7FFA">
        <w:rPr>
          <w:rFonts w:ascii="Times New Roman" w:hAnsi="Times New Roman"/>
        </w:rPr>
        <w:t xml:space="preserve">sú jednou z rozhodujúcich skutočností pre </w:t>
      </w:r>
      <w:r w:rsidR="008A73F7">
        <w:rPr>
          <w:rFonts w:ascii="Times New Roman" w:hAnsi="Times New Roman"/>
        </w:rPr>
        <w:t>zostavenie</w:t>
      </w:r>
      <w:r w:rsidRPr="001C7FFA">
        <w:rPr>
          <w:rFonts w:ascii="Times New Roman" w:hAnsi="Times New Roman"/>
        </w:rPr>
        <w:t xml:space="preserve"> rozpočtu na nasledujúci rok a výhľadu na ďalšie roky, preto sa im venuje v materiáli značná pozornosť. Podľa nich by malo hospodárenie Sociálnej poisťovne v roku 20</w:t>
      </w:r>
      <w:r w:rsidR="009D572A">
        <w:rPr>
          <w:rFonts w:ascii="Times New Roman" w:hAnsi="Times New Roman"/>
        </w:rPr>
        <w:t>1</w:t>
      </w:r>
      <w:r w:rsidR="004A1B36">
        <w:rPr>
          <w:rFonts w:ascii="Times New Roman" w:hAnsi="Times New Roman"/>
        </w:rPr>
        <w:t>1</w:t>
      </w:r>
      <w:r w:rsidRPr="001C7FFA">
        <w:rPr>
          <w:rFonts w:ascii="Times New Roman" w:hAnsi="Times New Roman"/>
        </w:rPr>
        <w:t xml:space="preserve"> skončiť bilančným rozdielom </w:t>
      </w:r>
      <w:r w:rsidR="00E472DB">
        <w:rPr>
          <w:rFonts w:ascii="Times New Roman" w:hAnsi="Times New Roman"/>
        </w:rPr>
        <w:t>526</w:t>
      </w:r>
      <w:r w:rsidR="007D73E7">
        <w:rPr>
          <w:rFonts w:ascii="Times New Roman" w:hAnsi="Times New Roman"/>
        </w:rPr>
        <w:t> </w:t>
      </w:r>
      <w:r w:rsidR="00E472DB">
        <w:rPr>
          <w:rFonts w:ascii="Times New Roman" w:hAnsi="Times New Roman"/>
        </w:rPr>
        <w:t>380</w:t>
      </w:r>
      <w:r w:rsidRPr="001C7FFA">
        <w:rPr>
          <w:rFonts w:ascii="Times New Roman" w:hAnsi="Times New Roman"/>
        </w:rPr>
        <w:t> tis. Eur, čo je o</w:t>
      </w:r>
      <w:r w:rsidR="00E472DB">
        <w:rPr>
          <w:rFonts w:ascii="Times New Roman" w:hAnsi="Times New Roman"/>
        </w:rPr>
        <w:t> 71 551</w:t>
      </w:r>
      <w:r w:rsidRPr="001C7FFA">
        <w:rPr>
          <w:rFonts w:ascii="Times New Roman" w:hAnsi="Times New Roman"/>
        </w:rPr>
        <w:t xml:space="preserve"> tis. Eur </w:t>
      </w:r>
      <w:r w:rsidR="00EF3D3D">
        <w:rPr>
          <w:rFonts w:ascii="Times New Roman" w:hAnsi="Times New Roman"/>
        </w:rPr>
        <w:t>lepší</w:t>
      </w:r>
      <w:r w:rsidRPr="001C7FFA">
        <w:rPr>
          <w:rFonts w:ascii="Times New Roman" w:hAnsi="Times New Roman"/>
        </w:rPr>
        <w:t xml:space="preserve"> výsledok, ako sa predpokladalo v</w:t>
      </w:r>
      <w:r w:rsidR="009D572A">
        <w:rPr>
          <w:rFonts w:ascii="Times New Roman" w:hAnsi="Times New Roman"/>
        </w:rPr>
        <w:t> upravenom rozpočte na rok 201</w:t>
      </w:r>
      <w:r w:rsidR="004A1B36">
        <w:rPr>
          <w:rFonts w:ascii="Times New Roman" w:hAnsi="Times New Roman"/>
        </w:rPr>
        <w:t>1</w:t>
      </w:r>
      <w:r w:rsidR="009D572A">
        <w:rPr>
          <w:rFonts w:ascii="Times New Roman" w:hAnsi="Times New Roman"/>
        </w:rPr>
        <w:t>. Upravený rozpočet Sociálnej poisťovne na rok 201</w:t>
      </w:r>
      <w:r w:rsidR="004A1B36">
        <w:rPr>
          <w:rFonts w:ascii="Times New Roman" w:hAnsi="Times New Roman"/>
        </w:rPr>
        <w:t>1</w:t>
      </w:r>
      <w:r w:rsidR="009D572A">
        <w:rPr>
          <w:rFonts w:ascii="Times New Roman" w:hAnsi="Times New Roman"/>
        </w:rPr>
        <w:t xml:space="preserve"> v porovnaní s rozpočtom na rok 201</w:t>
      </w:r>
      <w:r w:rsidR="004A1B36">
        <w:rPr>
          <w:rFonts w:ascii="Times New Roman" w:hAnsi="Times New Roman"/>
        </w:rPr>
        <w:t>1</w:t>
      </w:r>
      <w:r w:rsidR="009D572A">
        <w:rPr>
          <w:rFonts w:ascii="Times New Roman" w:hAnsi="Times New Roman"/>
        </w:rPr>
        <w:t xml:space="preserve"> schváleným v  Národnej rade</w:t>
      </w:r>
      <w:r w:rsidRPr="001C7FFA">
        <w:rPr>
          <w:rFonts w:ascii="Times New Roman" w:hAnsi="Times New Roman"/>
        </w:rPr>
        <w:t xml:space="preserve"> Slovenskej republiky uznesením č. </w:t>
      </w:r>
      <w:r w:rsidR="006E4D9E">
        <w:rPr>
          <w:rFonts w:ascii="Times New Roman" w:hAnsi="Times New Roman"/>
        </w:rPr>
        <w:t xml:space="preserve">247 </w:t>
      </w:r>
      <w:r w:rsidRPr="001C7FFA">
        <w:rPr>
          <w:rFonts w:ascii="Times New Roman" w:hAnsi="Times New Roman"/>
        </w:rPr>
        <w:t xml:space="preserve">dňa </w:t>
      </w:r>
      <w:r w:rsidR="006E4D9E">
        <w:rPr>
          <w:rFonts w:ascii="Times New Roman" w:hAnsi="Times New Roman"/>
        </w:rPr>
        <w:t>15</w:t>
      </w:r>
      <w:r w:rsidRPr="001C7FFA">
        <w:rPr>
          <w:rFonts w:ascii="Times New Roman" w:hAnsi="Times New Roman"/>
        </w:rPr>
        <w:t xml:space="preserve">. </w:t>
      </w:r>
      <w:r w:rsidR="006E4D9E">
        <w:rPr>
          <w:rFonts w:ascii="Times New Roman" w:hAnsi="Times New Roman"/>
        </w:rPr>
        <w:t>decembra 2010</w:t>
      </w:r>
      <w:r w:rsidR="009D572A">
        <w:rPr>
          <w:rFonts w:ascii="Times New Roman" w:hAnsi="Times New Roman"/>
        </w:rPr>
        <w:t xml:space="preserve"> </w:t>
      </w:r>
      <w:r w:rsidR="00833CBC">
        <w:rPr>
          <w:rFonts w:ascii="Times New Roman" w:hAnsi="Times New Roman"/>
        </w:rPr>
        <w:t xml:space="preserve">zohľadňuje </w:t>
      </w:r>
      <w:r w:rsidR="009D572A">
        <w:rPr>
          <w:rFonts w:ascii="Times New Roman" w:hAnsi="Times New Roman"/>
        </w:rPr>
        <w:t>dopad novel</w:t>
      </w:r>
      <w:r w:rsidR="006E4D9E">
        <w:rPr>
          <w:rFonts w:ascii="Times New Roman" w:hAnsi="Times New Roman"/>
        </w:rPr>
        <w:t>y</w:t>
      </w:r>
      <w:r w:rsidR="009D572A">
        <w:rPr>
          <w:rFonts w:ascii="Times New Roman" w:hAnsi="Times New Roman"/>
        </w:rPr>
        <w:t xml:space="preserve"> zákona o sociálnom poistení s účinnosťou </w:t>
      </w:r>
      <w:r w:rsidR="006E4D9E">
        <w:rPr>
          <w:rFonts w:ascii="Times New Roman" w:hAnsi="Times New Roman"/>
        </w:rPr>
        <w:t>od 1.</w:t>
      </w:r>
      <w:r w:rsidR="007D73E7">
        <w:rPr>
          <w:rFonts w:ascii="Times New Roman" w:hAnsi="Times New Roman"/>
        </w:rPr>
        <w:t xml:space="preserve"> </w:t>
      </w:r>
      <w:r w:rsidR="006E4D9E">
        <w:rPr>
          <w:rFonts w:ascii="Times New Roman" w:hAnsi="Times New Roman"/>
        </w:rPr>
        <w:t>1.</w:t>
      </w:r>
      <w:r w:rsidR="007D73E7">
        <w:rPr>
          <w:rFonts w:ascii="Times New Roman" w:hAnsi="Times New Roman"/>
        </w:rPr>
        <w:t xml:space="preserve"> </w:t>
      </w:r>
      <w:r w:rsidR="006E4D9E">
        <w:rPr>
          <w:rFonts w:ascii="Times New Roman" w:hAnsi="Times New Roman"/>
        </w:rPr>
        <w:t>2011.</w:t>
      </w:r>
    </w:p>
    <w:p w:rsidR="00FD61B7" w:rsidRDefault="009D572A" w:rsidP="00EA0E2F">
      <w:pPr>
        <w:spacing w:before="240" w:after="120"/>
        <w:ind w:firstLine="720"/>
        <w:jc w:val="both"/>
        <w:rPr>
          <w:rFonts w:ascii="Times New Roman" w:hAnsi="Times New Roman"/>
        </w:rPr>
      </w:pPr>
      <w:r w:rsidRPr="00EB6CCC">
        <w:rPr>
          <w:rFonts w:ascii="Times New Roman" w:hAnsi="Times New Roman"/>
        </w:rPr>
        <w:t>Hospodárenie Sociálnej poisťovne v roku 201</w:t>
      </w:r>
      <w:r w:rsidR="006E4D9E" w:rsidRPr="00EB6CCC">
        <w:rPr>
          <w:rFonts w:ascii="Times New Roman" w:hAnsi="Times New Roman"/>
        </w:rPr>
        <w:t>1</w:t>
      </w:r>
      <w:r w:rsidRPr="00EB6CCC">
        <w:rPr>
          <w:rFonts w:ascii="Times New Roman" w:hAnsi="Times New Roman"/>
        </w:rPr>
        <w:t xml:space="preserve"> je</w:t>
      </w:r>
      <w:r w:rsidR="00EF19B9" w:rsidRPr="00EB6CCC">
        <w:rPr>
          <w:rFonts w:ascii="Times New Roman" w:hAnsi="Times New Roman"/>
        </w:rPr>
        <w:t xml:space="preserve"> </w:t>
      </w:r>
      <w:r w:rsidRPr="00EB6CCC">
        <w:rPr>
          <w:rFonts w:ascii="Times New Roman" w:hAnsi="Times New Roman"/>
        </w:rPr>
        <w:t>ovplyvnené</w:t>
      </w:r>
      <w:r w:rsidR="00DB437E" w:rsidRPr="00EB6CCC">
        <w:rPr>
          <w:rFonts w:ascii="Times New Roman" w:hAnsi="Times New Roman"/>
        </w:rPr>
        <w:t xml:space="preserve"> </w:t>
      </w:r>
      <w:r w:rsidR="00E472DB">
        <w:rPr>
          <w:rFonts w:ascii="Times New Roman" w:hAnsi="Times New Roman"/>
        </w:rPr>
        <w:t>nižšími</w:t>
      </w:r>
      <w:r w:rsidR="006E4D9E" w:rsidRPr="00EB6CCC">
        <w:rPr>
          <w:rFonts w:ascii="Times New Roman" w:hAnsi="Times New Roman"/>
        </w:rPr>
        <w:t xml:space="preserve"> predpokladanými</w:t>
      </w:r>
      <w:r w:rsidR="00DB437E" w:rsidRPr="00EB6CCC">
        <w:rPr>
          <w:rFonts w:ascii="Times New Roman" w:hAnsi="Times New Roman"/>
        </w:rPr>
        <w:t xml:space="preserve"> príjmami </w:t>
      </w:r>
      <w:r w:rsidRPr="00EB6CCC">
        <w:rPr>
          <w:rFonts w:ascii="Times New Roman" w:hAnsi="Times New Roman"/>
        </w:rPr>
        <w:t>o</w:t>
      </w:r>
      <w:r w:rsidR="00E472DB">
        <w:rPr>
          <w:rFonts w:ascii="Times New Roman" w:hAnsi="Times New Roman"/>
        </w:rPr>
        <w:t> 73 546</w:t>
      </w:r>
      <w:r w:rsidRPr="00EB6CCC">
        <w:rPr>
          <w:rFonts w:ascii="Times New Roman" w:hAnsi="Times New Roman"/>
        </w:rPr>
        <w:t> tis. Eur</w:t>
      </w:r>
      <w:r w:rsidR="006E4D9E" w:rsidRPr="00EB6CCC">
        <w:rPr>
          <w:rFonts w:ascii="Times New Roman" w:hAnsi="Times New Roman"/>
        </w:rPr>
        <w:t xml:space="preserve">, vyšším prevodom </w:t>
      </w:r>
      <w:r w:rsidR="003A6992" w:rsidRPr="00EB6CCC">
        <w:rPr>
          <w:rFonts w:ascii="Times New Roman" w:hAnsi="Times New Roman"/>
        </w:rPr>
        <w:t>z minulých rokov</w:t>
      </w:r>
      <w:r w:rsidR="006E4D9E" w:rsidRPr="00EB6CCC">
        <w:rPr>
          <w:rFonts w:ascii="Times New Roman" w:hAnsi="Times New Roman"/>
        </w:rPr>
        <w:t xml:space="preserve"> </w:t>
      </w:r>
      <w:r w:rsidR="008A73F7" w:rsidRPr="00EB6CCC">
        <w:rPr>
          <w:rFonts w:ascii="Times New Roman" w:hAnsi="Times New Roman"/>
        </w:rPr>
        <w:t>o 50 974 </w:t>
      </w:r>
      <w:r w:rsidR="003A6992" w:rsidRPr="00EB6CCC">
        <w:rPr>
          <w:rFonts w:ascii="Times New Roman" w:hAnsi="Times New Roman"/>
        </w:rPr>
        <w:t xml:space="preserve">tis. Eur </w:t>
      </w:r>
      <w:r w:rsidR="006E4D9E" w:rsidRPr="00EB6CCC">
        <w:rPr>
          <w:rFonts w:ascii="Times New Roman" w:hAnsi="Times New Roman"/>
        </w:rPr>
        <w:t xml:space="preserve">a nižšími výdavkami </w:t>
      </w:r>
      <w:r w:rsidR="003A6992" w:rsidRPr="00EB6CCC">
        <w:rPr>
          <w:rFonts w:ascii="Times New Roman" w:hAnsi="Times New Roman"/>
        </w:rPr>
        <w:t>o</w:t>
      </w:r>
      <w:r w:rsidR="006E4D9E" w:rsidRPr="00EB6CCC">
        <w:rPr>
          <w:rFonts w:ascii="Times New Roman" w:hAnsi="Times New Roman"/>
        </w:rPr>
        <w:t> </w:t>
      </w:r>
      <w:r w:rsidR="00EB6CCC" w:rsidRPr="00EB6CCC">
        <w:rPr>
          <w:rFonts w:ascii="Times New Roman" w:hAnsi="Times New Roman"/>
        </w:rPr>
        <w:t>94</w:t>
      </w:r>
      <w:r w:rsidR="006E4D9E" w:rsidRPr="00EB6CCC">
        <w:rPr>
          <w:rFonts w:ascii="Times New Roman" w:hAnsi="Times New Roman"/>
        </w:rPr>
        <w:t> </w:t>
      </w:r>
      <w:r w:rsidR="00EB6CCC" w:rsidRPr="00EB6CCC">
        <w:rPr>
          <w:rFonts w:ascii="Times New Roman" w:hAnsi="Times New Roman"/>
        </w:rPr>
        <w:t>12</w:t>
      </w:r>
      <w:r w:rsidR="00875D13">
        <w:rPr>
          <w:rFonts w:ascii="Times New Roman" w:hAnsi="Times New Roman"/>
        </w:rPr>
        <w:t>3</w:t>
      </w:r>
      <w:r w:rsidR="006E4D9E" w:rsidRPr="00EB6CCC">
        <w:rPr>
          <w:rFonts w:ascii="Times New Roman" w:hAnsi="Times New Roman"/>
        </w:rPr>
        <w:t xml:space="preserve"> tis. Eur</w:t>
      </w:r>
      <w:r w:rsidRPr="00EB6CCC">
        <w:rPr>
          <w:rFonts w:ascii="Times New Roman" w:hAnsi="Times New Roman"/>
        </w:rPr>
        <w:t xml:space="preserve">, ako sa </w:t>
      </w:r>
      <w:r w:rsidR="00833CBC" w:rsidRPr="00EB6CCC">
        <w:rPr>
          <w:rFonts w:ascii="Times New Roman" w:hAnsi="Times New Roman"/>
        </w:rPr>
        <w:t xml:space="preserve">predpokladalo </w:t>
      </w:r>
      <w:r w:rsidRPr="00EB6CCC">
        <w:rPr>
          <w:rFonts w:ascii="Times New Roman" w:hAnsi="Times New Roman"/>
        </w:rPr>
        <w:t>v</w:t>
      </w:r>
      <w:r w:rsidR="003A6992" w:rsidRPr="00EB6CCC">
        <w:rPr>
          <w:rFonts w:ascii="Times New Roman" w:hAnsi="Times New Roman"/>
        </w:rPr>
        <w:t xml:space="preserve"> upravenom </w:t>
      </w:r>
      <w:r w:rsidRPr="00EB6CCC">
        <w:rPr>
          <w:rFonts w:ascii="Times New Roman" w:hAnsi="Times New Roman"/>
        </w:rPr>
        <w:t>rozpočte</w:t>
      </w:r>
      <w:r w:rsidR="003A6992" w:rsidRPr="00EB6CCC">
        <w:rPr>
          <w:rFonts w:ascii="Times New Roman" w:hAnsi="Times New Roman"/>
        </w:rPr>
        <w:t>.</w:t>
      </w:r>
    </w:p>
    <w:p w:rsidR="0099529B" w:rsidRDefault="0099529B" w:rsidP="00EA0E2F">
      <w:pPr>
        <w:spacing w:before="240" w:after="120"/>
        <w:ind w:firstLine="720"/>
        <w:jc w:val="both"/>
        <w:rPr>
          <w:rFonts w:ascii="Times New Roman" w:hAnsi="Times New Roman"/>
        </w:rPr>
      </w:pPr>
      <w:r w:rsidRPr="001143E9">
        <w:rPr>
          <w:rFonts w:ascii="Times New Roman" w:hAnsi="Times New Roman"/>
          <w:szCs w:val="24"/>
        </w:rPr>
        <w:t>Nižšie sa očakávajú príjmy z bežného poistného</w:t>
      </w:r>
      <w:r w:rsidRPr="001143E9">
        <w:rPr>
          <w:rFonts w:ascii="Times New Roman" w:hAnsi="Times New Roman"/>
          <w:color w:val="FF0000"/>
          <w:szCs w:val="24"/>
        </w:rPr>
        <w:t xml:space="preserve"> </w:t>
      </w:r>
      <w:r w:rsidRPr="001143E9">
        <w:rPr>
          <w:rFonts w:ascii="Times New Roman" w:hAnsi="Times New Roman"/>
          <w:szCs w:val="24"/>
        </w:rPr>
        <w:t xml:space="preserve">od </w:t>
      </w:r>
      <w:r w:rsidR="00932C9F" w:rsidRPr="00932C9F">
        <w:rPr>
          <w:rFonts w:ascii="Times New Roman" w:hAnsi="Times New Roman"/>
        </w:rPr>
        <w:t>ekonomicky aktívneho obyvateľstva</w:t>
      </w:r>
      <w:r w:rsidR="00932C9F">
        <w:rPr>
          <w:rFonts w:ascii="Times New Roman" w:hAnsi="Times New Roman"/>
        </w:rPr>
        <w:t xml:space="preserve"> (EAO) </w:t>
      </w:r>
      <w:r w:rsidRPr="001143E9">
        <w:rPr>
          <w:rFonts w:ascii="Times New Roman" w:hAnsi="Times New Roman"/>
          <w:szCs w:val="24"/>
        </w:rPr>
        <w:t xml:space="preserve">o 88 043 tis. Eur. Na uvedené má vplyv najmä skutočnosť, že sa v roku </w:t>
      </w:r>
      <w:r w:rsidRPr="001143E9">
        <w:rPr>
          <w:rFonts w:ascii="Times New Roman" w:hAnsi="Times New Roman"/>
          <w:szCs w:val="24"/>
        </w:rPr>
        <w:lastRenderedPageBreak/>
        <w:t xml:space="preserve">2011 očakáva dôchodcovským správcovským spoločnostiam postúpiť príspevky na </w:t>
      </w:r>
      <w:r w:rsidR="00932C9F">
        <w:rPr>
          <w:rFonts w:ascii="Times New Roman" w:hAnsi="Times New Roman"/>
          <w:szCs w:val="24"/>
        </w:rPr>
        <w:t>starobné dôchodkové sporenie (</w:t>
      </w:r>
      <w:r w:rsidRPr="001143E9">
        <w:rPr>
          <w:rFonts w:ascii="Times New Roman" w:hAnsi="Times New Roman"/>
          <w:szCs w:val="24"/>
        </w:rPr>
        <w:t>SDS</w:t>
      </w:r>
      <w:r w:rsidR="00932C9F">
        <w:rPr>
          <w:rFonts w:ascii="Times New Roman" w:hAnsi="Times New Roman"/>
          <w:szCs w:val="24"/>
        </w:rPr>
        <w:t>)</w:t>
      </w:r>
      <w:r w:rsidRPr="001143E9">
        <w:rPr>
          <w:rFonts w:ascii="Times New Roman" w:hAnsi="Times New Roman"/>
          <w:szCs w:val="24"/>
        </w:rPr>
        <w:t xml:space="preserve"> za EAO v sume 761 119 tis. Eur, čo je o 22 391 tis. Eur viac, ako bolo zapracované v rozpočte. Príjmy z dlžného poistného sa predpokladajú vo výške 271 620 tis. Eur, čo predstavuje prekročenie v absolútnej sume 104 071 tis. Eur.</w:t>
      </w:r>
      <w:r w:rsidR="00D07580">
        <w:rPr>
          <w:rFonts w:ascii="Times New Roman" w:hAnsi="Times New Roman"/>
          <w:szCs w:val="24"/>
        </w:rPr>
        <w:t xml:space="preserve"> Zároveň sa predpokladá nižší transfer zo ŠR SR o 98 029 tis. Eur</w:t>
      </w:r>
      <w:r w:rsidR="00D07580" w:rsidRPr="001143E9">
        <w:rPr>
          <w:rFonts w:ascii="Times New Roman" w:hAnsi="Times New Roman"/>
          <w:szCs w:val="24"/>
        </w:rPr>
        <w:t>.</w:t>
      </w:r>
    </w:p>
    <w:p w:rsidR="00EF6D29" w:rsidRPr="00083BE0" w:rsidRDefault="00EF6D29" w:rsidP="00EF19B9">
      <w:pPr>
        <w:spacing w:before="240" w:after="120"/>
        <w:ind w:firstLine="720"/>
        <w:jc w:val="both"/>
        <w:rPr>
          <w:rFonts w:ascii="Times New Roman" w:hAnsi="Times New Roman"/>
        </w:rPr>
      </w:pPr>
      <w:r w:rsidRPr="00A9077F">
        <w:rPr>
          <w:rFonts w:ascii="Times New Roman" w:hAnsi="Times New Roman"/>
          <w:b/>
        </w:rPr>
        <w:t>V návrhu rozpočtu na rok 201</w:t>
      </w:r>
      <w:r w:rsidR="00EF19B9">
        <w:rPr>
          <w:rFonts w:ascii="Times New Roman" w:hAnsi="Times New Roman"/>
          <w:b/>
        </w:rPr>
        <w:t>2</w:t>
      </w:r>
      <w:r w:rsidRPr="00A9077F">
        <w:rPr>
          <w:rFonts w:ascii="Times New Roman" w:hAnsi="Times New Roman"/>
          <w:b/>
        </w:rPr>
        <w:t xml:space="preserve"> </w:t>
      </w:r>
      <w:r w:rsidRPr="00A9077F">
        <w:rPr>
          <w:rFonts w:ascii="Times New Roman" w:hAnsi="Times New Roman"/>
        </w:rPr>
        <w:t xml:space="preserve">sa predpokladá </w:t>
      </w:r>
      <w:r w:rsidRPr="00A9077F">
        <w:rPr>
          <w:rFonts w:ascii="Times New Roman" w:hAnsi="Times New Roman"/>
          <w:b/>
        </w:rPr>
        <w:t>celkový výsledok hospodárenia</w:t>
      </w:r>
      <w:r w:rsidRPr="00A9077F">
        <w:rPr>
          <w:rFonts w:ascii="Times New Roman" w:hAnsi="Times New Roman"/>
        </w:rPr>
        <w:t xml:space="preserve"> Sociálnej poisťovne na úrovni </w:t>
      </w:r>
      <w:r w:rsidR="00E472DB">
        <w:rPr>
          <w:rFonts w:ascii="Times New Roman" w:hAnsi="Times New Roman"/>
          <w:b/>
        </w:rPr>
        <w:t>514</w:t>
      </w:r>
      <w:r w:rsidR="00DB593A">
        <w:rPr>
          <w:rFonts w:ascii="Times New Roman" w:hAnsi="Times New Roman"/>
          <w:b/>
        </w:rPr>
        <w:t> </w:t>
      </w:r>
      <w:r w:rsidR="00EF19B9" w:rsidRPr="00EF19B9">
        <w:rPr>
          <w:rFonts w:ascii="Times New Roman" w:hAnsi="Times New Roman"/>
          <w:b/>
        </w:rPr>
        <w:t>4</w:t>
      </w:r>
      <w:r w:rsidR="00E472DB">
        <w:rPr>
          <w:rFonts w:ascii="Times New Roman" w:hAnsi="Times New Roman"/>
          <w:b/>
        </w:rPr>
        <w:t>19</w:t>
      </w:r>
      <w:r w:rsidR="00833CBC">
        <w:rPr>
          <w:rFonts w:ascii="Times New Roman" w:hAnsi="Times New Roman"/>
          <w:b/>
        </w:rPr>
        <w:t> </w:t>
      </w:r>
      <w:r w:rsidRPr="00833CBC">
        <w:rPr>
          <w:rFonts w:ascii="Times New Roman" w:hAnsi="Times New Roman"/>
          <w:b/>
        </w:rPr>
        <w:t>tis. Eur</w:t>
      </w:r>
      <w:r w:rsidRPr="00A9077F">
        <w:rPr>
          <w:rFonts w:ascii="Times New Roman" w:hAnsi="Times New Roman"/>
        </w:rPr>
        <w:t xml:space="preserve">. Vo výsledku sa premietajú </w:t>
      </w:r>
      <w:r w:rsidR="00833CBC">
        <w:rPr>
          <w:rFonts w:ascii="Times New Roman" w:hAnsi="Times New Roman"/>
        </w:rPr>
        <w:t>zdroje</w:t>
      </w:r>
      <w:r w:rsidRPr="00A9077F">
        <w:rPr>
          <w:rFonts w:ascii="Times New Roman" w:hAnsi="Times New Roman"/>
        </w:rPr>
        <w:t xml:space="preserve"> rozpočtované vo výške </w:t>
      </w:r>
      <w:r w:rsidR="00DB593A">
        <w:rPr>
          <w:rFonts w:ascii="Times New Roman" w:hAnsi="Times New Roman"/>
        </w:rPr>
        <w:t>7 </w:t>
      </w:r>
      <w:r w:rsidR="00E472DB">
        <w:rPr>
          <w:rFonts w:ascii="Times New Roman" w:hAnsi="Times New Roman"/>
        </w:rPr>
        <w:t>017</w:t>
      </w:r>
      <w:r w:rsidR="00DB593A">
        <w:rPr>
          <w:rFonts w:ascii="Times New Roman" w:hAnsi="Times New Roman"/>
        </w:rPr>
        <w:t> </w:t>
      </w:r>
      <w:r w:rsidR="00E472DB">
        <w:rPr>
          <w:rFonts w:ascii="Times New Roman" w:hAnsi="Times New Roman"/>
        </w:rPr>
        <w:t>7</w:t>
      </w:r>
      <w:r w:rsidR="00027544">
        <w:rPr>
          <w:rFonts w:ascii="Times New Roman" w:hAnsi="Times New Roman"/>
        </w:rPr>
        <w:t>8</w:t>
      </w:r>
      <w:r w:rsidR="00E472DB">
        <w:rPr>
          <w:rFonts w:ascii="Times New Roman" w:hAnsi="Times New Roman"/>
        </w:rPr>
        <w:t>2</w:t>
      </w:r>
      <w:r w:rsidR="00833CBC">
        <w:rPr>
          <w:rFonts w:ascii="Times New Roman" w:hAnsi="Times New Roman"/>
        </w:rPr>
        <w:t> </w:t>
      </w:r>
      <w:r w:rsidRPr="00A9077F">
        <w:rPr>
          <w:rFonts w:ascii="Times New Roman" w:hAnsi="Times New Roman"/>
        </w:rPr>
        <w:t>tis. Eur (vrátane prevodu z predchádzajúcich rokov) a výdavky vo výške 6</w:t>
      </w:r>
      <w:r w:rsidR="007E55B5">
        <w:rPr>
          <w:rFonts w:ascii="Times New Roman" w:hAnsi="Times New Roman"/>
        </w:rPr>
        <w:t> 503 </w:t>
      </w:r>
      <w:r w:rsidR="00EF19B9">
        <w:rPr>
          <w:rFonts w:ascii="Times New Roman" w:hAnsi="Times New Roman"/>
        </w:rPr>
        <w:t>363</w:t>
      </w:r>
      <w:r w:rsidRPr="00A9077F">
        <w:rPr>
          <w:rFonts w:ascii="Times New Roman" w:hAnsi="Times New Roman"/>
        </w:rPr>
        <w:t xml:space="preserve"> tis. Eur. </w:t>
      </w:r>
      <w:r w:rsidR="00833CBC" w:rsidRPr="00083BE0">
        <w:rPr>
          <w:rFonts w:ascii="Times New Roman" w:hAnsi="Times New Roman"/>
          <w:b/>
        </w:rPr>
        <w:t>Hospodárenie v bežnom roku</w:t>
      </w:r>
      <w:r w:rsidR="00833CBC" w:rsidRPr="00083BE0">
        <w:rPr>
          <w:rFonts w:ascii="Times New Roman" w:hAnsi="Times New Roman"/>
        </w:rPr>
        <w:t xml:space="preserve"> by malo skončiť</w:t>
      </w:r>
      <w:r w:rsidR="00833CBC">
        <w:rPr>
          <w:rFonts w:ascii="Times New Roman" w:hAnsi="Times New Roman"/>
        </w:rPr>
        <w:t xml:space="preserve"> </w:t>
      </w:r>
      <w:r w:rsidR="00833CBC" w:rsidRPr="00083BE0">
        <w:rPr>
          <w:rFonts w:ascii="Times New Roman" w:hAnsi="Times New Roman"/>
        </w:rPr>
        <w:t xml:space="preserve">vo výške </w:t>
      </w:r>
      <w:r w:rsidR="00EF19B9">
        <w:rPr>
          <w:rFonts w:ascii="Times New Roman" w:hAnsi="Times New Roman"/>
        </w:rPr>
        <w:t>-11 961</w:t>
      </w:r>
      <w:r w:rsidR="00F523CB">
        <w:rPr>
          <w:rFonts w:ascii="Times New Roman" w:hAnsi="Times New Roman"/>
          <w:b/>
        </w:rPr>
        <w:t> </w:t>
      </w:r>
      <w:r w:rsidR="00833CBC" w:rsidRPr="00EF19B9">
        <w:rPr>
          <w:rFonts w:ascii="Times New Roman" w:hAnsi="Times New Roman"/>
        </w:rPr>
        <w:t>tis. Eur</w:t>
      </w:r>
      <w:r w:rsidR="00833CBC" w:rsidRPr="00083BE0">
        <w:rPr>
          <w:rFonts w:ascii="Times New Roman" w:hAnsi="Times New Roman"/>
        </w:rPr>
        <w:t xml:space="preserve">. </w:t>
      </w:r>
      <w:r w:rsidRPr="00A9077F">
        <w:rPr>
          <w:rFonts w:ascii="Times New Roman" w:hAnsi="Times New Roman"/>
        </w:rPr>
        <w:t xml:space="preserve">V tomto výsledku sa premieta </w:t>
      </w:r>
      <w:r w:rsidR="00DB593A">
        <w:rPr>
          <w:rFonts w:ascii="Times New Roman" w:hAnsi="Times New Roman"/>
        </w:rPr>
        <w:t xml:space="preserve">vplyv navrhovanej novely zákona a </w:t>
      </w:r>
      <w:r w:rsidRPr="00A9077F">
        <w:rPr>
          <w:rFonts w:ascii="Times New Roman" w:hAnsi="Times New Roman"/>
        </w:rPr>
        <w:t xml:space="preserve">aj </w:t>
      </w:r>
      <w:r w:rsidR="00833CBC">
        <w:rPr>
          <w:rFonts w:ascii="Times New Roman" w:hAnsi="Times New Roman"/>
        </w:rPr>
        <w:t>postú</w:t>
      </w:r>
      <w:r w:rsidR="00A21F4C">
        <w:rPr>
          <w:rFonts w:ascii="Times New Roman" w:hAnsi="Times New Roman"/>
        </w:rPr>
        <w:t>p</w:t>
      </w:r>
      <w:r w:rsidR="00833CBC">
        <w:rPr>
          <w:rFonts w:ascii="Times New Roman" w:hAnsi="Times New Roman"/>
        </w:rPr>
        <w:t xml:space="preserve">enie príspevkov na SDS vo výške </w:t>
      </w:r>
      <w:r w:rsidR="00EF19B9">
        <w:rPr>
          <w:rFonts w:ascii="Times New Roman" w:hAnsi="Times New Roman"/>
        </w:rPr>
        <w:t>947 881</w:t>
      </w:r>
      <w:r w:rsidR="00833CBC">
        <w:rPr>
          <w:rFonts w:ascii="Times New Roman" w:hAnsi="Times New Roman"/>
        </w:rPr>
        <w:t xml:space="preserve"> tis. Eur. </w:t>
      </w:r>
      <w:r w:rsidRPr="00083BE0">
        <w:rPr>
          <w:rFonts w:ascii="Times New Roman" w:hAnsi="Times New Roman"/>
        </w:rPr>
        <w:t xml:space="preserve">V príjmoch Sociálnej poisťovne je zapracovaný </w:t>
      </w:r>
      <w:r w:rsidR="00EF19B9">
        <w:rPr>
          <w:rFonts w:ascii="Times New Roman" w:hAnsi="Times New Roman"/>
        </w:rPr>
        <w:t>transf</w:t>
      </w:r>
      <w:r w:rsidR="00DB593A">
        <w:rPr>
          <w:rFonts w:ascii="Times New Roman" w:hAnsi="Times New Roman"/>
        </w:rPr>
        <w:t>e</w:t>
      </w:r>
      <w:r w:rsidR="00EF19B9">
        <w:rPr>
          <w:rFonts w:ascii="Times New Roman" w:hAnsi="Times New Roman"/>
        </w:rPr>
        <w:t>r</w:t>
      </w:r>
      <w:r w:rsidRPr="00083BE0">
        <w:rPr>
          <w:rFonts w:ascii="Times New Roman" w:hAnsi="Times New Roman"/>
          <w:b/>
        </w:rPr>
        <w:t xml:space="preserve"> zo </w:t>
      </w:r>
      <w:r w:rsidR="00FC64A7">
        <w:rPr>
          <w:rFonts w:ascii="Times New Roman" w:hAnsi="Times New Roman"/>
          <w:b/>
        </w:rPr>
        <w:t>štátneho rozpočtu</w:t>
      </w:r>
      <w:r w:rsidRPr="00083BE0">
        <w:rPr>
          <w:rFonts w:ascii="Times New Roman" w:hAnsi="Times New Roman"/>
          <w:b/>
        </w:rPr>
        <w:t xml:space="preserve"> S</w:t>
      </w:r>
      <w:r w:rsidR="00833CBC">
        <w:rPr>
          <w:rFonts w:ascii="Times New Roman" w:hAnsi="Times New Roman"/>
          <w:b/>
        </w:rPr>
        <w:t>R</w:t>
      </w:r>
      <w:r w:rsidRPr="00083BE0">
        <w:rPr>
          <w:rFonts w:ascii="Times New Roman" w:hAnsi="Times New Roman"/>
          <w:b/>
        </w:rPr>
        <w:t xml:space="preserve"> </w:t>
      </w:r>
      <w:r w:rsidRPr="00083BE0">
        <w:rPr>
          <w:rFonts w:ascii="Times New Roman" w:hAnsi="Times New Roman"/>
        </w:rPr>
        <w:t>v sume</w:t>
      </w:r>
      <w:r w:rsidRPr="00083BE0">
        <w:rPr>
          <w:rFonts w:ascii="Times New Roman" w:hAnsi="Times New Roman"/>
          <w:b/>
        </w:rPr>
        <w:t xml:space="preserve"> </w:t>
      </w:r>
      <w:r w:rsidR="00EF19B9">
        <w:rPr>
          <w:rFonts w:ascii="Times New Roman" w:hAnsi="Times New Roman"/>
          <w:b/>
        </w:rPr>
        <w:t>2 855 000</w:t>
      </w:r>
      <w:r w:rsidRPr="00083BE0">
        <w:rPr>
          <w:rFonts w:ascii="Times New Roman" w:hAnsi="Times New Roman"/>
          <w:b/>
        </w:rPr>
        <w:t xml:space="preserve"> tis. Eur</w:t>
      </w:r>
      <w:r w:rsidRPr="00083BE0">
        <w:rPr>
          <w:rFonts w:ascii="Times New Roman" w:hAnsi="Times New Roman"/>
        </w:rPr>
        <w:t>.</w:t>
      </w:r>
    </w:p>
    <w:p w:rsidR="00C14E19" w:rsidRPr="00DB593A" w:rsidRDefault="00EF6D29" w:rsidP="00EF6D29">
      <w:pPr>
        <w:spacing w:before="240" w:after="120"/>
        <w:ind w:firstLine="708"/>
        <w:jc w:val="both"/>
        <w:rPr>
          <w:rFonts w:ascii="Times New Roman" w:hAnsi="Times New Roman"/>
          <w:b/>
        </w:rPr>
      </w:pPr>
      <w:r w:rsidRPr="00DB593A">
        <w:rPr>
          <w:rFonts w:ascii="Times New Roman" w:hAnsi="Times New Roman"/>
        </w:rPr>
        <w:t xml:space="preserve">Návrh </w:t>
      </w:r>
      <w:r w:rsidRPr="00DB593A">
        <w:rPr>
          <w:rFonts w:ascii="Times New Roman" w:hAnsi="Times New Roman"/>
          <w:b/>
        </w:rPr>
        <w:t xml:space="preserve">rozpočtu výdavkov (nákladov) správneho fondu </w:t>
      </w:r>
      <w:r w:rsidR="00DB593A" w:rsidRPr="00DB593A">
        <w:rPr>
          <w:rFonts w:ascii="Times New Roman" w:hAnsi="Times New Roman"/>
        </w:rPr>
        <w:t>vychádza z</w:t>
      </w:r>
      <w:r w:rsidRPr="00DB593A">
        <w:rPr>
          <w:rFonts w:ascii="Times New Roman" w:hAnsi="Times New Roman"/>
        </w:rPr>
        <w:t xml:space="preserve"> úloh inštitúcie </w:t>
      </w:r>
      <w:r w:rsidR="00DB593A" w:rsidRPr="00DB593A">
        <w:rPr>
          <w:rFonts w:ascii="Times New Roman" w:hAnsi="Times New Roman"/>
        </w:rPr>
        <w:t>definovaných</w:t>
      </w:r>
      <w:r w:rsidRPr="00DB593A">
        <w:rPr>
          <w:rFonts w:ascii="Times New Roman" w:hAnsi="Times New Roman"/>
        </w:rPr>
        <w:t xml:space="preserve"> predovšetkým v Strategických zámeroch činnosti Sociálnej poisťovne</w:t>
      </w:r>
      <w:r w:rsidR="00833CBC" w:rsidRPr="00DB593A">
        <w:rPr>
          <w:rFonts w:ascii="Times New Roman" w:hAnsi="Times New Roman"/>
        </w:rPr>
        <w:t xml:space="preserve"> a </w:t>
      </w:r>
      <w:r w:rsidR="00C14E19" w:rsidRPr="00DB593A">
        <w:rPr>
          <w:rFonts w:ascii="Times New Roman" w:hAnsi="Times New Roman"/>
        </w:rPr>
        <w:t>v ďalších vnútorných dokumentoch</w:t>
      </w:r>
      <w:r w:rsidRPr="00DB593A">
        <w:rPr>
          <w:rFonts w:ascii="Times New Roman" w:hAnsi="Times New Roman"/>
        </w:rPr>
        <w:t>.</w:t>
      </w:r>
      <w:r w:rsidR="00224926" w:rsidRPr="00DB593A">
        <w:rPr>
          <w:rFonts w:ascii="Times New Roman" w:hAnsi="Times New Roman"/>
        </w:rPr>
        <w:t xml:space="preserve"> </w:t>
      </w:r>
      <w:r w:rsidR="00224926" w:rsidRPr="00DB593A">
        <w:rPr>
          <w:rFonts w:ascii="Times New Roman" w:hAnsi="Times New Roman"/>
          <w:b/>
        </w:rPr>
        <w:t>S</w:t>
      </w:r>
      <w:r w:rsidRPr="00DB593A">
        <w:rPr>
          <w:rFonts w:ascii="Times New Roman" w:hAnsi="Times New Roman"/>
          <w:b/>
        </w:rPr>
        <w:t>t</w:t>
      </w:r>
      <w:r w:rsidR="00224926" w:rsidRPr="00DB593A">
        <w:rPr>
          <w:rFonts w:ascii="Times New Roman" w:hAnsi="Times New Roman"/>
          <w:b/>
        </w:rPr>
        <w:t>anovená tvorba správneho fondu</w:t>
      </w:r>
      <w:r w:rsidRPr="00DB593A">
        <w:rPr>
          <w:rFonts w:ascii="Times New Roman" w:hAnsi="Times New Roman"/>
          <w:b/>
        </w:rPr>
        <w:t xml:space="preserve"> si vyžaduje v roku 201</w:t>
      </w:r>
      <w:r w:rsidR="00C0751F" w:rsidRPr="00DB593A">
        <w:rPr>
          <w:rFonts w:ascii="Times New Roman" w:hAnsi="Times New Roman"/>
          <w:b/>
        </w:rPr>
        <w:t>2</w:t>
      </w:r>
      <w:r w:rsidRPr="00DB593A">
        <w:rPr>
          <w:rFonts w:ascii="Times New Roman" w:hAnsi="Times New Roman"/>
          <w:b/>
        </w:rPr>
        <w:t xml:space="preserve"> dodržanie </w:t>
      </w:r>
      <w:r w:rsidR="00224926" w:rsidRPr="00DB593A">
        <w:rPr>
          <w:rFonts w:ascii="Times New Roman" w:hAnsi="Times New Roman"/>
          <w:b/>
        </w:rPr>
        <w:t xml:space="preserve">mimoriadnych </w:t>
      </w:r>
      <w:r w:rsidRPr="00DB593A">
        <w:rPr>
          <w:rFonts w:ascii="Times New Roman" w:hAnsi="Times New Roman"/>
          <w:b/>
        </w:rPr>
        <w:t>úsporných opatren</w:t>
      </w:r>
      <w:r w:rsidR="00224926" w:rsidRPr="00DB593A">
        <w:rPr>
          <w:rFonts w:ascii="Times New Roman" w:hAnsi="Times New Roman"/>
          <w:b/>
        </w:rPr>
        <w:t>í vo všetkých oblastiach výkonu činnosti.</w:t>
      </w:r>
      <w:r w:rsidRPr="00DB593A">
        <w:rPr>
          <w:rFonts w:ascii="Times New Roman" w:hAnsi="Times New Roman"/>
          <w:b/>
        </w:rPr>
        <w:t xml:space="preserve"> </w:t>
      </w:r>
    </w:p>
    <w:p w:rsidR="00EF6D29" w:rsidRPr="00DB593A" w:rsidRDefault="00EF6D29" w:rsidP="00EF6D29">
      <w:pPr>
        <w:spacing w:before="240" w:after="120"/>
        <w:ind w:firstLine="708"/>
        <w:jc w:val="both"/>
        <w:rPr>
          <w:rFonts w:ascii="Times New Roman" w:hAnsi="Times New Roman"/>
          <w:b/>
          <w:i/>
        </w:rPr>
      </w:pPr>
      <w:r w:rsidRPr="00DB593A">
        <w:rPr>
          <w:rFonts w:ascii="Times New Roman" w:hAnsi="Times New Roman"/>
        </w:rPr>
        <w:t xml:space="preserve">Návrh rozpočtu </w:t>
      </w:r>
      <w:r w:rsidRPr="00DB593A">
        <w:rPr>
          <w:rFonts w:ascii="Times New Roman" w:hAnsi="Times New Roman"/>
          <w:b/>
        </w:rPr>
        <w:t>správn</w:t>
      </w:r>
      <w:r w:rsidR="00DB593A" w:rsidRPr="00DB593A">
        <w:rPr>
          <w:rFonts w:ascii="Times New Roman" w:hAnsi="Times New Roman"/>
          <w:b/>
        </w:rPr>
        <w:t>eho</w:t>
      </w:r>
      <w:r w:rsidRPr="00DB593A">
        <w:rPr>
          <w:rFonts w:ascii="Times New Roman" w:hAnsi="Times New Roman"/>
          <w:b/>
        </w:rPr>
        <w:t xml:space="preserve"> fond</w:t>
      </w:r>
      <w:r w:rsidR="00DB593A" w:rsidRPr="00DB593A">
        <w:rPr>
          <w:rFonts w:ascii="Times New Roman" w:hAnsi="Times New Roman"/>
          <w:b/>
        </w:rPr>
        <w:t>u</w:t>
      </w:r>
      <w:r w:rsidRPr="00DB593A">
        <w:rPr>
          <w:rFonts w:ascii="Times New Roman" w:hAnsi="Times New Roman"/>
        </w:rPr>
        <w:t xml:space="preserve"> bol predložený </w:t>
      </w:r>
      <w:r w:rsidRPr="00DB593A">
        <w:rPr>
          <w:rFonts w:ascii="Times New Roman" w:hAnsi="Times New Roman"/>
          <w:b/>
        </w:rPr>
        <w:t xml:space="preserve"> hlavnému kontrolórovi Sociálnej poisťovne </w:t>
      </w:r>
      <w:r w:rsidRPr="00DB593A">
        <w:rPr>
          <w:rFonts w:ascii="Times New Roman" w:hAnsi="Times New Roman"/>
        </w:rPr>
        <w:t xml:space="preserve">v súlade s ustanovením § 245c zákona </w:t>
      </w:r>
      <w:r w:rsidR="00430445">
        <w:rPr>
          <w:rFonts w:ascii="Times New Roman" w:hAnsi="Times New Roman"/>
        </w:rPr>
        <w:t>o sociálnom poistení</w:t>
      </w:r>
      <w:r w:rsidRPr="00DB593A">
        <w:rPr>
          <w:rFonts w:ascii="Times New Roman" w:hAnsi="Times New Roman"/>
        </w:rPr>
        <w:t xml:space="preserve"> na odborné stanovisko. </w:t>
      </w:r>
      <w:r w:rsidRPr="00DB593A">
        <w:rPr>
          <w:rFonts w:ascii="Times New Roman" w:hAnsi="Times New Roman"/>
          <w:b/>
        </w:rPr>
        <w:t>V odbornom stanovisku</w:t>
      </w:r>
      <w:r w:rsidRPr="00DB593A">
        <w:rPr>
          <w:rFonts w:ascii="Times New Roman" w:hAnsi="Times New Roman"/>
        </w:rPr>
        <w:t xml:space="preserve"> predloženom Dozornej rade Sociálnej poisťovne </w:t>
      </w:r>
      <w:r w:rsidRPr="00DB593A">
        <w:rPr>
          <w:rFonts w:ascii="Times New Roman" w:hAnsi="Times New Roman"/>
          <w:b/>
        </w:rPr>
        <w:t xml:space="preserve">hlavný kontrolór vyjadril súhlas s návrhom rozpočtu bez </w:t>
      </w:r>
      <w:r w:rsidR="00DB593A" w:rsidRPr="00DB593A">
        <w:rPr>
          <w:rFonts w:ascii="Times New Roman" w:hAnsi="Times New Roman"/>
          <w:b/>
        </w:rPr>
        <w:t>pripomienok</w:t>
      </w:r>
      <w:r w:rsidRPr="00DB593A">
        <w:rPr>
          <w:rFonts w:ascii="Times New Roman" w:hAnsi="Times New Roman"/>
          <w:b/>
        </w:rPr>
        <w:t>.</w:t>
      </w:r>
    </w:p>
    <w:p w:rsidR="00EF6D29" w:rsidRPr="00DB593A" w:rsidRDefault="00EF6D29" w:rsidP="00EF6D29">
      <w:pPr>
        <w:spacing w:before="120"/>
        <w:jc w:val="center"/>
        <w:rPr>
          <w:rFonts w:ascii="Times New Roman" w:hAnsi="Times New Roman"/>
        </w:rPr>
      </w:pPr>
      <w:r w:rsidRPr="00DB593A">
        <w:rPr>
          <w:rFonts w:ascii="Times New Roman" w:hAnsi="Times New Roman"/>
        </w:rPr>
        <w:t xml:space="preserve">x  </w:t>
      </w:r>
      <w:proofErr w:type="spellStart"/>
      <w:r w:rsidRPr="00DB593A">
        <w:rPr>
          <w:rFonts w:ascii="Times New Roman" w:hAnsi="Times New Roman"/>
        </w:rPr>
        <w:t>x</w:t>
      </w:r>
      <w:proofErr w:type="spellEnd"/>
      <w:r w:rsidRPr="00DB593A">
        <w:rPr>
          <w:rFonts w:ascii="Times New Roman" w:hAnsi="Times New Roman"/>
        </w:rPr>
        <w:t xml:space="preserve">  </w:t>
      </w:r>
      <w:proofErr w:type="spellStart"/>
      <w:r w:rsidRPr="00DB593A">
        <w:rPr>
          <w:rFonts w:ascii="Times New Roman" w:hAnsi="Times New Roman"/>
        </w:rPr>
        <w:t>x</w:t>
      </w:r>
      <w:proofErr w:type="spellEnd"/>
    </w:p>
    <w:p w:rsidR="00EF6D29" w:rsidRPr="00DB593A" w:rsidRDefault="00EF6D29" w:rsidP="00EF6D29">
      <w:pPr>
        <w:spacing w:before="120"/>
        <w:ind w:firstLine="708"/>
        <w:jc w:val="both"/>
        <w:rPr>
          <w:rFonts w:ascii="Times New Roman" w:hAnsi="Times New Roman"/>
        </w:rPr>
      </w:pPr>
      <w:r w:rsidRPr="00DB593A">
        <w:rPr>
          <w:rFonts w:ascii="Times New Roman" w:hAnsi="Times New Roman"/>
          <w:b/>
        </w:rPr>
        <w:t>Dozorná rada Sociálnej poisťovne po prerokovaní návrhu rozpočtu na rok 201</w:t>
      </w:r>
      <w:r w:rsidR="00C0751F" w:rsidRPr="00DB593A">
        <w:rPr>
          <w:rFonts w:ascii="Times New Roman" w:hAnsi="Times New Roman"/>
          <w:b/>
        </w:rPr>
        <w:t>2</w:t>
      </w:r>
      <w:r w:rsidRPr="00DB593A">
        <w:rPr>
          <w:rFonts w:ascii="Times New Roman" w:hAnsi="Times New Roman"/>
          <w:b/>
        </w:rPr>
        <w:t xml:space="preserve"> dospela k záveru</w:t>
      </w:r>
      <w:r w:rsidRPr="00DB593A">
        <w:rPr>
          <w:rFonts w:ascii="Times New Roman" w:hAnsi="Times New Roman"/>
        </w:rPr>
        <w:t>, že návrh rozpočtu Sociálnej poisťovne na rok 201</w:t>
      </w:r>
      <w:r w:rsidR="007D73E7">
        <w:rPr>
          <w:rFonts w:ascii="Times New Roman" w:hAnsi="Times New Roman"/>
        </w:rPr>
        <w:t>2</w:t>
      </w:r>
      <w:r w:rsidRPr="00DB593A">
        <w:rPr>
          <w:rFonts w:ascii="Times New Roman" w:hAnsi="Times New Roman"/>
        </w:rPr>
        <w:t>:</w:t>
      </w:r>
    </w:p>
    <w:p w:rsidR="00EF6D29" w:rsidRPr="00DB593A" w:rsidRDefault="00EF6D29" w:rsidP="00FC64A7">
      <w:pPr>
        <w:numPr>
          <w:ilvl w:val="0"/>
          <w:numId w:val="16"/>
        </w:numPr>
        <w:tabs>
          <w:tab w:val="clear" w:pos="1425"/>
          <w:tab w:val="num" w:pos="720"/>
        </w:tabs>
        <w:ind w:left="720" w:hanging="720"/>
        <w:jc w:val="both"/>
        <w:rPr>
          <w:rFonts w:ascii="Times New Roman" w:hAnsi="Times New Roman"/>
        </w:rPr>
      </w:pPr>
      <w:r w:rsidRPr="00DB593A">
        <w:rPr>
          <w:rFonts w:ascii="Times New Roman" w:hAnsi="Times New Roman"/>
        </w:rPr>
        <w:t>je spracovaný v súlade so všeobecne záväznými právnymi  predpismi a ďalšími záväznými úpravami,</w:t>
      </w:r>
    </w:p>
    <w:p w:rsidR="00EF6D29" w:rsidRPr="00DB593A" w:rsidRDefault="00EF6D29" w:rsidP="00FC64A7">
      <w:pPr>
        <w:numPr>
          <w:ilvl w:val="0"/>
          <w:numId w:val="16"/>
        </w:numPr>
        <w:tabs>
          <w:tab w:val="clear" w:pos="1425"/>
          <w:tab w:val="num" w:pos="720"/>
        </w:tabs>
        <w:ind w:left="720" w:hanging="720"/>
        <w:jc w:val="both"/>
        <w:rPr>
          <w:rFonts w:ascii="Times New Roman" w:hAnsi="Times New Roman"/>
        </w:rPr>
      </w:pPr>
      <w:r w:rsidRPr="00DB593A">
        <w:rPr>
          <w:rFonts w:ascii="Times New Roman" w:hAnsi="Times New Roman"/>
        </w:rPr>
        <w:t>zohľadňuje vývoj v predchádzajúcich rokoch a očakávanú skutočnosť hospodárenia v roku 20</w:t>
      </w:r>
      <w:r w:rsidR="00083BE0" w:rsidRPr="00DB593A">
        <w:rPr>
          <w:rFonts w:ascii="Times New Roman" w:hAnsi="Times New Roman"/>
        </w:rPr>
        <w:t>1</w:t>
      </w:r>
      <w:r w:rsidR="00C0751F" w:rsidRPr="00DB593A">
        <w:rPr>
          <w:rFonts w:ascii="Times New Roman" w:hAnsi="Times New Roman"/>
        </w:rPr>
        <w:t>1</w:t>
      </w:r>
      <w:r w:rsidRPr="00DB593A">
        <w:rPr>
          <w:rFonts w:ascii="Times New Roman" w:hAnsi="Times New Roman"/>
        </w:rPr>
        <w:t xml:space="preserve">, </w:t>
      </w:r>
    </w:p>
    <w:p w:rsidR="00EF6D29" w:rsidRPr="00DB593A" w:rsidRDefault="00EF6D29" w:rsidP="00FC64A7">
      <w:pPr>
        <w:numPr>
          <w:ilvl w:val="0"/>
          <w:numId w:val="16"/>
        </w:numPr>
        <w:tabs>
          <w:tab w:val="clear" w:pos="1425"/>
          <w:tab w:val="num" w:pos="720"/>
        </w:tabs>
        <w:ind w:left="720" w:hanging="720"/>
        <w:jc w:val="both"/>
        <w:rPr>
          <w:rFonts w:ascii="Times New Roman" w:hAnsi="Times New Roman"/>
        </w:rPr>
      </w:pPr>
      <w:r w:rsidRPr="00DB593A">
        <w:rPr>
          <w:rFonts w:ascii="Times New Roman" w:hAnsi="Times New Roman"/>
        </w:rPr>
        <w:t>vychádza zo všetkých dostupných relevantných údajov, ktoré majú vplyv na výšku rozpočtovaných príjmov a výdavkov,</w:t>
      </w:r>
    </w:p>
    <w:p w:rsidR="00EF6D29" w:rsidRPr="00DB593A" w:rsidRDefault="00EF6D29" w:rsidP="00FC64A7">
      <w:pPr>
        <w:numPr>
          <w:ilvl w:val="0"/>
          <w:numId w:val="16"/>
        </w:numPr>
        <w:tabs>
          <w:tab w:val="clear" w:pos="1425"/>
          <w:tab w:val="num" w:pos="720"/>
        </w:tabs>
        <w:ind w:left="720" w:hanging="720"/>
        <w:jc w:val="both"/>
        <w:rPr>
          <w:rFonts w:ascii="Times New Roman" w:hAnsi="Times New Roman"/>
        </w:rPr>
      </w:pPr>
      <w:r w:rsidRPr="00DB593A">
        <w:rPr>
          <w:rFonts w:ascii="Times New Roman" w:hAnsi="Times New Roman"/>
        </w:rPr>
        <w:t>vytvára v rámci daných možností podmienky pre plnenie úloh, ktoré vyplývajú z príslušných právnych predpisov.</w:t>
      </w:r>
    </w:p>
    <w:p w:rsidR="00EF6D29" w:rsidRPr="00DB593A" w:rsidRDefault="00EF6D29" w:rsidP="00EF6D29">
      <w:pPr>
        <w:spacing w:before="240" w:after="120"/>
        <w:ind w:firstLine="709"/>
        <w:jc w:val="both"/>
        <w:rPr>
          <w:rFonts w:ascii="Times New Roman" w:hAnsi="Times New Roman"/>
        </w:rPr>
      </w:pPr>
      <w:r w:rsidRPr="00DB593A">
        <w:rPr>
          <w:rFonts w:ascii="Times New Roman" w:hAnsi="Times New Roman"/>
        </w:rPr>
        <w:t xml:space="preserve">Dozorná rada Sociálnej poisťovne záverom uvádza, že nadväzne na ustanovenie § 4 ods. 2 zákona o rozpočtových pravidlách, podľa ktorého sú </w:t>
      </w:r>
      <w:r w:rsidRPr="00DB593A">
        <w:rPr>
          <w:rFonts w:ascii="Times New Roman" w:hAnsi="Times New Roman"/>
          <w:b/>
        </w:rPr>
        <w:t>záväznými ukazovateľmi rozpočtované príjmy a rozpočtované výdavky len na príslušný rozpočtový rok</w:t>
      </w:r>
      <w:r w:rsidRPr="00DB593A">
        <w:rPr>
          <w:rFonts w:ascii="Times New Roman" w:hAnsi="Times New Roman"/>
        </w:rPr>
        <w:t>, v tomto prípade na rok 201</w:t>
      </w:r>
      <w:r w:rsidR="00C0751F" w:rsidRPr="00DB593A">
        <w:rPr>
          <w:rFonts w:ascii="Times New Roman" w:hAnsi="Times New Roman"/>
        </w:rPr>
        <w:t>2</w:t>
      </w:r>
      <w:r w:rsidRPr="00DB593A">
        <w:rPr>
          <w:rFonts w:ascii="Times New Roman" w:hAnsi="Times New Roman"/>
        </w:rPr>
        <w:t>, vo svojom stanovisku  sa podrobnejšie nezaoberá predpokladaným vývojom príjmov a výdavkov v rokoch 201</w:t>
      </w:r>
      <w:r w:rsidR="00C0751F" w:rsidRPr="00DB593A">
        <w:rPr>
          <w:rFonts w:ascii="Times New Roman" w:hAnsi="Times New Roman"/>
        </w:rPr>
        <w:t>3</w:t>
      </w:r>
      <w:r w:rsidR="00C42345" w:rsidRPr="00DB593A">
        <w:rPr>
          <w:rFonts w:ascii="Times New Roman" w:hAnsi="Times New Roman"/>
        </w:rPr>
        <w:t xml:space="preserve"> a 201</w:t>
      </w:r>
      <w:r w:rsidR="00C0751F" w:rsidRPr="00DB593A">
        <w:rPr>
          <w:rFonts w:ascii="Times New Roman" w:hAnsi="Times New Roman"/>
        </w:rPr>
        <w:t>4</w:t>
      </w:r>
      <w:r w:rsidRPr="00DB593A">
        <w:rPr>
          <w:rFonts w:ascii="Times New Roman" w:hAnsi="Times New Roman"/>
        </w:rPr>
        <w:t>.</w:t>
      </w:r>
    </w:p>
    <w:p w:rsidR="003B4E4E" w:rsidRPr="00CA0555" w:rsidRDefault="00EF6D29" w:rsidP="00CA0555">
      <w:pPr>
        <w:spacing w:before="240" w:after="120"/>
        <w:ind w:firstLine="709"/>
        <w:jc w:val="both"/>
        <w:rPr>
          <w:rFonts w:ascii="Times New Roman" w:hAnsi="Times New Roman"/>
        </w:rPr>
      </w:pPr>
      <w:r w:rsidRPr="00DB593A">
        <w:rPr>
          <w:rFonts w:ascii="Times New Roman" w:hAnsi="Times New Roman"/>
        </w:rPr>
        <w:t>S ohľadom na vyššie uvedené Dozorná rada Sociálnej poisťovne odporúča vláde Slovenskej republiky návrh rozpočtu na rok 201</w:t>
      </w:r>
      <w:r w:rsidR="007D73E7">
        <w:rPr>
          <w:rFonts w:ascii="Times New Roman" w:hAnsi="Times New Roman"/>
        </w:rPr>
        <w:t>2</w:t>
      </w:r>
      <w:r w:rsidRPr="00DB593A">
        <w:rPr>
          <w:rFonts w:ascii="Times New Roman" w:hAnsi="Times New Roman"/>
        </w:rPr>
        <w:t xml:space="preserve"> </w:t>
      </w:r>
      <w:r w:rsidRPr="00DB593A">
        <w:rPr>
          <w:rFonts w:ascii="Times New Roman" w:hAnsi="Times New Roman"/>
          <w:b/>
        </w:rPr>
        <w:t>schváliť</w:t>
      </w:r>
      <w:r w:rsidRPr="00DB593A">
        <w:rPr>
          <w:rFonts w:ascii="Times New Roman" w:hAnsi="Times New Roman"/>
        </w:rPr>
        <w:t>.</w:t>
      </w:r>
    </w:p>
    <w:sectPr w:rsidR="003B4E4E" w:rsidRPr="00CA0555" w:rsidSect="008F7147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852" w:rsidRDefault="000F7852">
      <w:r>
        <w:separator/>
      </w:r>
    </w:p>
  </w:endnote>
  <w:endnote w:type="continuationSeparator" w:id="0">
    <w:p w:rsidR="000F7852" w:rsidRDefault="000F7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C2D" w:rsidRDefault="00E73C2D" w:rsidP="00126644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E73C2D" w:rsidRDefault="00E73C2D" w:rsidP="008F7147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C2D" w:rsidRDefault="00E73C2D" w:rsidP="00126644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FE30B9">
      <w:rPr>
        <w:rStyle w:val="slostrany"/>
        <w:noProof/>
      </w:rPr>
      <w:t>2</w:t>
    </w:r>
    <w:r>
      <w:rPr>
        <w:rStyle w:val="slostrany"/>
      </w:rPr>
      <w:fldChar w:fldCharType="end"/>
    </w:r>
  </w:p>
  <w:p w:rsidR="00E73C2D" w:rsidRDefault="00E73C2D" w:rsidP="008F7147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852" w:rsidRDefault="000F7852">
      <w:r>
        <w:separator/>
      </w:r>
    </w:p>
  </w:footnote>
  <w:footnote w:type="continuationSeparator" w:id="0">
    <w:p w:rsidR="000F7852" w:rsidRDefault="000F78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53DEA"/>
    <w:multiLevelType w:val="hybridMultilevel"/>
    <w:tmpl w:val="F1062A84"/>
    <w:lvl w:ilvl="0" w:tplc="041B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B94AC7"/>
    <w:multiLevelType w:val="multilevel"/>
    <w:tmpl w:val="4E5226D0"/>
    <w:lvl w:ilvl="0">
      <w:start w:val="1"/>
      <w:numFmt w:val="bullet"/>
      <w:lvlText w:val="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E942BD"/>
    <w:multiLevelType w:val="multilevel"/>
    <w:tmpl w:val="4E5226D0"/>
    <w:lvl w:ilvl="0">
      <w:start w:val="1"/>
      <w:numFmt w:val="bullet"/>
      <w:lvlText w:val="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6A0E32"/>
    <w:multiLevelType w:val="multilevel"/>
    <w:tmpl w:val="610676F6"/>
    <w:lvl w:ilvl="0">
      <w:start w:val="1"/>
      <w:numFmt w:val="bullet"/>
      <w:lvlText w:val="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C11EF4"/>
    <w:multiLevelType w:val="hybridMultilevel"/>
    <w:tmpl w:val="6410357E"/>
    <w:lvl w:ilvl="0" w:tplc="041B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CD10D4"/>
    <w:multiLevelType w:val="hybridMultilevel"/>
    <w:tmpl w:val="70C6B5D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624CA3"/>
    <w:multiLevelType w:val="multilevel"/>
    <w:tmpl w:val="C96A9F3C"/>
    <w:lvl w:ilvl="0">
      <w:start w:val="1"/>
      <w:numFmt w:val="bullet"/>
      <w:lvlText w:val="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9845CF"/>
    <w:multiLevelType w:val="multilevel"/>
    <w:tmpl w:val="A5F2B7E0"/>
    <w:lvl w:ilvl="0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FE6D50"/>
    <w:multiLevelType w:val="hybridMultilevel"/>
    <w:tmpl w:val="C55CD68E"/>
    <w:lvl w:ilvl="0" w:tplc="56348362">
      <w:start w:val="1"/>
      <w:numFmt w:val="bullet"/>
      <w:lvlText w:val="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E005317"/>
    <w:multiLevelType w:val="hybridMultilevel"/>
    <w:tmpl w:val="C96A9F3C"/>
    <w:lvl w:ilvl="0" w:tplc="56348362">
      <w:start w:val="1"/>
      <w:numFmt w:val="bullet"/>
      <w:lvlText w:val="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5E532CF"/>
    <w:multiLevelType w:val="hybridMultilevel"/>
    <w:tmpl w:val="FC1097DE"/>
    <w:lvl w:ilvl="0" w:tplc="041B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9753EAB"/>
    <w:multiLevelType w:val="hybridMultilevel"/>
    <w:tmpl w:val="B378B722"/>
    <w:lvl w:ilvl="0" w:tplc="041B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0A1F98"/>
    <w:multiLevelType w:val="hybridMultilevel"/>
    <w:tmpl w:val="610676F6"/>
    <w:lvl w:ilvl="0" w:tplc="56348362">
      <w:start w:val="1"/>
      <w:numFmt w:val="bullet"/>
      <w:lvlText w:val="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BC1D4D"/>
    <w:multiLevelType w:val="hybridMultilevel"/>
    <w:tmpl w:val="A5F2B7E0"/>
    <w:lvl w:ilvl="0" w:tplc="3F7839E0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CB91E30"/>
    <w:multiLevelType w:val="multilevel"/>
    <w:tmpl w:val="C55CD68E"/>
    <w:lvl w:ilvl="0">
      <w:start w:val="1"/>
      <w:numFmt w:val="bullet"/>
      <w:lvlText w:val="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DB47C6"/>
    <w:multiLevelType w:val="multilevel"/>
    <w:tmpl w:val="D18A5480"/>
    <w:lvl w:ilvl="0">
      <w:start w:val="1"/>
      <w:numFmt w:val="bullet"/>
      <w:lvlText w:val="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69A1AA7"/>
    <w:multiLevelType w:val="hybridMultilevel"/>
    <w:tmpl w:val="4E5226D0"/>
    <w:lvl w:ilvl="0" w:tplc="56348362">
      <w:start w:val="1"/>
      <w:numFmt w:val="bullet"/>
      <w:lvlText w:val="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6A55327"/>
    <w:multiLevelType w:val="hybridMultilevel"/>
    <w:tmpl w:val="954A9AF0"/>
    <w:lvl w:ilvl="0" w:tplc="3F7839E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8">
    <w:nsid w:val="588D5A58"/>
    <w:multiLevelType w:val="hybridMultilevel"/>
    <w:tmpl w:val="697AFDFC"/>
    <w:lvl w:ilvl="0" w:tplc="041B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8B3730D"/>
    <w:multiLevelType w:val="hybridMultilevel"/>
    <w:tmpl w:val="2586ECB8"/>
    <w:lvl w:ilvl="0" w:tplc="3F7839E0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61008BD"/>
    <w:multiLevelType w:val="hybridMultilevel"/>
    <w:tmpl w:val="D18A5480"/>
    <w:lvl w:ilvl="0" w:tplc="56348362">
      <w:start w:val="1"/>
      <w:numFmt w:val="bullet"/>
      <w:lvlText w:val="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6"/>
  </w:num>
  <w:num w:numId="4">
    <w:abstractNumId w:val="9"/>
  </w:num>
  <w:num w:numId="5">
    <w:abstractNumId w:val="8"/>
  </w:num>
  <w:num w:numId="6">
    <w:abstractNumId w:val="20"/>
  </w:num>
  <w:num w:numId="7">
    <w:abstractNumId w:val="3"/>
  </w:num>
  <w:num w:numId="8">
    <w:abstractNumId w:val="13"/>
  </w:num>
  <w:num w:numId="9">
    <w:abstractNumId w:val="14"/>
  </w:num>
  <w:num w:numId="10">
    <w:abstractNumId w:val="11"/>
  </w:num>
  <w:num w:numId="11">
    <w:abstractNumId w:val="1"/>
  </w:num>
  <w:num w:numId="12">
    <w:abstractNumId w:val="0"/>
  </w:num>
  <w:num w:numId="13">
    <w:abstractNumId w:val="2"/>
  </w:num>
  <w:num w:numId="14">
    <w:abstractNumId w:val="4"/>
  </w:num>
  <w:num w:numId="15">
    <w:abstractNumId w:val="6"/>
  </w:num>
  <w:num w:numId="16">
    <w:abstractNumId w:val="18"/>
  </w:num>
  <w:num w:numId="17">
    <w:abstractNumId w:val="15"/>
  </w:num>
  <w:num w:numId="18">
    <w:abstractNumId w:val="10"/>
  </w:num>
  <w:num w:numId="19">
    <w:abstractNumId w:val="7"/>
  </w:num>
  <w:num w:numId="20">
    <w:abstractNumId w:val="1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61C"/>
    <w:rsid w:val="00001E3C"/>
    <w:rsid w:val="00011325"/>
    <w:rsid w:val="00024848"/>
    <w:rsid w:val="00024B85"/>
    <w:rsid w:val="00027544"/>
    <w:rsid w:val="00045025"/>
    <w:rsid w:val="00051BAB"/>
    <w:rsid w:val="0005313D"/>
    <w:rsid w:val="00055F7A"/>
    <w:rsid w:val="00071582"/>
    <w:rsid w:val="00074CCE"/>
    <w:rsid w:val="00083BE0"/>
    <w:rsid w:val="00084B1B"/>
    <w:rsid w:val="000912D6"/>
    <w:rsid w:val="000A33E7"/>
    <w:rsid w:val="000C1507"/>
    <w:rsid w:val="000C23DA"/>
    <w:rsid w:val="000C51C9"/>
    <w:rsid w:val="000E1B0A"/>
    <w:rsid w:val="000F66C5"/>
    <w:rsid w:val="000F7852"/>
    <w:rsid w:val="00100C42"/>
    <w:rsid w:val="0010456D"/>
    <w:rsid w:val="00126644"/>
    <w:rsid w:val="00135767"/>
    <w:rsid w:val="00142F46"/>
    <w:rsid w:val="00164876"/>
    <w:rsid w:val="00166DCC"/>
    <w:rsid w:val="00180CA5"/>
    <w:rsid w:val="001833E9"/>
    <w:rsid w:val="00187CCD"/>
    <w:rsid w:val="001A393E"/>
    <w:rsid w:val="001A3B9E"/>
    <w:rsid w:val="001B2094"/>
    <w:rsid w:val="001C3B0B"/>
    <w:rsid w:val="0020597A"/>
    <w:rsid w:val="00216771"/>
    <w:rsid w:val="00224926"/>
    <w:rsid w:val="002352C8"/>
    <w:rsid w:val="00243BD5"/>
    <w:rsid w:val="00256B7F"/>
    <w:rsid w:val="002750F0"/>
    <w:rsid w:val="00286036"/>
    <w:rsid w:val="00287CF1"/>
    <w:rsid w:val="00292BAF"/>
    <w:rsid w:val="002977AD"/>
    <w:rsid w:val="002A1A3F"/>
    <w:rsid w:val="002A58C8"/>
    <w:rsid w:val="002A7573"/>
    <w:rsid w:val="002B2171"/>
    <w:rsid w:val="002B302E"/>
    <w:rsid w:val="002B5C08"/>
    <w:rsid w:val="002F690C"/>
    <w:rsid w:val="00302D4E"/>
    <w:rsid w:val="00327FD2"/>
    <w:rsid w:val="00343589"/>
    <w:rsid w:val="0034633F"/>
    <w:rsid w:val="00353163"/>
    <w:rsid w:val="003878E0"/>
    <w:rsid w:val="00395753"/>
    <w:rsid w:val="0039624C"/>
    <w:rsid w:val="003A6992"/>
    <w:rsid w:val="003B11C7"/>
    <w:rsid w:val="003B33C8"/>
    <w:rsid w:val="003B4E4E"/>
    <w:rsid w:val="003B7FB9"/>
    <w:rsid w:val="003C7EF8"/>
    <w:rsid w:val="00416F51"/>
    <w:rsid w:val="00430445"/>
    <w:rsid w:val="004379E9"/>
    <w:rsid w:val="0044295E"/>
    <w:rsid w:val="00467711"/>
    <w:rsid w:val="00480E97"/>
    <w:rsid w:val="004811C1"/>
    <w:rsid w:val="00485AC6"/>
    <w:rsid w:val="004968E0"/>
    <w:rsid w:val="004A1B36"/>
    <w:rsid w:val="004B2064"/>
    <w:rsid w:val="004B2DAA"/>
    <w:rsid w:val="004D35D5"/>
    <w:rsid w:val="004D4DBC"/>
    <w:rsid w:val="004E0D3D"/>
    <w:rsid w:val="004E1662"/>
    <w:rsid w:val="004E7DDB"/>
    <w:rsid w:val="004F0A5C"/>
    <w:rsid w:val="004F0D12"/>
    <w:rsid w:val="00510B79"/>
    <w:rsid w:val="00520CE0"/>
    <w:rsid w:val="00547C95"/>
    <w:rsid w:val="00564536"/>
    <w:rsid w:val="00573994"/>
    <w:rsid w:val="00575FA9"/>
    <w:rsid w:val="005779DE"/>
    <w:rsid w:val="005E0FBA"/>
    <w:rsid w:val="00603204"/>
    <w:rsid w:val="0062233B"/>
    <w:rsid w:val="0063302A"/>
    <w:rsid w:val="00652A90"/>
    <w:rsid w:val="00677311"/>
    <w:rsid w:val="00680454"/>
    <w:rsid w:val="00686A87"/>
    <w:rsid w:val="006A072D"/>
    <w:rsid w:val="006A0F2A"/>
    <w:rsid w:val="006B3685"/>
    <w:rsid w:val="006B430B"/>
    <w:rsid w:val="006B744F"/>
    <w:rsid w:val="006D6A84"/>
    <w:rsid w:val="006E4D9E"/>
    <w:rsid w:val="006F2B3C"/>
    <w:rsid w:val="007034FC"/>
    <w:rsid w:val="00706B17"/>
    <w:rsid w:val="00717C5E"/>
    <w:rsid w:val="00742786"/>
    <w:rsid w:val="007440A0"/>
    <w:rsid w:val="007456B8"/>
    <w:rsid w:val="007542B7"/>
    <w:rsid w:val="0075450C"/>
    <w:rsid w:val="007767B0"/>
    <w:rsid w:val="00783E78"/>
    <w:rsid w:val="00785300"/>
    <w:rsid w:val="00790CE5"/>
    <w:rsid w:val="007954AB"/>
    <w:rsid w:val="00797423"/>
    <w:rsid w:val="007C22F8"/>
    <w:rsid w:val="007D73E7"/>
    <w:rsid w:val="007E1011"/>
    <w:rsid w:val="007E2BBE"/>
    <w:rsid w:val="007E43B2"/>
    <w:rsid w:val="007E55B5"/>
    <w:rsid w:val="008116B4"/>
    <w:rsid w:val="00813B56"/>
    <w:rsid w:val="00825D47"/>
    <w:rsid w:val="0082776B"/>
    <w:rsid w:val="00832B87"/>
    <w:rsid w:val="00833CBC"/>
    <w:rsid w:val="00844B8B"/>
    <w:rsid w:val="00865CBD"/>
    <w:rsid w:val="00875D13"/>
    <w:rsid w:val="0089010A"/>
    <w:rsid w:val="008A73F7"/>
    <w:rsid w:val="008C0689"/>
    <w:rsid w:val="008C1522"/>
    <w:rsid w:val="008C3838"/>
    <w:rsid w:val="008D422D"/>
    <w:rsid w:val="008D71DD"/>
    <w:rsid w:val="008E333F"/>
    <w:rsid w:val="008E7491"/>
    <w:rsid w:val="008F2AA1"/>
    <w:rsid w:val="008F7147"/>
    <w:rsid w:val="00900F7B"/>
    <w:rsid w:val="00905472"/>
    <w:rsid w:val="009119A0"/>
    <w:rsid w:val="0091331E"/>
    <w:rsid w:val="00932C9F"/>
    <w:rsid w:val="00946066"/>
    <w:rsid w:val="009677D9"/>
    <w:rsid w:val="00993145"/>
    <w:rsid w:val="0099529B"/>
    <w:rsid w:val="009B3E5E"/>
    <w:rsid w:val="009D1422"/>
    <w:rsid w:val="009D572A"/>
    <w:rsid w:val="009D5FEA"/>
    <w:rsid w:val="009E364F"/>
    <w:rsid w:val="009E7F29"/>
    <w:rsid w:val="009F22C2"/>
    <w:rsid w:val="009F7E49"/>
    <w:rsid w:val="00A12080"/>
    <w:rsid w:val="00A21F4C"/>
    <w:rsid w:val="00A27019"/>
    <w:rsid w:val="00A306E0"/>
    <w:rsid w:val="00A575E2"/>
    <w:rsid w:val="00A63F53"/>
    <w:rsid w:val="00A856A3"/>
    <w:rsid w:val="00A9077F"/>
    <w:rsid w:val="00AB10ED"/>
    <w:rsid w:val="00AB1B7D"/>
    <w:rsid w:val="00B10A72"/>
    <w:rsid w:val="00B34F07"/>
    <w:rsid w:val="00B45BA7"/>
    <w:rsid w:val="00B56826"/>
    <w:rsid w:val="00B62C69"/>
    <w:rsid w:val="00B70B41"/>
    <w:rsid w:val="00B80E2F"/>
    <w:rsid w:val="00B83286"/>
    <w:rsid w:val="00BA1ADE"/>
    <w:rsid w:val="00BC0781"/>
    <w:rsid w:val="00BE0AF2"/>
    <w:rsid w:val="00BF341A"/>
    <w:rsid w:val="00C03712"/>
    <w:rsid w:val="00C07187"/>
    <w:rsid w:val="00C0751F"/>
    <w:rsid w:val="00C12F7C"/>
    <w:rsid w:val="00C14E19"/>
    <w:rsid w:val="00C32196"/>
    <w:rsid w:val="00C37E9B"/>
    <w:rsid w:val="00C42345"/>
    <w:rsid w:val="00C51713"/>
    <w:rsid w:val="00C52349"/>
    <w:rsid w:val="00C561B9"/>
    <w:rsid w:val="00C657E0"/>
    <w:rsid w:val="00C81081"/>
    <w:rsid w:val="00C87AAD"/>
    <w:rsid w:val="00C87B88"/>
    <w:rsid w:val="00CA041F"/>
    <w:rsid w:val="00CA0555"/>
    <w:rsid w:val="00CA11F8"/>
    <w:rsid w:val="00CA161C"/>
    <w:rsid w:val="00CD252E"/>
    <w:rsid w:val="00D005F8"/>
    <w:rsid w:val="00D02AF1"/>
    <w:rsid w:val="00D07580"/>
    <w:rsid w:val="00D15957"/>
    <w:rsid w:val="00D2238A"/>
    <w:rsid w:val="00D37BBC"/>
    <w:rsid w:val="00D64D73"/>
    <w:rsid w:val="00D72AE2"/>
    <w:rsid w:val="00D76571"/>
    <w:rsid w:val="00D81B1C"/>
    <w:rsid w:val="00D96D2F"/>
    <w:rsid w:val="00DA65F9"/>
    <w:rsid w:val="00DB437E"/>
    <w:rsid w:val="00DB593A"/>
    <w:rsid w:val="00DC30C3"/>
    <w:rsid w:val="00DE4129"/>
    <w:rsid w:val="00DF1C35"/>
    <w:rsid w:val="00E01B1D"/>
    <w:rsid w:val="00E1385F"/>
    <w:rsid w:val="00E1484A"/>
    <w:rsid w:val="00E2407C"/>
    <w:rsid w:val="00E364D3"/>
    <w:rsid w:val="00E37ADD"/>
    <w:rsid w:val="00E472DB"/>
    <w:rsid w:val="00E73C2D"/>
    <w:rsid w:val="00E84503"/>
    <w:rsid w:val="00E92EB6"/>
    <w:rsid w:val="00E94DCA"/>
    <w:rsid w:val="00EA0E2F"/>
    <w:rsid w:val="00EB0526"/>
    <w:rsid w:val="00EB6CCC"/>
    <w:rsid w:val="00EC3EE3"/>
    <w:rsid w:val="00EC64EA"/>
    <w:rsid w:val="00EF19B9"/>
    <w:rsid w:val="00EF3D3D"/>
    <w:rsid w:val="00EF6D29"/>
    <w:rsid w:val="00F36C5F"/>
    <w:rsid w:val="00F41558"/>
    <w:rsid w:val="00F50362"/>
    <w:rsid w:val="00F523CB"/>
    <w:rsid w:val="00F54240"/>
    <w:rsid w:val="00F84461"/>
    <w:rsid w:val="00F9581C"/>
    <w:rsid w:val="00FB2D83"/>
    <w:rsid w:val="00FC64A7"/>
    <w:rsid w:val="00FD61B7"/>
    <w:rsid w:val="00FE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rFonts w:ascii="Arial" w:hAnsi="Arial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arCharChar">
    <w:name w:val="Car Char Char"/>
    <w:basedOn w:val="Normlny"/>
    <w:rsid w:val="00652A90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styleId="Pta">
    <w:name w:val="footer"/>
    <w:basedOn w:val="Normlny"/>
    <w:rsid w:val="008F7147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8F7147"/>
  </w:style>
  <w:style w:type="paragraph" w:styleId="Textbubliny">
    <w:name w:val="Balloon Text"/>
    <w:basedOn w:val="Normlny"/>
    <w:semiHidden/>
    <w:rsid w:val="00055F7A"/>
    <w:rPr>
      <w:rFonts w:ascii="Tahoma" w:hAnsi="Tahoma" w:cs="Tahoma"/>
      <w:sz w:val="16"/>
      <w:szCs w:val="16"/>
    </w:rPr>
  </w:style>
  <w:style w:type="paragraph" w:styleId="Zarkazkladnhotextu">
    <w:name w:val="Body Text Indent"/>
    <w:basedOn w:val="Normlny"/>
    <w:rsid w:val="00D64D73"/>
    <w:pPr>
      <w:spacing w:before="240" w:after="120" w:line="360" w:lineRule="auto"/>
      <w:ind w:firstLine="709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rFonts w:ascii="Arial" w:hAnsi="Arial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arCharChar">
    <w:name w:val="Car Char Char"/>
    <w:basedOn w:val="Normlny"/>
    <w:rsid w:val="00652A90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styleId="Pta">
    <w:name w:val="footer"/>
    <w:basedOn w:val="Normlny"/>
    <w:rsid w:val="008F7147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8F7147"/>
  </w:style>
  <w:style w:type="paragraph" w:styleId="Textbubliny">
    <w:name w:val="Balloon Text"/>
    <w:basedOn w:val="Normlny"/>
    <w:semiHidden/>
    <w:rsid w:val="00055F7A"/>
    <w:rPr>
      <w:rFonts w:ascii="Tahoma" w:hAnsi="Tahoma" w:cs="Tahoma"/>
      <w:sz w:val="16"/>
      <w:szCs w:val="16"/>
    </w:rPr>
  </w:style>
  <w:style w:type="paragraph" w:styleId="Zarkazkladnhotextu">
    <w:name w:val="Body Text Indent"/>
    <w:basedOn w:val="Normlny"/>
    <w:rsid w:val="00D64D73"/>
    <w:pPr>
      <w:spacing w:before="240" w:after="120" w:line="360" w:lineRule="auto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2A7E7-5108-446C-AAAD-6417EC41C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868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Stanovisko Dozornej rady Sociálnej poisťovne k návrhu rozpočtu </vt:lpstr>
    </vt:vector>
  </TitlesOfParts>
  <Company>Sociálna poisťovňa</Company>
  <LinksUpToDate>false</LinksUpToDate>
  <CharactersWithSpaces>5805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Stanovisko Dozornej rady Sociálnej poisťovne k návrhu rozpočtu </dc:title>
  <dc:subject/>
  <dc:creator>usakova_j</dc:creator>
  <cp:keywords/>
  <dc:description/>
  <cp:lastModifiedBy>Horák Peter</cp:lastModifiedBy>
  <cp:revision>2</cp:revision>
  <cp:lastPrinted>2011-08-08T15:32:00Z</cp:lastPrinted>
  <dcterms:created xsi:type="dcterms:W3CDTF">2011-08-22T13:18:00Z</dcterms:created>
  <dcterms:modified xsi:type="dcterms:W3CDTF">2011-08-22T13:18:00Z</dcterms:modified>
</cp:coreProperties>
</file>