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CB2" w:rsidRPr="00657CB2" w:rsidRDefault="00657CB2" w:rsidP="00657CB2">
      <w:pPr>
        <w:rPr>
          <w:rFonts w:ascii="Arial" w:hAnsi="Arial" w:cs="Arial"/>
        </w:rPr>
      </w:pPr>
      <w:bookmarkStart w:id="0" w:name="_GoBack"/>
      <w:bookmarkEnd w:id="0"/>
      <w:r w:rsidRPr="00657CB2">
        <w:rPr>
          <w:rFonts w:ascii="Arial" w:hAnsi="Arial" w:cs="Arial"/>
        </w:rPr>
        <w:t xml:space="preserve">Materiál predkladaný na </w:t>
      </w:r>
      <w:r w:rsidR="00E83E1B">
        <w:rPr>
          <w:rFonts w:ascii="Arial" w:hAnsi="Arial" w:cs="Arial"/>
        </w:rPr>
        <w:t>4</w:t>
      </w:r>
      <w:r w:rsidR="0053100D">
        <w:rPr>
          <w:rFonts w:ascii="Arial" w:hAnsi="Arial" w:cs="Arial"/>
        </w:rPr>
        <w:t>/1</w:t>
      </w:r>
      <w:r w:rsidR="00CE4723">
        <w:rPr>
          <w:rFonts w:ascii="Arial" w:hAnsi="Arial" w:cs="Arial"/>
        </w:rPr>
        <w:t>1</w:t>
      </w:r>
      <w:r w:rsidRPr="00657CB2">
        <w:rPr>
          <w:rFonts w:ascii="Arial" w:hAnsi="Arial" w:cs="Arial"/>
        </w:rPr>
        <w:t xml:space="preserve"> zasadnutie</w:t>
      </w:r>
    </w:p>
    <w:p w:rsidR="00657CB2" w:rsidRPr="00657CB2" w:rsidRDefault="00657CB2" w:rsidP="00657CB2">
      <w:pPr>
        <w:rPr>
          <w:rFonts w:ascii="Arial" w:hAnsi="Arial" w:cs="Arial"/>
        </w:rPr>
      </w:pPr>
      <w:r w:rsidRPr="00657CB2">
        <w:rPr>
          <w:rFonts w:ascii="Arial" w:hAnsi="Arial" w:cs="Arial"/>
        </w:rPr>
        <w:t>Dozornej rady Sociálnej poisťovne</w:t>
      </w:r>
    </w:p>
    <w:p w:rsidR="00657CB2" w:rsidRPr="00657CB2" w:rsidRDefault="00657CB2" w:rsidP="00657CB2">
      <w:pPr>
        <w:rPr>
          <w:rFonts w:ascii="Arial" w:hAnsi="Arial" w:cs="Arial"/>
        </w:rPr>
      </w:pPr>
      <w:r w:rsidRPr="00657CB2">
        <w:rPr>
          <w:rFonts w:ascii="Arial" w:hAnsi="Arial" w:cs="Arial"/>
        </w:rPr>
        <w:t xml:space="preserve">konané </w:t>
      </w:r>
      <w:r w:rsidR="00025C71">
        <w:rPr>
          <w:rFonts w:ascii="Arial" w:hAnsi="Arial" w:cs="Arial"/>
        </w:rPr>
        <w:t xml:space="preserve">dňa </w:t>
      </w:r>
      <w:r w:rsidR="00E83E1B">
        <w:rPr>
          <w:rFonts w:ascii="Arial" w:hAnsi="Arial" w:cs="Arial"/>
        </w:rPr>
        <w:t>9. augusta</w:t>
      </w:r>
      <w:r w:rsidR="00CE4723">
        <w:rPr>
          <w:rFonts w:ascii="Arial" w:hAnsi="Arial" w:cs="Arial"/>
        </w:rPr>
        <w:t xml:space="preserve"> 2011</w:t>
      </w:r>
    </w:p>
    <w:p w:rsidR="00657CB2" w:rsidRPr="00657CB2" w:rsidRDefault="00657CB2" w:rsidP="00657CB2">
      <w:pPr>
        <w:rPr>
          <w:rFonts w:ascii="Arial" w:hAnsi="Arial" w:cs="Arial"/>
        </w:rPr>
      </w:pPr>
    </w:p>
    <w:p w:rsidR="00657CB2" w:rsidRPr="005D0790" w:rsidRDefault="00657CB2" w:rsidP="00657CB2">
      <w:pPr>
        <w:rPr>
          <w:rFonts w:cs="Arial"/>
        </w:rPr>
      </w:pPr>
    </w:p>
    <w:p w:rsidR="00657CB2" w:rsidRPr="005D0790" w:rsidRDefault="00657CB2" w:rsidP="00657CB2">
      <w:pPr>
        <w:rPr>
          <w:rFonts w:cs="Arial"/>
        </w:rPr>
      </w:pPr>
    </w:p>
    <w:p w:rsidR="00657CB2" w:rsidRPr="00D960B4" w:rsidRDefault="00C16D2D" w:rsidP="00657CB2">
      <w:pPr>
        <w:jc w:val="center"/>
        <w:rPr>
          <w:rFonts w:ascii="Arial Black" w:hAnsi="Arial Black"/>
          <w:sz w:val="52"/>
          <w:szCs w:val="52"/>
        </w:rPr>
      </w:pPr>
      <w:r>
        <w:rPr>
          <w:rFonts w:ascii="Arial Black" w:hAnsi="Arial Black"/>
          <w:sz w:val="52"/>
          <w:szCs w:val="52"/>
        </w:rPr>
        <w:t>4</w:t>
      </w:r>
    </w:p>
    <w:p w:rsidR="00657CB2" w:rsidRPr="00B1538A" w:rsidRDefault="00657CB2" w:rsidP="00657CB2">
      <w:pPr>
        <w:rPr>
          <w:rFonts w:cs="Arial"/>
        </w:rPr>
      </w:pPr>
    </w:p>
    <w:p w:rsidR="00657CB2" w:rsidRPr="00B1538A" w:rsidRDefault="00657CB2" w:rsidP="00657CB2">
      <w:pPr>
        <w:pStyle w:val="Zkladntext"/>
        <w:jc w:val="center"/>
        <w:rPr>
          <w:rFonts w:cs="Arial"/>
          <w:b/>
          <w:caps/>
          <w:sz w:val="28"/>
        </w:rPr>
      </w:pPr>
      <w:r w:rsidRPr="00B1538A">
        <w:rPr>
          <w:rFonts w:cs="Arial"/>
          <w:b/>
          <w:caps/>
          <w:sz w:val="28"/>
        </w:rPr>
        <w:t xml:space="preserve">správa o hospodárení sociálnej poisťovne </w:t>
      </w:r>
      <w:r w:rsidRPr="00B1538A">
        <w:rPr>
          <w:rFonts w:cs="Arial"/>
          <w:b/>
          <w:caps/>
          <w:sz w:val="28"/>
        </w:rPr>
        <w:br/>
        <w:t xml:space="preserve">v </w:t>
      </w:r>
      <w:r w:rsidR="000B5A7C">
        <w:rPr>
          <w:rFonts w:cs="Arial"/>
          <w:b/>
          <w:caps/>
          <w:sz w:val="28"/>
        </w:rPr>
        <w:t>mesiacoch január a</w:t>
      </w:r>
      <w:r w:rsidR="00D40A40">
        <w:rPr>
          <w:rFonts w:cs="Arial"/>
          <w:b/>
          <w:caps/>
          <w:sz w:val="28"/>
        </w:rPr>
        <w:t>ž</w:t>
      </w:r>
      <w:r w:rsidR="000B5A7C">
        <w:rPr>
          <w:rFonts w:cs="Arial"/>
          <w:b/>
          <w:caps/>
          <w:sz w:val="28"/>
        </w:rPr>
        <w:t> </w:t>
      </w:r>
      <w:r w:rsidR="00E83E1B">
        <w:rPr>
          <w:rFonts w:cs="Arial"/>
          <w:b/>
          <w:caps/>
          <w:sz w:val="28"/>
        </w:rPr>
        <w:t>jún</w:t>
      </w:r>
      <w:r w:rsidR="000B5A7C">
        <w:rPr>
          <w:rFonts w:cs="Arial"/>
          <w:b/>
          <w:caps/>
          <w:sz w:val="28"/>
        </w:rPr>
        <w:t xml:space="preserve"> 2011</w:t>
      </w:r>
      <w:r w:rsidRPr="00B1538A">
        <w:rPr>
          <w:rFonts w:cs="Arial"/>
          <w:b/>
          <w:caps/>
          <w:sz w:val="28"/>
        </w:rPr>
        <w:t xml:space="preserve"> </w:t>
      </w:r>
    </w:p>
    <w:p w:rsidR="00657CB2" w:rsidRDefault="00657CB2" w:rsidP="00657CB2">
      <w:pPr>
        <w:jc w:val="both"/>
      </w:pPr>
    </w:p>
    <w:p w:rsidR="00657CB2" w:rsidRDefault="00657CB2" w:rsidP="00657CB2">
      <w:pPr>
        <w:jc w:val="both"/>
      </w:pPr>
    </w:p>
    <w:p w:rsidR="00657CB2" w:rsidRPr="00657CB2" w:rsidRDefault="00657CB2" w:rsidP="00657CB2">
      <w:pPr>
        <w:jc w:val="both"/>
        <w:rPr>
          <w:rFonts w:ascii="Arial" w:hAnsi="Arial" w:cs="Arial"/>
        </w:rPr>
      </w:pPr>
    </w:p>
    <w:p w:rsidR="00657CB2" w:rsidRPr="00657CB2" w:rsidRDefault="00657CB2" w:rsidP="00657CB2">
      <w:pPr>
        <w:tabs>
          <w:tab w:val="left" w:pos="4860"/>
        </w:tabs>
        <w:rPr>
          <w:rFonts w:ascii="Arial" w:hAnsi="Arial" w:cs="Arial"/>
          <w:b/>
        </w:rPr>
      </w:pPr>
      <w:r w:rsidRPr="00657CB2">
        <w:rPr>
          <w:rFonts w:ascii="Arial" w:hAnsi="Arial" w:cs="Arial"/>
          <w:b/>
        </w:rPr>
        <w:t>Dôvod predloženia:</w:t>
      </w:r>
      <w:r w:rsidRPr="00657CB2">
        <w:rPr>
          <w:rFonts w:ascii="Arial" w:hAnsi="Arial" w:cs="Arial"/>
          <w:b/>
        </w:rPr>
        <w:tab/>
        <w:t>Materiál obsahuje:</w:t>
      </w:r>
    </w:p>
    <w:p w:rsidR="00657CB2" w:rsidRPr="00657CB2" w:rsidRDefault="00657CB2" w:rsidP="00657CB2">
      <w:pPr>
        <w:tabs>
          <w:tab w:val="left" w:pos="5760"/>
        </w:tabs>
        <w:ind w:left="5760" w:hanging="5760"/>
        <w:rPr>
          <w:rFonts w:ascii="Arial" w:hAnsi="Arial" w:cs="Arial"/>
          <w:b/>
        </w:rPr>
      </w:pPr>
    </w:p>
    <w:p w:rsidR="00657CB2" w:rsidRPr="00657CB2" w:rsidRDefault="00657CB2" w:rsidP="00657CB2">
      <w:pPr>
        <w:tabs>
          <w:tab w:val="left" w:pos="4860"/>
          <w:tab w:val="left" w:pos="5220"/>
        </w:tabs>
        <w:rPr>
          <w:rFonts w:ascii="Arial" w:hAnsi="Arial" w:cs="Arial"/>
        </w:rPr>
      </w:pPr>
      <w:r w:rsidRPr="00657CB2">
        <w:rPr>
          <w:rFonts w:ascii="Arial" w:hAnsi="Arial" w:cs="Arial"/>
        </w:rPr>
        <w:t xml:space="preserve">realizácia vecného a časového plánu </w:t>
      </w:r>
      <w:r w:rsidRPr="00657CB2">
        <w:rPr>
          <w:rFonts w:ascii="Arial" w:hAnsi="Arial" w:cs="Arial"/>
        </w:rPr>
        <w:tab/>
        <w:t xml:space="preserve">1. </w:t>
      </w:r>
      <w:r w:rsidRPr="00657CB2">
        <w:rPr>
          <w:rFonts w:ascii="Arial" w:hAnsi="Arial" w:cs="Arial"/>
        </w:rPr>
        <w:tab/>
        <w:t>Návrh uznesenia Dozornej rady</w:t>
      </w:r>
    </w:p>
    <w:p w:rsidR="00657CB2" w:rsidRPr="00657CB2" w:rsidRDefault="00657CB2" w:rsidP="00657CB2">
      <w:pPr>
        <w:tabs>
          <w:tab w:val="left" w:pos="4860"/>
          <w:tab w:val="left" w:pos="5220"/>
        </w:tabs>
        <w:rPr>
          <w:rFonts w:ascii="Arial" w:hAnsi="Arial" w:cs="Arial"/>
        </w:rPr>
      </w:pPr>
      <w:r w:rsidRPr="00657CB2">
        <w:rPr>
          <w:rFonts w:ascii="Arial" w:hAnsi="Arial" w:cs="Arial"/>
        </w:rPr>
        <w:t>konania zasadnutí Dozornej rady</w:t>
      </w:r>
      <w:r w:rsidRPr="00657CB2">
        <w:rPr>
          <w:rFonts w:ascii="Arial" w:hAnsi="Arial" w:cs="Arial"/>
        </w:rPr>
        <w:tab/>
      </w:r>
      <w:r w:rsidRPr="00657CB2">
        <w:rPr>
          <w:rFonts w:ascii="Arial" w:hAnsi="Arial" w:cs="Arial"/>
        </w:rPr>
        <w:tab/>
        <w:t>Sociálnej poisťovne</w:t>
      </w:r>
    </w:p>
    <w:p w:rsidR="00657CB2" w:rsidRPr="00657CB2" w:rsidRDefault="00657CB2" w:rsidP="00657CB2">
      <w:pPr>
        <w:tabs>
          <w:tab w:val="left" w:pos="4860"/>
          <w:tab w:val="left" w:pos="5220"/>
        </w:tabs>
        <w:rPr>
          <w:rFonts w:ascii="Arial" w:hAnsi="Arial" w:cs="Arial"/>
        </w:rPr>
      </w:pPr>
      <w:r w:rsidRPr="00657CB2">
        <w:rPr>
          <w:rFonts w:ascii="Arial" w:hAnsi="Arial" w:cs="Arial"/>
        </w:rPr>
        <w:t>Sociálnej poisťovne v r</w:t>
      </w:r>
      <w:r w:rsidR="00AE3AF5">
        <w:rPr>
          <w:rFonts w:ascii="Arial" w:hAnsi="Arial" w:cs="Arial"/>
        </w:rPr>
        <w:t>oku 20</w:t>
      </w:r>
      <w:r w:rsidR="0053100D">
        <w:rPr>
          <w:rFonts w:ascii="Arial" w:hAnsi="Arial" w:cs="Arial"/>
        </w:rPr>
        <w:t>1</w:t>
      </w:r>
      <w:r w:rsidR="00CE4723">
        <w:rPr>
          <w:rFonts w:ascii="Arial" w:hAnsi="Arial" w:cs="Arial"/>
        </w:rPr>
        <w:t>1</w:t>
      </w:r>
      <w:r w:rsidRPr="00657CB2">
        <w:rPr>
          <w:rFonts w:ascii="Arial" w:hAnsi="Arial" w:cs="Arial"/>
        </w:rPr>
        <w:tab/>
      </w:r>
    </w:p>
    <w:p w:rsidR="00657CB2" w:rsidRPr="00657CB2" w:rsidRDefault="00657CB2" w:rsidP="00657CB2">
      <w:pPr>
        <w:tabs>
          <w:tab w:val="left" w:pos="4860"/>
          <w:tab w:val="left" w:pos="5220"/>
        </w:tabs>
        <w:rPr>
          <w:rFonts w:ascii="Arial" w:hAnsi="Arial" w:cs="Arial"/>
        </w:rPr>
      </w:pPr>
      <w:r w:rsidRPr="00657CB2">
        <w:rPr>
          <w:rFonts w:ascii="Arial" w:hAnsi="Arial" w:cs="Arial"/>
        </w:rPr>
        <w:tab/>
        <w:t xml:space="preserve">2. </w:t>
      </w:r>
      <w:r w:rsidRPr="00657CB2">
        <w:rPr>
          <w:rFonts w:ascii="Arial" w:hAnsi="Arial" w:cs="Arial"/>
        </w:rPr>
        <w:tab/>
        <w:t>Predkladaciu správu</w:t>
      </w:r>
    </w:p>
    <w:p w:rsidR="00657CB2" w:rsidRPr="00657CB2" w:rsidRDefault="00657CB2" w:rsidP="00657CB2">
      <w:pPr>
        <w:tabs>
          <w:tab w:val="left" w:pos="4860"/>
          <w:tab w:val="left" w:pos="5220"/>
        </w:tabs>
        <w:rPr>
          <w:rFonts w:ascii="Arial" w:hAnsi="Arial" w:cs="Arial"/>
        </w:rPr>
      </w:pPr>
      <w:r w:rsidRPr="00657CB2">
        <w:rPr>
          <w:rFonts w:ascii="Arial" w:hAnsi="Arial" w:cs="Arial"/>
        </w:rPr>
        <w:tab/>
      </w:r>
    </w:p>
    <w:p w:rsidR="00657CB2" w:rsidRPr="00657CB2" w:rsidRDefault="00657CB2" w:rsidP="00405326">
      <w:pPr>
        <w:numPr>
          <w:ilvl w:val="0"/>
          <w:numId w:val="1"/>
        </w:numPr>
        <w:tabs>
          <w:tab w:val="left" w:pos="4860"/>
        </w:tabs>
        <w:rPr>
          <w:rFonts w:ascii="Arial" w:hAnsi="Arial" w:cs="Arial"/>
        </w:rPr>
      </w:pPr>
      <w:r w:rsidRPr="00657CB2">
        <w:rPr>
          <w:rFonts w:ascii="Arial" w:hAnsi="Arial" w:cs="Arial"/>
        </w:rPr>
        <w:t>Správu o</w:t>
      </w:r>
      <w:r w:rsidR="00D10434">
        <w:rPr>
          <w:rFonts w:ascii="Arial" w:hAnsi="Arial" w:cs="Arial"/>
        </w:rPr>
        <w:t> </w:t>
      </w:r>
      <w:r w:rsidRPr="00657CB2">
        <w:rPr>
          <w:rFonts w:ascii="Arial" w:hAnsi="Arial" w:cs="Arial"/>
        </w:rPr>
        <w:t>hospodárení</w:t>
      </w:r>
      <w:r w:rsidR="00D10434">
        <w:rPr>
          <w:rFonts w:ascii="Arial" w:hAnsi="Arial" w:cs="Arial"/>
        </w:rPr>
        <w:t xml:space="preserve"> </w:t>
      </w:r>
      <w:r w:rsidRPr="00657CB2">
        <w:rPr>
          <w:rFonts w:ascii="Arial" w:hAnsi="Arial" w:cs="Arial"/>
        </w:rPr>
        <w:t>Sociálnej poisťovne</w:t>
      </w:r>
      <w:r w:rsidR="0053100D">
        <w:rPr>
          <w:rFonts w:ascii="Arial" w:hAnsi="Arial" w:cs="Arial"/>
        </w:rPr>
        <w:t xml:space="preserve"> </w:t>
      </w:r>
      <w:r w:rsidRPr="00657CB2">
        <w:rPr>
          <w:rFonts w:ascii="Arial" w:hAnsi="Arial" w:cs="Arial"/>
        </w:rPr>
        <w:t>v</w:t>
      </w:r>
      <w:r w:rsidR="000B5A7C">
        <w:rPr>
          <w:rFonts w:ascii="Arial" w:hAnsi="Arial" w:cs="Arial"/>
        </w:rPr>
        <w:t> mesiacoch január a</w:t>
      </w:r>
      <w:r w:rsidR="00D40A40">
        <w:rPr>
          <w:rFonts w:ascii="Arial" w:hAnsi="Arial" w:cs="Arial"/>
        </w:rPr>
        <w:t>ž</w:t>
      </w:r>
      <w:r w:rsidR="000B5A7C">
        <w:rPr>
          <w:rFonts w:ascii="Arial" w:hAnsi="Arial" w:cs="Arial"/>
        </w:rPr>
        <w:t> </w:t>
      </w:r>
      <w:r w:rsidR="00E83E1B">
        <w:rPr>
          <w:rFonts w:ascii="Arial" w:hAnsi="Arial" w:cs="Arial"/>
        </w:rPr>
        <w:t>jún</w:t>
      </w:r>
      <w:r w:rsidR="000B5A7C">
        <w:rPr>
          <w:rFonts w:ascii="Arial" w:hAnsi="Arial" w:cs="Arial"/>
        </w:rPr>
        <w:t xml:space="preserve"> 2011 </w:t>
      </w:r>
      <w:r w:rsidR="00392264">
        <w:rPr>
          <w:rFonts w:ascii="Arial" w:hAnsi="Arial" w:cs="Arial"/>
        </w:rPr>
        <w:t xml:space="preserve"> </w:t>
      </w:r>
      <w:r w:rsidRPr="00657CB2">
        <w:rPr>
          <w:rFonts w:ascii="Arial" w:hAnsi="Arial" w:cs="Arial"/>
        </w:rPr>
        <w:t xml:space="preserve"> </w:t>
      </w:r>
    </w:p>
    <w:p w:rsidR="00657CB2" w:rsidRPr="00657CB2" w:rsidRDefault="00657CB2" w:rsidP="00657CB2">
      <w:pPr>
        <w:tabs>
          <w:tab w:val="left" w:pos="4860"/>
          <w:tab w:val="left" w:pos="5220"/>
        </w:tabs>
        <w:rPr>
          <w:rFonts w:ascii="Arial" w:hAnsi="Arial" w:cs="Arial"/>
        </w:rPr>
      </w:pPr>
      <w:r w:rsidRPr="00657CB2">
        <w:rPr>
          <w:rFonts w:ascii="Arial" w:hAnsi="Arial" w:cs="Arial"/>
        </w:rPr>
        <w:tab/>
      </w:r>
    </w:p>
    <w:p w:rsidR="00657CB2" w:rsidRDefault="00657CB2" w:rsidP="00657CB2">
      <w:pPr>
        <w:rPr>
          <w:rFonts w:ascii="Arial" w:hAnsi="Arial" w:cs="Arial"/>
        </w:rPr>
      </w:pPr>
    </w:p>
    <w:p w:rsidR="00096632" w:rsidRDefault="00096632" w:rsidP="00657CB2">
      <w:pPr>
        <w:rPr>
          <w:rFonts w:ascii="Arial" w:hAnsi="Arial" w:cs="Arial"/>
        </w:rPr>
      </w:pPr>
    </w:p>
    <w:p w:rsidR="00096632" w:rsidRPr="00657CB2" w:rsidRDefault="00096632" w:rsidP="00657CB2">
      <w:pPr>
        <w:rPr>
          <w:rFonts w:ascii="Arial" w:hAnsi="Arial" w:cs="Arial"/>
        </w:rPr>
      </w:pPr>
    </w:p>
    <w:p w:rsidR="00657CB2" w:rsidRPr="00657CB2" w:rsidRDefault="00657CB2" w:rsidP="00657CB2">
      <w:pPr>
        <w:rPr>
          <w:rFonts w:ascii="Arial" w:hAnsi="Arial" w:cs="Arial"/>
        </w:rPr>
      </w:pPr>
    </w:p>
    <w:p w:rsidR="00657CB2" w:rsidRPr="00657CB2" w:rsidRDefault="00657CB2" w:rsidP="00657CB2">
      <w:pPr>
        <w:rPr>
          <w:rFonts w:ascii="Arial" w:hAnsi="Arial" w:cs="Arial"/>
        </w:rPr>
      </w:pPr>
    </w:p>
    <w:p w:rsidR="00657CB2" w:rsidRPr="00657CB2" w:rsidRDefault="00657CB2" w:rsidP="00657CB2">
      <w:pPr>
        <w:rPr>
          <w:rFonts w:ascii="Arial" w:hAnsi="Arial" w:cs="Arial"/>
          <w:b/>
        </w:rPr>
      </w:pPr>
      <w:r w:rsidRPr="00657CB2">
        <w:rPr>
          <w:rFonts w:ascii="Arial" w:hAnsi="Arial" w:cs="Arial"/>
          <w:b/>
        </w:rPr>
        <w:t>Materiál predkladá:</w:t>
      </w:r>
    </w:p>
    <w:p w:rsidR="00657CB2" w:rsidRPr="00657CB2" w:rsidRDefault="00657CB2" w:rsidP="00657CB2">
      <w:pPr>
        <w:rPr>
          <w:rFonts w:ascii="Arial" w:hAnsi="Arial" w:cs="Arial"/>
        </w:rPr>
      </w:pPr>
    </w:p>
    <w:p w:rsidR="00657CB2" w:rsidRPr="00657CB2" w:rsidRDefault="00657CB2" w:rsidP="00657CB2">
      <w:pPr>
        <w:rPr>
          <w:rFonts w:ascii="Arial" w:hAnsi="Arial" w:cs="Arial"/>
        </w:rPr>
      </w:pPr>
      <w:r w:rsidRPr="00657CB2">
        <w:rPr>
          <w:rFonts w:ascii="Arial" w:hAnsi="Arial" w:cs="Arial"/>
        </w:rPr>
        <w:t xml:space="preserve">Ing. </w:t>
      </w:r>
      <w:r w:rsidR="00435B59">
        <w:rPr>
          <w:rFonts w:ascii="Arial" w:hAnsi="Arial" w:cs="Arial"/>
        </w:rPr>
        <w:t>Ľuboš Lopatka, PhD.</w:t>
      </w:r>
    </w:p>
    <w:p w:rsidR="00657CB2" w:rsidRPr="00657CB2" w:rsidRDefault="00657CB2" w:rsidP="00657CB2">
      <w:pPr>
        <w:rPr>
          <w:rFonts w:ascii="Arial" w:hAnsi="Arial" w:cs="Arial"/>
        </w:rPr>
      </w:pPr>
      <w:r w:rsidRPr="00657CB2">
        <w:rPr>
          <w:rFonts w:ascii="Arial" w:hAnsi="Arial" w:cs="Arial"/>
        </w:rPr>
        <w:t>generálny riaditeľ Sociálnej poisťovne</w:t>
      </w:r>
    </w:p>
    <w:p w:rsidR="00657CB2" w:rsidRDefault="00657CB2" w:rsidP="00657CB2">
      <w:pPr>
        <w:pStyle w:val="Pta"/>
        <w:rPr>
          <w:rFonts w:ascii="Arial" w:hAnsi="Arial" w:cs="Arial"/>
        </w:rPr>
      </w:pPr>
    </w:p>
    <w:p w:rsidR="00657CB2" w:rsidRDefault="00657CB2" w:rsidP="00657CB2">
      <w:pPr>
        <w:pStyle w:val="Pta"/>
        <w:rPr>
          <w:rFonts w:ascii="Arial" w:hAnsi="Arial" w:cs="Arial"/>
        </w:rPr>
        <w:sectPr w:rsidR="00657CB2" w:rsidSect="00506E81">
          <w:headerReference w:type="even" r:id="rId9"/>
          <w:headerReference w:type="default" r:id="rId10"/>
          <w:footerReference w:type="even" r:id="rId11"/>
          <w:footerReference w:type="default" r:id="rId12"/>
          <w:headerReference w:type="first" r:id="rId13"/>
          <w:footerReference w:type="first" r:id="rId14"/>
          <w:pgSz w:w="11906" w:h="16838" w:code="9"/>
          <w:pgMar w:top="2835" w:right="1418" w:bottom="1418" w:left="1418" w:header="709" w:footer="709" w:gutter="0"/>
          <w:cols w:space="708"/>
          <w:docGrid w:linePitch="360"/>
        </w:sectPr>
      </w:pPr>
    </w:p>
    <w:p w:rsidR="00657CB2" w:rsidRPr="00657CB2" w:rsidRDefault="00657CB2" w:rsidP="00657CB2">
      <w:pPr>
        <w:pStyle w:val="Nadpis4"/>
        <w:spacing w:line="360" w:lineRule="auto"/>
        <w:jc w:val="center"/>
        <w:rPr>
          <w:rFonts w:cs="Arial"/>
          <w:b/>
          <w:szCs w:val="24"/>
        </w:rPr>
      </w:pPr>
      <w:r w:rsidRPr="00657CB2">
        <w:rPr>
          <w:rFonts w:cs="Arial"/>
          <w:b/>
          <w:szCs w:val="24"/>
        </w:rPr>
        <w:lastRenderedPageBreak/>
        <w:t xml:space="preserve">Návrh uznesenia </w:t>
      </w:r>
      <w:r w:rsidRPr="00657CB2">
        <w:rPr>
          <w:rFonts w:cs="Arial"/>
          <w:b/>
          <w:szCs w:val="24"/>
        </w:rPr>
        <w:br/>
        <w:t>Dozornej rady Sociálnej poisťovne</w:t>
      </w:r>
    </w:p>
    <w:p w:rsidR="00657CB2" w:rsidRDefault="00657CB2" w:rsidP="00657CB2">
      <w:pPr>
        <w:jc w:val="both"/>
      </w:pPr>
    </w:p>
    <w:p w:rsidR="00657CB2" w:rsidRDefault="00657CB2" w:rsidP="00657CB2">
      <w:pPr>
        <w:jc w:val="both"/>
      </w:pPr>
    </w:p>
    <w:p w:rsidR="00657CB2" w:rsidRDefault="00657CB2" w:rsidP="00657CB2">
      <w:pPr>
        <w:jc w:val="both"/>
      </w:pPr>
    </w:p>
    <w:p w:rsidR="00657CB2" w:rsidRPr="00C675A7" w:rsidRDefault="00657CB2" w:rsidP="00657CB2">
      <w:pPr>
        <w:pStyle w:val="Zkladntext2"/>
        <w:spacing w:after="0" w:line="240" w:lineRule="auto"/>
        <w:rPr>
          <w:b/>
        </w:rPr>
      </w:pPr>
      <w:r w:rsidRPr="00C675A7">
        <w:rPr>
          <w:b/>
        </w:rPr>
        <w:t>Dozorná rada Sociálnej poisťovne</w:t>
      </w:r>
    </w:p>
    <w:p w:rsidR="00657CB2" w:rsidRPr="00AF30AF" w:rsidRDefault="00657CB2" w:rsidP="00657CB2">
      <w:pPr>
        <w:pStyle w:val="Zkladntext2"/>
        <w:spacing w:after="0" w:line="240" w:lineRule="auto"/>
        <w:rPr>
          <w:rFonts w:cs="Arial"/>
          <w:szCs w:val="24"/>
        </w:rPr>
      </w:pPr>
    </w:p>
    <w:p w:rsidR="00657CB2" w:rsidRPr="00AF30AF" w:rsidRDefault="00657CB2" w:rsidP="00657CB2">
      <w:pPr>
        <w:pStyle w:val="Zkladntext2"/>
        <w:spacing w:after="0" w:line="240" w:lineRule="auto"/>
        <w:rPr>
          <w:rFonts w:cs="Arial"/>
          <w:szCs w:val="24"/>
        </w:rPr>
      </w:pPr>
    </w:p>
    <w:p w:rsidR="00657CB2" w:rsidRPr="00AF30AF" w:rsidRDefault="00657CB2" w:rsidP="00657CB2">
      <w:pPr>
        <w:pStyle w:val="Zkladntext2"/>
        <w:spacing w:after="0" w:line="240" w:lineRule="auto"/>
        <w:rPr>
          <w:rFonts w:cs="Arial"/>
          <w:szCs w:val="24"/>
        </w:rPr>
      </w:pPr>
    </w:p>
    <w:p w:rsidR="00415F50" w:rsidRPr="00415F50" w:rsidRDefault="00D10434" w:rsidP="00657CB2">
      <w:pPr>
        <w:pStyle w:val="Zkladntext3"/>
        <w:tabs>
          <w:tab w:val="left" w:pos="5103"/>
        </w:tabs>
        <w:spacing w:after="0"/>
        <w:rPr>
          <w:rFonts w:cs="Arial"/>
          <w:b/>
          <w:sz w:val="24"/>
          <w:szCs w:val="24"/>
        </w:rPr>
      </w:pPr>
      <w:r>
        <w:rPr>
          <w:rFonts w:cs="Arial"/>
          <w:b/>
          <w:sz w:val="24"/>
          <w:szCs w:val="24"/>
        </w:rPr>
        <w:t xml:space="preserve">berie na vedomie </w:t>
      </w:r>
    </w:p>
    <w:p w:rsidR="00657CB2" w:rsidRPr="000B5A7C" w:rsidRDefault="00657CB2" w:rsidP="00657CB2">
      <w:pPr>
        <w:pStyle w:val="Zkladntext3"/>
        <w:tabs>
          <w:tab w:val="left" w:pos="5103"/>
        </w:tabs>
        <w:spacing w:after="0"/>
        <w:rPr>
          <w:rFonts w:cs="Arial"/>
          <w:sz w:val="24"/>
          <w:szCs w:val="24"/>
        </w:rPr>
      </w:pPr>
      <w:r w:rsidRPr="000B5A7C">
        <w:rPr>
          <w:rFonts w:cs="Arial"/>
          <w:sz w:val="24"/>
          <w:szCs w:val="24"/>
        </w:rPr>
        <w:t xml:space="preserve">správu o hospodárení Sociálnej poisťovne </w:t>
      </w:r>
      <w:r w:rsidR="000B5A7C" w:rsidRPr="000B5A7C">
        <w:rPr>
          <w:rFonts w:cs="Arial"/>
          <w:sz w:val="24"/>
          <w:szCs w:val="24"/>
        </w:rPr>
        <w:t>v mesiacoch január a</w:t>
      </w:r>
      <w:r w:rsidR="00D40A40">
        <w:rPr>
          <w:rFonts w:cs="Arial"/>
          <w:sz w:val="24"/>
          <w:szCs w:val="24"/>
        </w:rPr>
        <w:t>ž</w:t>
      </w:r>
      <w:r w:rsidR="000B5A7C" w:rsidRPr="000B5A7C">
        <w:rPr>
          <w:rFonts w:cs="Arial"/>
          <w:sz w:val="24"/>
          <w:szCs w:val="24"/>
        </w:rPr>
        <w:t> </w:t>
      </w:r>
      <w:r w:rsidR="005A3601">
        <w:rPr>
          <w:rFonts w:cs="Arial"/>
          <w:sz w:val="24"/>
          <w:szCs w:val="24"/>
        </w:rPr>
        <w:t>jún</w:t>
      </w:r>
      <w:r w:rsidR="000B5A7C" w:rsidRPr="000B5A7C">
        <w:rPr>
          <w:rFonts w:cs="Arial"/>
          <w:sz w:val="24"/>
          <w:szCs w:val="24"/>
        </w:rPr>
        <w:t xml:space="preserve"> 2011</w:t>
      </w:r>
      <w:r w:rsidR="005F5757">
        <w:rPr>
          <w:rFonts w:cs="Arial"/>
          <w:sz w:val="24"/>
          <w:szCs w:val="24"/>
        </w:rPr>
        <w:t>.</w:t>
      </w:r>
    </w:p>
    <w:p w:rsidR="00657CB2" w:rsidRPr="00D06742" w:rsidRDefault="00657CB2" w:rsidP="00657CB2">
      <w:pPr>
        <w:pStyle w:val="Zarkazkladnhotextu"/>
        <w:jc w:val="left"/>
        <w:rPr>
          <w:szCs w:val="24"/>
        </w:rPr>
      </w:pPr>
    </w:p>
    <w:p w:rsidR="005910A7" w:rsidRPr="005910A7" w:rsidRDefault="00657CB2" w:rsidP="005910A7">
      <w:pPr>
        <w:spacing w:before="240" w:after="120"/>
        <w:jc w:val="center"/>
        <w:rPr>
          <w:rFonts w:ascii="Arial" w:hAnsi="Arial" w:cs="Arial"/>
          <w:b/>
        </w:rPr>
      </w:pPr>
      <w:r>
        <w:br w:type="page"/>
      </w:r>
      <w:r w:rsidR="005910A7" w:rsidRPr="005910A7">
        <w:rPr>
          <w:rFonts w:ascii="Arial" w:hAnsi="Arial" w:cs="Arial"/>
          <w:b/>
        </w:rPr>
        <w:lastRenderedPageBreak/>
        <w:t>Predkladacia správa</w:t>
      </w:r>
    </w:p>
    <w:p w:rsidR="005910A7" w:rsidRPr="005910A7" w:rsidRDefault="005910A7" w:rsidP="005910A7">
      <w:pPr>
        <w:spacing w:before="240" w:after="120"/>
        <w:ind w:firstLine="720"/>
        <w:jc w:val="both"/>
        <w:rPr>
          <w:rFonts w:ascii="Arial" w:hAnsi="Arial" w:cs="Arial"/>
        </w:rPr>
      </w:pPr>
      <w:r w:rsidRPr="005910A7">
        <w:rPr>
          <w:rFonts w:ascii="Arial" w:hAnsi="Arial" w:cs="Arial"/>
        </w:rPr>
        <w:t>Správa o hospodárení Sociálnej poisťovne v mesiacoch január a</w:t>
      </w:r>
      <w:r w:rsidR="00D40A40">
        <w:rPr>
          <w:rFonts w:ascii="Arial" w:hAnsi="Arial" w:cs="Arial"/>
        </w:rPr>
        <w:t>ž</w:t>
      </w:r>
      <w:r w:rsidRPr="005910A7">
        <w:rPr>
          <w:rFonts w:ascii="Arial" w:hAnsi="Arial" w:cs="Arial"/>
        </w:rPr>
        <w:t> </w:t>
      </w:r>
      <w:r w:rsidR="005A3601">
        <w:rPr>
          <w:rFonts w:ascii="Arial" w:hAnsi="Arial" w:cs="Arial"/>
        </w:rPr>
        <w:t>jún 2011 sa predkladá na 4</w:t>
      </w:r>
      <w:r w:rsidRPr="005910A7">
        <w:rPr>
          <w:rFonts w:ascii="Arial" w:hAnsi="Arial" w:cs="Arial"/>
        </w:rPr>
        <w:t xml:space="preserve">/11 zasadnutie Dozornej rady Sociálnej poisťovne, konané dňa </w:t>
      </w:r>
      <w:r w:rsidR="005A3601">
        <w:rPr>
          <w:rFonts w:ascii="Arial" w:hAnsi="Arial" w:cs="Arial"/>
        </w:rPr>
        <w:t>9. augusta</w:t>
      </w:r>
      <w:r w:rsidRPr="005910A7">
        <w:rPr>
          <w:rFonts w:ascii="Arial" w:hAnsi="Arial" w:cs="Arial"/>
        </w:rPr>
        <w:t xml:space="preserve"> 2011, v nadväznosti na vecný a časový plán konania zasadnutí Dozornej rady Sociálnej poisťovne v roku 2011.</w:t>
      </w:r>
    </w:p>
    <w:p w:rsidR="00A02473" w:rsidRPr="00A02473" w:rsidRDefault="00A02473" w:rsidP="00A76E58">
      <w:pPr>
        <w:spacing w:before="240" w:after="120"/>
        <w:jc w:val="center"/>
        <w:rPr>
          <w:rFonts w:cs="Arial"/>
        </w:rPr>
      </w:pPr>
    </w:p>
    <w:p w:rsidR="005F5757" w:rsidRPr="005F5757" w:rsidRDefault="00485707" w:rsidP="005F5757">
      <w:pPr>
        <w:pStyle w:val="Zarkazkladnhotextu"/>
        <w:ind w:left="0"/>
        <w:jc w:val="center"/>
        <w:rPr>
          <w:rFonts w:cs="Arial"/>
          <w:b/>
          <w:sz w:val="28"/>
          <w:szCs w:val="28"/>
        </w:rPr>
      </w:pPr>
      <w:r w:rsidRPr="00A02473">
        <w:br w:type="page"/>
      </w:r>
    </w:p>
    <w:p w:rsidR="00445B8E" w:rsidRPr="00445B8E" w:rsidRDefault="00445B8E" w:rsidP="00445B8E">
      <w:pPr>
        <w:spacing w:after="120"/>
        <w:jc w:val="center"/>
        <w:rPr>
          <w:rFonts w:ascii="Arial" w:hAnsi="Arial"/>
          <w:b/>
          <w:sz w:val="28"/>
          <w:szCs w:val="28"/>
        </w:rPr>
      </w:pPr>
      <w:r w:rsidRPr="00445B8E">
        <w:rPr>
          <w:rFonts w:ascii="Arial" w:hAnsi="Arial"/>
          <w:b/>
          <w:sz w:val="28"/>
          <w:szCs w:val="28"/>
        </w:rPr>
        <w:lastRenderedPageBreak/>
        <w:t xml:space="preserve">Správa o hospodárení Sociálnej poisťovne v mesiacoch </w:t>
      </w:r>
      <w:r w:rsidRPr="00445B8E">
        <w:rPr>
          <w:rFonts w:ascii="Arial" w:hAnsi="Arial"/>
          <w:b/>
          <w:sz w:val="28"/>
          <w:szCs w:val="28"/>
        </w:rPr>
        <w:br/>
        <w:t>január až jún 2011</w:t>
      </w:r>
    </w:p>
    <w:p w:rsidR="00445B8E" w:rsidRPr="00445B8E" w:rsidRDefault="00445B8E" w:rsidP="00445B8E">
      <w:pPr>
        <w:spacing w:before="240" w:after="120"/>
        <w:ind w:firstLine="709"/>
        <w:jc w:val="both"/>
        <w:rPr>
          <w:rFonts w:ascii="Arial" w:hAnsi="Arial" w:cs="Arial"/>
          <w:szCs w:val="20"/>
        </w:rPr>
      </w:pPr>
      <w:r w:rsidRPr="00445B8E">
        <w:rPr>
          <w:rFonts w:ascii="Arial" w:hAnsi="Arial" w:cs="Arial"/>
          <w:szCs w:val="20"/>
        </w:rPr>
        <w:t>Návrh rozpočtu Sociálnej poisťovne na rok 2011 schválila Národná rada Slovenskej republiky (NR SR) uznesením č. 247 z 15. decembra 2010. Schválený rozpočet Sociálnej poisťovne na rok 2011 (ďalej len „schválený rozpočet“) je zostavený v podmienkach zákona č. 461/2003 Z. z. o sociálnom poistení v znení neskorších predpisov (ďalej len „zákon o sociálnom poistení“) účinných k termínu spracovávania materiálu, pričom v čase tvorby rozpočtu bola zohľadnená, navrhovaná novela zákona o sociálnom poistení s účinnosťou od 1. januára 2011.</w:t>
      </w:r>
    </w:p>
    <w:p w:rsidR="00445B8E" w:rsidRPr="00445B8E" w:rsidRDefault="00445B8E" w:rsidP="00445B8E">
      <w:pPr>
        <w:spacing w:before="240" w:after="120"/>
        <w:ind w:firstLine="709"/>
        <w:jc w:val="both"/>
        <w:rPr>
          <w:rFonts w:ascii="Arial" w:hAnsi="Arial" w:cs="Arial"/>
        </w:rPr>
      </w:pPr>
      <w:r w:rsidRPr="00445B8E">
        <w:rPr>
          <w:rFonts w:ascii="Arial" w:hAnsi="Arial" w:cs="Arial"/>
          <w:szCs w:val="20"/>
        </w:rPr>
        <w:t xml:space="preserve">Do príjmov základného fondu starobného poistenia bol zapracovaný transfer </w:t>
      </w:r>
      <w:r w:rsidRPr="00445B8E">
        <w:rPr>
          <w:rFonts w:ascii="Arial" w:hAnsi="Arial" w:cs="Arial"/>
        </w:rPr>
        <w:t>zo štátneho rozpočtu Slovenskej republiky</w:t>
      </w:r>
      <w:r w:rsidRPr="00445B8E">
        <w:rPr>
          <w:rFonts w:ascii="Arial" w:hAnsi="Arial" w:cs="Arial"/>
          <w:szCs w:val="20"/>
        </w:rPr>
        <w:t xml:space="preserve"> </w:t>
      </w:r>
      <w:r w:rsidRPr="00445B8E">
        <w:rPr>
          <w:rFonts w:ascii="Arial" w:hAnsi="Arial" w:cs="Arial"/>
        </w:rPr>
        <w:t xml:space="preserve">(ŠR SR) </w:t>
      </w:r>
      <w:r w:rsidRPr="00445B8E">
        <w:rPr>
          <w:rFonts w:ascii="Arial" w:hAnsi="Arial" w:cs="Arial"/>
          <w:szCs w:val="20"/>
        </w:rPr>
        <w:t>vo výške 1 608 733 tis. Eur,</w:t>
      </w:r>
      <w:r w:rsidRPr="00445B8E">
        <w:rPr>
          <w:rFonts w:ascii="Arial" w:hAnsi="Arial" w:cs="Arial"/>
        </w:rPr>
        <w:t xml:space="preserve"> </w:t>
      </w:r>
      <w:r w:rsidRPr="00445B8E">
        <w:rPr>
          <w:rFonts w:ascii="Arial" w:hAnsi="Arial" w:cs="Arial"/>
          <w:szCs w:val="20"/>
        </w:rPr>
        <w:t>na krytie deficitov vzniknutých v dôsledku  zavedenia II. piliera</w:t>
      </w:r>
      <w:r w:rsidRPr="00445B8E">
        <w:rPr>
          <w:rFonts w:ascii="Arial" w:hAnsi="Arial" w:cs="Arial"/>
        </w:rPr>
        <w:t xml:space="preserve"> a ako finančná výpomoc z dôvodu platobnej neschopnosti základného fondu starobného poistenia v zmysle   § 157 ods. 4 zákona o sociálnom poistení.</w:t>
      </w:r>
    </w:p>
    <w:p w:rsidR="00445B8E" w:rsidRPr="00445B8E" w:rsidRDefault="00445B8E" w:rsidP="00445B8E">
      <w:pPr>
        <w:spacing w:before="240" w:after="120"/>
        <w:ind w:firstLine="720"/>
        <w:jc w:val="both"/>
        <w:rPr>
          <w:rFonts w:ascii="Arial" w:hAnsi="Arial" w:cs="Arial"/>
          <w:szCs w:val="20"/>
        </w:rPr>
      </w:pPr>
      <w:r w:rsidRPr="00445B8E">
        <w:rPr>
          <w:rFonts w:ascii="Arial" w:hAnsi="Arial" w:cs="Arial"/>
          <w:szCs w:val="20"/>
        </w:rPr>
        <w:t>Dňa 2. decembra 2010 bol schválený zákon č. 543/2010 Z. z., ktorým sa mení a dopĺňa zákon č. 461/2003 Z. z. o sociálnom poistení v znení neskorších predpisov a o zmene a doplnení niektorých zákonov s účinnosťou od 1. 1. 2011. Vplyv tohto zákona na hospodárenie Sociálnej poisťovne, v porovnaní so schváleným rozpočtom, zhoršuje bilanciu v bežnom roku o 25 789 tis. Eur (zníženie príjmov o 9 976 tis. Eur a zvýšenie výdavkov o 15 813 tis. Eur).</w:t>
      </w:r>
    </w:p>
    <w:p w:rsidR="00445B8E" w:rsidRPr="00445B8E" w:rsidRDefault="00445B8E" w:rsidP="00445B8E">
      <w:pPr>
        <w:spacing w:before="240" w:after="120"/>
        <w:ind w:firstLine="709"/>
        <w:jc w:val="both"/>
        <w:rPr>
          <w:rFonts w:ascii="Arial" w:hAnsi="Arial" w:cs="Arial"/>
          <w:szCs w:val="20"/>
        </w:rPr>
      </w:pPr>
      <w:r w:rsidRPr="00445B8E">
        <w:rPr>
          <w:rFonts w:ascii="Arial" w:hAnsi="Arial" w:cs="Arial"/>
          <w:szCs w:val="20"/>
        </w:rPr>
        <w:t xml:space="preserve">Dopad zmien medzi zapracovanou a schválenou novelou zákona o sociálnom poistení na hospodárenie Sociálnej poisťovne v roku 2011 sa premieta v bilancii Sociálnej poisťovne uvedenej v prílohe súhrnnej bilancii, v stĺpci 3 – upravený rozpočet na rok 2011 (ďalej len „upravený rozpočet“). </w:t>
      </w:r>
    </w:p>
    <w:p w:rsidR="00445B8E" w:rsidRPr="00445B8E" w:rsidRDefault="00445B8E" w:rsidP="00445B8E">
      <w:pPr>
        <w:spacing w:before="240" w:after="120"/>
        <w:ind w:firstLine="709"/>
        <w:jc w:val="both"/>
        <w:rPr>
          <w:rFonts w:ascii="Arial" w:hAnsi="Arial" w:cs="Arial"/>
          <w:szCs w:val="20"/>
        </w:rPr>
      </w:pPr>
      <w:r w:rsidRPr="00445B8E">
        <w:rPr>
          <w:rFonts w:ascii="Arial" w:hAnsi="Arial" w:cs="Arial"/>
          <w:szCs w:val="20"/>
        </w:rPr>
        <w:t>Pri tvorbe správneho fondu v upravenom rozpočte sa vychádzalo zo zákona o sociálnom poistení, kde je ustanovená tvorba správneho fondu najviac vo výške 2,4 % z príjmov poistného, 0,5 % z príspevkov na starobné dôchodkové sporenie (SDS) a ďalších ustanovení uvedených v § 168 ods. 2 zákona o sociálnom poistení.</w:t>
      </w:r>
    </w:p>
    <w:p w:rsidR="00445B8E" w:rsidRPr="00445B8E" w:rsidRDefault="00445B8E" w:rsidP="00445B8E">
      <w:pPr>
        <w:widowControl w:val="0"/>
        <w:tabs>
          <w:tab w:val="left" w:pos="709"/>
        </w:tabs>
        <w:spacing w:before="240" w:after="120"/>
        <w:ind w:firstLine="720"/>
        <w:jc w:val="both"/>
        <w:rPr>
          <w:rFonts w:ascii="Arial" w:hAnsi="Arial"/>
          <w:szCs w:val="20"/>
        </w:rPr>
      </w:pPr>
      <w:r w:rsidRPr="00445B8E">
        <w:rPr>
          <w:rFonts w:ascii="Arial" w:hAnsi="Arial"/>
          <w:szCs w:val="20"/>
        </w:rPr>
        <w:t>Skutočné príjmy Sociálnej poisťovne v mesiacoch január až jún 2011 (bez prevodu z roku 2010) dosiahli výšku 3 094 020 tis. Eur, čo je 48,88 %-né plnenie upraveného rozpočtu a 100,71 %-né plnenie časového rozpisu rozpočtu na január až jún  2011 (ďalej len „časový rozpis“). V príjmoch je zahrnutých 804 367 tis. Eur zo ŠR SR, v tom v základnom fonde starobného poistenia 760 579 tis. Eur na krytie deficitu v dôsledku zavedenia II. piliera a v rezervnom fonde solidarity 43 788 tis. Eur v zmysle § 293bg ods. 3 zákona o sociálnom poistení, ktorým bola znížená sadzba poistného do rezervného fondu solidarity v období od 1. apríla 2009 do 31. decembra 2010 pre povinne dôchodkovo poistenú samostatne zárobkovo činnú osobu.</w:t>
      </w:r>
    </w:p>
    <w:p w:rsidR="00445B8E" w:rsidRPr="00445B8E" w:rsidRDefault="00445B8E" w:rsidP="00445B8E">
      <w:pPr>
        <w:widowControl w:val="0"/>
        <w:tabs>
          <w:tab w:val="left" w:pos="709"/>
        </w:tabs>
        <w:spacing w:before="240" w:after="120"/>
        <w:ind w:firstLine="720"/>
        <w:jc w:val="both"/>
        <w:rPr>
          <w:rFonts w:ascii="Arial" w:hAnsi="Arial"/>
          <w:szCs w:val="20"/>
        </w:rPr>
      </w:pPr>
      <w:r w:rsidRPr="00445B8E">
        <w:rPr>
          <w:rFonts w:ascii="Arial" w:hAnsi="Arial"/>
          <w:szCs w:val="20"/>
        </w:rPr>
        <w:t>Zdroje Sociálnej poisťovne, vrátane prevodu prostriedkov z minulého roka (v súlade so schválenou účtovnou závierkou Sociálnej poisťovne za rok 2010 uznesením NR SR č. 526 zo 6. júla 2011), v hodnotenom období predstavovali 3 529 687 tis. Eur.</w:t>
      </w:r>
    </w:p>
    <w:p w:rsidR="00445B8E" w:rsidRPr="00445B8E" w:rsidRDefault="00445B8E" w:rsidP="00445B8E">
      <w:pPr>
        <w:widowControl w:val="0"/>
        <w:tabs>
          <w:tab w:val="left" w:pos="709"/>
        </w:tabs>
        <w:spacing w:before="240" w:after="120"/>
        <w:ind w:firstLine="720"/>
        <w:jc w:val="both"/>
        <w:rPr>
          <w:rFonts w:ascii="Arial" w:hAnsi="Arial"/>
          <w:szCs w:val="20"/>
        </w:rPr>
      </w:pPr>
      <w:r w:rsidRPr="00445B8E">
        <w:rPr>
          <w:rFonts w:ascii="Arial" w:hAnsi="Arial"/>
          <w:szCs w:val="20"/>
        </w:rPr>
        <w:t xml:space="preserve">Výdavky (náklady) Sociálnej poisťovne v mesiacoch január až jún 2011 </w:t>
      </w:r>
      <w:r w:rsidRPr="00445B8E">
        <w:rPr>
          <w:rFonts w:ascii="Arial" w:hAnsi="Arial"/>
          <w:szCs w:val="20"/>
        </w:rPr>
        <w:lastRenderedPageBreak/>
        <w:t>dosiahli výšku 3 056 527 tis. Eur, čo je 48,74 %-né plnenie upraveného rozpočtu a 97,64 %-né plnenie časového rozpisu.</w:t>
      </w:r>
    </w:p>
    <w:p w:rsidR="00445B8E" w:rsidRPr="00445B8E" w:rsidRDefault="00445B8E" w:rsidP="00445B8E">
      <w:pPr>
        <w:widowControl w:val="0"/>
        <w:tabs>
          <w:tab w:val="decimal" w:pos="8280"/>
        </w:tabs>
        <w:spacing w:before="240" w:after="120"/>
        <w:ind w:firstLine="720"/>
        <w:jc w:val="both"/>
        <w:rPr>
          <w:rFonts w:ascii="Arial" w:hAnsi="Arial"/>
          <w:szCs w:val="20"/>
        </w:rPr>
      </w:pPr>
      <w:r w:rsidRPr="00445B8E">
        <w:rPr>
          <w:rFonts w:ascii="Arial" w:hAnsi="Arial"/>
          <w:szCs w:val="20"/>
        </w:rPr>
        <w:t>Z porovnania príjmov a výdavkov vyplýva bilančný rozdiel v bežnom roku v sume 37 493 tis. Eur. Hospodárenie Sociálnej poisťovne k 30. júnu 2011 (vrátane prevodu z minulých rokov) skončilo bilančným rozdielom 473 160 tis. Eur.</w:t>
      </w:r>
    </w:p>
    <w:p w:rsidR="00445B8E" w:rsidRPr="00445B8E" w:rsidRDefault="00445B8E" w:rsidP="00445B8E">
      <w:pPr>
        <w:spacing w:before="240"/>
        <w:ind w:firstLine="720"/>
        <w:jc w:val="both"/>
        <w:rPr>
          <w:rFonts w:ascii="Arial" w:hAnsi="Arial"/>
          <w:szCs w:val="20"/>
        </w:rPr>
      </w:pPr>
      <w:r w:rsidRPr="00445B8E">
        <w:rPr>
          <w:rFonts w:ascii="Arial" w:hAnsi="Arial"/>
          <w:szCs w:val="20"/>
        </w:rPr>
        <w:t xml:space="preserve">Vplyv zavedenia II. piliera na hospodárenie Sociálnej poisťovne v základných fondoch za hodnotené obdobie sa prejavil nasledovne: </w:t>
      </w:r>
    </w:p>
    <w:p w:rsidR="00445B8E" w:rsidRPr="00445B8E" w:rsidRDefault="00445B8E" w:rsidP="00445B8E">
      <w:pPr>
        <w:numPr>
          <w:ilvl w:val="0"/>
          <w:numId w:val="2"/>
        </w:numPr>
        <w:tabs>
          <w:tab w:val="num" w:pos="720"/>
        </w:tabs>
        <w:ind w:left="720" w:hanging="720"/>
        <w:jc w:val="both"/>
        <w:rPr>
          <w:rFonts w:ascii="Arial" w:hAnsi="Arial"/>
          <w:szCs w:val="20"/>
        </w:rPr>
      </w:pPr>
      <w:r w:rsidRPr="00445B8E">
        <w:rPr>
          <w:rFonts w:ascii="Arial" w:hAnsi="Arial"/>
          <w:szCs w:val="20"/>
        </w:rPr>
        <w:t>dôchodkovým správcovským spoločnostiam (DSS) boli postúpené príspevky na SDS vo výške 397 997 tis. Eur,</w:t>
      </w:r>
    </w:p>
    <w:p w:rsidR="00445B8E" w:rsidRPr="00445B8E" w:rsidRDefault="00445B8E" w:rsidP="00445B8E">
      <w:pPr>
        <w:numPr>
          <w:ilvl w:val="0"/>
          <w:numId w:val="2"/>
        </w:numPr>
        <w:tabs>
          <w:tab w:val="num" w:pos="720"/>
        </w:tabs>
        <w:spacing w:after="120"/>
        <w:ind w:left="720" w:hanging="720"/>
        <w:jc w:val="both"/>
        <w:rPr>
          <w:rFonts w:ascii="Arial" w:hAnsi="Arial"/>
          <w:szCs w:val="20"/>
        </w:rPr>
      </w:pPr>
      <w:r w:rsidRPr="00445B8E">
        <w:rPr>
          <w:rFonts w:ascii="Arial" w:hAnsi="Arial"/>
          <w:szCs w:val="20"/>
        </w:rPr>
        <w:t>na vykrytie deficitu boli poskytnuté finančné prostriedky zo ŠR SR v sume 760 579 tis. Eur.</w:t>
      </w:r>
    </w:p>
    <w:p w:rsidR="00445B8E" w:rsidRPr="00445B8E" w:rsidRDefault="00445B8E" w:rsidP="00445B8E">
      <w:pPr>
        <w:spacing w:before="240" w:after="120"/>
        <w:ind w:firstLine="720"/>
        <w:jc w:val="both"/>
        <w:rPr>
          <w:rFonts w:ascii="Arial" w:hAnsi="Arial"/>
        </w:rPr>
      </w:pPr>
      <w:r w:rsidRPr="00445B8E">
        <w:rPr>
          <w:rFonts w:ascii="Arial" w:hAnsi="Arial"/>
          <w:szCs w:val="20"/>
        </w:rPr>
        <w:t>Základná bilancia zdrojov a potrieb Sociálnej poisťovne k 30. júnu 2011 je spracovaná v prílohách – ústredie Sociálnej poisťovne, pobočky Sociálnej poisťovne a zamestnanci Sociálnej poisťovne.</w:t>
      </w:r>
    </w:p>
    <w:p w:rsidR="00445B8E" w:rsidRPr="00445B8E" w:rsidRDefault="00445B8E" w:rsidP="00445B8E">
      <w:pPr>
        <w:tabs>
          <w:tab w:val="left" w:pos="720"/>
          <w:tab w:val="decimal" w:pos="8280"/>
        </w:tabs>
        <w:spacing w:before="240" w:after="120"/>
        <w:jc w:val="both"/>
        <w:rPr>
          <w:rFonts w:ascii="Arial" w:hAnsi="Arial" w:cs="Arial"/>
        </w:rPr>
      </w:pPr>
      <w:r w:rsidRPr="00445B8E">
        <w:rPr>
          <w:rFonts w:ascii="Arial" w:hAnsi="Arial" w:cs="Arial"/>
          <w:b/>
        </w:rPr>
        <w:t>1.</w:t>
      </w:r>
      <w:r w:rsidRPr="00445B8E">
        <w:rPr>
          <w:rFonts w:ascii="Arial" w:hAnsi="Arial" w:cs="Arial"/>
          <w:b/>
        </w:rPr>
        <w:tab/>
        <w:t>Príjmy Sociálnej poisťovne</w:t>
      </w:r>
      <w:r w:rsidRPr="00445B8E">
        <w:rPr>
          <w:rFonts w:ascii="Arial" w:hAnsi="Arial" w:cs="Arial"/>
        </w:rPr>
        <w:t xml:space="preserve">, t. j. finančné prostriedky z poistného, pokút a penále a ostatné príjmy, vrátane finančných prostriedkov zo ŠR SR, v mesiacoch január až jún 2011 predstavovali </w:t>
      </w:r>
      <w:r w:rsidRPr="00445B8E">
        <w:rPr>
          <w:rFonts w:ascii="Arial" w:hAnsi="Arial" w:cs="Arial"/>
        </w:rPr>
        <w:tab/>
      </w:r>
      <w:r w:rsidRPr="00445B8E">
        <w:rPr>
          <w:rFonts w:ascii="Arial" w:hAnsi="Arial" w:cs="Arial"/>
          <w:b/>
        </w:rPr>
        <w:t>3 094 020 tis. Eur,</w:t>
      </w:r>
      <w:r w:rsidRPr="00445B8E">
        <w:rPr>
          <w:rFonts w:ascii="Arial" w:hAnsi="Arial" w:cs="Arial"/>
          <w:b/>
        </w:rPr>
        <w:br/>
      </w:r>
      <w:r w:rsidRPr="00445B8E">
        <w:rPr>
          <w:rFonts w:ascii="Arial" w:hAnsi="Arial" w:cs="Arial"/>
        </w:rPr>
        <w:t>čo je 48,80 %-né plnenie upraveného rozpočtu v sume</w:t>
      </w:r>
      <w:r w:rsidRPr="00445B8E">
        <w:rPr>
          <w:rFonts w:ascii="Arial" w:hAnsi="Arial" w:cs="Arial"/>
        </w:rPr>
        <w:tab/>
        <w:t>6 340 851 tis. Eur</w:t>
      </w:r>
      <w:r w:rsidRPr="00445B8E">
        <w:rPr>
          <w:rFonts w:ascii="Arial" w:hAnsi="Arial" w:cs="Arial"/>
        </w:rPr>
        <w:br/>
        <w:t>a 100,71 %-né plnenie časového rozpisu vo výške</w:t>
      </w:r>
      <w:r w:rsidRPr="00445B8E">
        <w:rPr>
          <w:rFonts w:ascii="Arial" w:hAnsi="Arial" w:cs="Arial"/>
        </w:rPr>
        <w:tab/>
        <w:t>3 072 </w:t>
      </w:r>
      <w:proofErr w:type="spellStart"/>
      <w:r w:rsidRPr="00445B8E">
        <w:rPr>
          <w:rFonts w:ascii="Arial" w:hAnsi="Arial" w:cs="Arial"/>
        </w:rPr>
        <w:t>072</w:t>
      </w:r>
      <w:proofErr w:type="spellEnd"/>
      <w:r w:rsidRPr="00445B8E">
        <w:rPr>
          <w:rFonts w:ascii="Arial" w:hAnsi="Arial" w:cs="Arial"/>
        </w:rPr>
        <w:t> tis. Eur.</w:t>
      </w:r>
    </w:p>
    <w:p w:rsidR="00445B8E" w:rsidRPr="00445B8E" w:rsidRDefault="00445B8E" w:rsidP="00445B8E">
      <w:pPr>
        <w:tabs>
          <w:tab w:val="left" w:pos="4680"/>
          <w:tab w:val="decimal" w:pos="8080"/>
        </w:tabs>
        <w:spacing w:before="240" w:after="120"/>
        <w:ind w:firstLine="720"/>
        <w:jc w:val="both"/>
        <w:rPr>
          <w:rFonts w:ascii="Arial" w:hAnsi="Arial" w:cs="Arial"/>
        </w:rPr>
      </w:pPr>
      <w:r w:rsidRPr="00445B8E">
        <w:rPr>
          <w:rFonts w:ascii="Arial" w:hAnsi="Arial" w:cs="Arial"/>
        </w:rPr>
        <w:t>Štruktúra skutočných príjmov Sociálnej poisťovne a ich porovnanie s časovým rozpisom je takáto:</w:t>
      </w:r>
    </w:p>
    <w:tbl>
      <w:tblPr>
        <w:tblW w:w="8946" w:type="dxa"/>
        <w:tblInd w:w="55" w:type="dxa"/>
        <w:tblLayout w:type="fixed"/>
        <w:tblCellMar>
          <w:left w:w="70" w:type="dxa"/>
          <w:right w:w="70" w:type="dxa"/>
        </w:tblCellMar>
        <w:tblLook w:val="04A0" w:firstRow="1" w:lastRow="0" w:firstColumn="1" w:lastColumn="0" w:noHBand="0" w:noVBand="1"/>
      </w:tblPr>
      <w:tblGrid>
        <w:gridCol w:w="4731"/>
        <w:gridCol w:w="1109"/>
        <w:gridCol w:w="1290"/>
        <w:gridCol w:w="908"/>
        <w:gridCol w:w="908"/>
      </w:tblGrid>
      <w:tr w:rsidR="00445B8E" w:rsidRPr="00445B8E" w:rsidTr="009D0C61">
        <w:trPr>
          <w:trHeight w:val="225"/>
        </w:trPr>
        <w:tc>
          <w:tcPr>
            <w:tcW w:w="8946" w:type="dxa"/>
            <w:gridSpan w:val="5"/>
            <w:tcBorders>
              <w:top w:val="nil"/>
              <w:left w:val="nil"/>
              <w:bottom w:val="nil"/>
              <w:right w:val="nil"/>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v tis. Eur</w:t>
            </w:r>
          </w:p>
        </w:tc>
      </w:tr>
      <w:tr w:rsidR="00445B8E" w:rsidRPr="00445B8E" w:rsidTr="009D0C61">
        <w:trPr>
          <w:trHeight w:val="225"/>
        </w:trPr>
        <w:tc>
          <w:tcPr>
            <w:tcW w:w="47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Ukazovateľ</w:t>
            </w:r>
          </w:p>
        </w:tc>
        <w:tc>
          <w:tcPr>
            <w:tcW w:w="11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Časový rozpis</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Skutočnosť</w:t>
            </w:r>
          </w:p>
        </w:tc>
        <w:tc>
          <w:tcPr>
            <w:tcW w:w="9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Rozdiel  (2-1)</w:t>
            </w:r>
          </w:p>
        </w:tc>
        <w:tc>
          <w:tcPr>
            <w:tcW w:w="9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 plnenia (2/1)</w:t>
            </w:r>
          </w:p>
        </w:tc>
      </w:tr>
      <w:tr w:rsidR="00445B8E" w:rsidRPr="00445B8E" w:rsidTr="009D0C61">
        <w:trPr>
          <w:trHeight w:val="225"/>
        </w:trPr>
        <w:tc>
          <w:tcPr>
            <w:tcW w:w="4731"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18"/>
                <w:szCs w:val="18"/>
              </w:rPr>
            </w:pPr>
          </w:p>
        </w:tc>
        <w:tc>
          <w:tcPr>
            <w:tcW w:w="1109"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18"/>
                <w:szCs w:val="18"/>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18"/>
                <w:szCs w:val="18"/>
              </w:rPr>
            </w:pPr>
          </w:p>
        </w:tc>
        <w:tc>
          <w:tcPr>
            <w:tcW w:w="908"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18"/>
                <w:szCs w:val="18"/>
              </w:rPr>
            </w:pPr>
          </w:p>
        </w:tc>
      </w:tr>
      <w:tr w:rsidR="00445B8E" w:rsidRPr="00445B8E" w:rsidTr="009D0C61">
        <w:trPr>
          <w:trHeight w:val="225"/>
        </w:trPr>
        <w:tc>
          <w:tcPr>
            <w:tcW w:w="4731"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a</w:t>
            </w:r>
          </w:p>
        </w:tc>
        <w:tc>
          <w:tcPr>
            <w:tcW w:w="1109"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1</w:t>
            </w:r>
          </w:p>
        </w:tc>
        <w:tc>
          <w:tcPr>
            <w:tcW w:w="129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2</w:t>
            </w:r>
          </w:p>
        </w:tc>
        <w:tc>
          <w:tcPr>
            <w:tcW w:w="90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3</w:t>
            </w:r>
          </w:p>
        </w:tc>
        <w:tc>
          <w:tcPr>
            <w:tcW w:w="90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4</w:t>
            </w:r>
          </w:p>
        </w:tc>
      </w:tr>
      <w:tr w:rsidR="00445B8E" w:rsidRPr="00445B8E" w:rsidTr="009D0C61">
        <w:trPr>
          <w:trHeight w:val="225"/>
        </w:trPr>
        <w:tc>
          <w:tcPr>
            <w:tcW w:w="4731" w:type="dxa"/>
            <w:tcBorders>
              <w:top w:val="nil"/>
              <w:left w:val="single" w:sz="4" w:space="0" w:color="auto"/>
              <w:bottom w:val="nil"/>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príjmy celkom</w:t>
            </w:r>
          </w:p>
        </w:tc>
        <w:tc>
          <w:tcPr>
            <w:tcW w:w="1109"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3 072 </w:t>
            </w:r>
            <w:proofErr w:type="spellStart"/>
            <w:r w:rsidRPr="00445B8E">
              <w:rPr>
                <w:rFonts w:ascii="Arial" w:hAnsi="Arial" w:cs="Arial"/>
                <w:sz w:val="18"/>
                <w:szCs w:val="18"/>
              </w:rPr>
              <w:t>072</w:t>
            </w:r>
            <w:proofErr w:type="spellEnd"/>
          </w:p>
        </w:tc>
        <w:tc>
          <w:tcPr>
            <w:tcW w:w="1290"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3 094 020</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21 948</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100,71</w:t>
            </w:r>
          </w:p>
        </w:tc>
      </w:tr>
      <w:tr w:rsidR="00445B8E" w:rsidRPr="00445B8E" w:rsidTr="009D0C61">
        <w:trPr>
          <w:trHeight w:val="225"/>
        </w:trPr>
        <w:tc>
          <w:tcPr>
            <w:tcW w:w="4731" w:type="dxa"/>
            <w:tcBorders>
              <w:top w:val="nil"/>
              <w:left w:val="single" w:sz="4" w:space="0" w:color="auto"/>
              <w:bottom w:val="nil"/>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v tom:</w:t>
            </w:r>
          </w:p>
        </w:tc>
        <w:tc>
          <w:tcPr>
            <w:tcW w:w="1109" w:type="dxa"/>
            <w:tcBorders>
              <w:top w:val="nil"/>
              <w:left w:val="nil"/>
              <w:bottom w:val="nil"/>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 </w:t>
            </w:r>
          </w:p>
        </w:tc>
        <w:tc>
          <w:tcPr>
            <w:tcW w:w="1290" w:type="dxa"/>
            <w:tcBorders>
              <w:top w:val="nil"/>
              <w:left w:val="nil"/>
              <w:bottom w:val="nil"/>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 </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 </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 </w:t>
            </w:r>
          </w:p>
        </w:tc>
      </w:tr>
      <w:tr w:rsidR="00445B8E" w:rsidRPr="00445B8E" w:rsidTr="009D0C61">
        <w:trPr>
          <w:trHeight w:val="424"/>
        </w:trPr>
        <w:tc>
          <w:tcPr>
            <w:tcW w:w="4731" w:type="dxa"/>
            <w:tcBorders>
              <w:top w:val="nil"/>
              <w:left w:val="single" w:sz="4" w:space="0" w:color="auto"/>
              <w:bottom w:val="nil"/>
              <w:right w:val="single" w:sz="4" w:space="0" w:color="auto"/>
            </w:tcBorders>
            <w:shd w:val="clear" w:color="auto" w:fill="auto"/>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príjmy z bežného poistného od ekonomicky aktívneho obyvateľstva (EAO)</w:t>
            </w:r>
          </w:p>
        </w:tc>
        <w:tc>
          <w:tcPr>
            <w:tcW w:w="1109"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2 088 664</w:t>
            </w:r>
          </w:p>
        </w:tc>
        <w:tc>
          <w:tcPr>
            <w:tcW w:w="1290"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2 043 115</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-45 549</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97,82</w:t>
            </w:r>
          </w:p>
        </w:tc>
      </w:tr>
      <w:tr w:rsidR="00445B8E" w:rsidRPr="00445B8E" w:rsidTr="009D0C61">
        <w:trPr>
          <w:trHeight w:val="225"/>
        </w:trPr>
        <w:tc>
          <w:tcPr>
            <w:tcW w:w="4731" w:type="dxa"/>
            <w:tcBorders>
              <w:top w:val="nil"/>
              <w:left w:val="single" w:sz="4" w:space="0" w:color="auto"/>
              <w:bottom w:val="nil"/>
              <w:right w:val="single" w:sz="4" w:space="0" w:color="auto"/>
            </w:tcBorders>
            <w:shd w:val="clear" w:color="auto" w:fill="auto"/>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 xml:space="preserve">príjmy z dlžného poistného  </w:t>
            </w:r>
          </w:p>
        </w:tc>
        <w:tc>
          <w:tcPr>
            <w:tcW w:w="1109"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80 615</w:t>
            </w:r>
          </w:p>
        </w:tc>
        <w:tc>
          <w:tcPr>
            <w:tcW w:w="1290"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135 096</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54 481</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167,58</w:t>
            </w:r>
          </w:p>
        </w:tc>
      </w:tr>
      <w:tr w:rsidR="00445B8E" w:rsidRPr="00445B8E" w:rsidTr="009D0C61">
        <w:trPr>
          <w:trHeight w:val="225"/>
        </w:trPr>
        <w:tc>
          <w:tcPr>
            <w:tcW w:w="4731" w:type="dxa"/>
            <w:tcBorders>
              <w:top w:val="nil"/>
              <w:left w:val="single" w:sz="4" w:space="0" w:color="auto"/>
              <w:bottom w:val="nil"/>
              <w:right w:val="single" w:sz="4" w:space="0" w:color="auto"/>
            </w:tcBorders>
            <w:shd w:val="clear" w:color="auto" w:fill="auto"/>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príjmy zo sankcií</w:t>
            </w:r>
          </w:p>
        </w:tc>
        <w:tc>
          <w:tcPr>
            <w:tcW w:w="1109"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1 199</w:t>
            </w:r>
          </w:p>
        </w:tc>
        <w:tc>
          <w:tcPr>
            <w:tcW w:w="1290"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1 024</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-175</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85,40</w:t>
            </w:r>
          </w:p>
        </w:tc>
      </w:tr>
      <w:tr w:rsidR="00445B8E" w:rsidRPr="00445B8E" w:rsidTr="009D0C61">
        <w:trPr>
          <w:trHeight w:val="170"/>
        </w:trPr>
        <w:tc>
          <w:tcPr>
            <w:tcW w:w="4731" w:type="dxa"/>
            <w:tcBorders>
              <w:top w:val="nil"/>
              <w:left w:val="single" w:sz="4" w:space="0" w:color="auto"/>
              <w:bottom w:val="nil"/>
              <w:right w:val="single" w:sz="4" w:space="0" w:color="auto"/>
            </w:tcBorders>
            <w:shd w:val="clear" w:color="auto" w:fill="auto"/>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príjmy z poistného od štátu vrátane 0,5 % z príspevkov</w:t>
            </w:r>
          </w:p>
        </w:tc>
        <w:tc>
          <w:tcPr>
            <w:tcW w:w="1109"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79 880</w:t>
            </w:r>
          </w:p>
        </w:tc>
        <w:tc>
          <w:tcPr>
            <w:tcW w:w="1290"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90 055</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10 175</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112,74</w:t>
            </w:r>
          </w:p>
        </w:tc>
      </w:tr>
      <w:tr w:rsidR="00445B8E" w:rsidRPr="00445B8E" w:rsidTr="009D0C61">
        <w:trPr>
          <w:trHeight w:val="225"/>
        </w:trPr>
        <w:tc>
          <w:tcPr>
            <w:tcW w:w="4731" w:type="dxa"/>
            <w:tcBorders>
              <w:top w:val="nil"/>
              <w:left w:val="single" w:sz="4" w:space="0" w:color="auto"/>
              <w:bottom w:val="nil"/>
              <w:right w:val="single" w:sz="4" w:space="0" w:color="auto"/>
            </w:tcBorders>
            <w:shd w:val="clear" w:color="auto" w:fill="auto"/>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príjmy od Sociálnej poisťovne</w:t>
            </w:r>
          </w:p>
        </w:tc>
        <w:tc>
          <w:tcPr>
            <w:tcW w:w="1109"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944</w:t>
            </w:r>
          </w:p>
        </w:tc>
        <w:tc>
          <w:tcPr>
            <w:tcW w:w="1290"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962</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18</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101,91</w:t>
            </w:r>
          </w:p>
        </w:tc>
      </w:tr>
      <w:tr w:rsidR="00445B8E" w:rsidRPr="00445B8E" w:rsidTr="009D0C61">
        <w:trPr>
          <w:trHeight w:val="225"/>
        </w:trPr>
        <w:tc>
          <w:tcPr>
            <w:tcW w:w="4731" w:type="dxa"/>
            <w:tcBorders>
              <w:top w:val="nil"/>
              <w:left w:val="single" w:sz="4" w:space="0" w:color="auto"/>
              <w:bottom w:val="nil"/>
              <w:right w:val="single" w:sz="4" w:space="0" w:color="auto"/>
            </w:tcBorders>
            <w:shd w:val="clear" w:color="auto" w:fill="auto"/>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 xml:space="preserve">ostatné príjmy </w:t>
            </w:r>
          </w:p>
        </w:tc>
        <w:tc>
          <w:tcPr>
            <w:tcW w:w="1109"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809 519</w:t>
            </w:r>
          </w:p>
        </w:tc>
        <w:tc>
          <w:tcPr>
            <w:tcW w:w="1290"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810 150</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631</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100,08</w:t>
            </w:r>
          </w:p>
        </w:tc>
      </w:tr>
      <w:tr w:rsidR="00445B8E" w:rsidRPr="00445B8E" w:rsidTr="009D0C61">
        <w:trPr>
          <w:trHeight w:val="225"/>
        </w:trPr>
        <w:tc>
          <w:tcPr>
            <w:tcW w:w="4731" w:type="dxa"/>
            <w:tcBorders>
              <w:top w:val="nil"/>
              <w:left w:val="single" w:sz="4" w:space="0" w:color="auto"/>
              <w:bottom w:val="nil"/>
              <w:right w:val="single" w:sz="4" w:space="0" w:color="auto"/>
            </w:tcBorders>
            <w:shd w:val="clear" w:color="auto" w:fill="auto"/>
            <w:vAlign w:val="center"/>
            <w:hideMark/>
          </w:tcPr>
          <w:p w:rsidR="00445B8E" w:rsidRPr="00445B8E" w:rsidRDefault="00445B8E" w:rsidP="00445B8E">
            <w:pPr>
              <w:rPr>
                <w:rFonts w:ascii="Arial" w:hAnsi="Arial" w:cs="Arial"/>
                <w:i/>
                <w:iCs/>
                <w:sz w:val="18"/>
                <w:szCs w:val="18"/>
              </w:rPr>
            </w:pPr>
            <w:r w:rsidRPr="00445B8E">
              <w:rPr>
                <w:rFonts w:ascii="Arial" w:hAnsi="Arial" w:cs="Arial"/>
                <w:i/>
                <w:iCs/>
                <w:sz w:val="18"/>
                <w:szCs w:val="18"/>
              </w:rPr>
              <w:t xml:space="preserve">  z toho príjmy zo ŠR</w:t>
            </w:r>
          </w:p>
        </w:tc>
        <w:tc>
          <w:tcPr>
            <w:tcW w:w="1109"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i/>
                <w:iCs/>
                <w:sz w:val="18"/>
                <w:szCs w:val="18"/>
              </w:rPr>
            </w:pPr>
            <w:r w:rsidRPr="00445B8E">
              <w:rPr>
                <w:rFonts w:ascii="Arial" w:hAnsi="Arial" w:cs="Arial"/>
                <w:i/>
                <w:iCs/>
                <w:sz w:val="18"/>
                <w:szCs w:val="18"/>
              </w:rPr>
              <w:t>804 360</w:t>
            </w:r>
          </w:p>
        </w:tc>
        <w:tc>
          <w:tcPr>
            <w:tcW w:w="1290"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i/>
                <w:iCs/>
                <w:sz w:val="18"/>
                <w:szCs w:val="18"/>
              </w:rPr>
            </w:pPr>
            <w:r w:rsidRPr="00445B8E">
              <w:rPr>
                <w:rFonts w:ascii="Arial" w:hAnsi="Arial" w:cs="Arial"/>
                <w:i/>
                <w:iCs/>
                <w:sz w:val="18"/>
                <w:szCs w:val="18"/>
              </w:rPr>
              <w:t>804 367</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i/>
                <w:iCs/>
                <w:sz w:val="18"/>
                <w:szCs w:val="18"/>
              </w:rPr>
            </w:pPr>
            <w:r w:rsidRPr="00445B8E">
              <w:rPr>
                <w:rFonts w:ascii="Arial" w:hAnsi="Arial" w:cs="Arial"/>
                <w:i/>
                <w:iCs/>
                <w:sz w:val="18"/>
                <w:szCs w:val="18"/>
              </w:rPr>
              <w:t>7</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i/>
                <w:iCs/>
                <w:sz w:val="18"/>
                <w:szCs w:val="18"/>
              </w:rPr>
            </w:pPr>
            <w:r w:rsidRPr="00445B8E">
              <w:rPr>
                <w:rFonts w:ascii="Arial" w:hAnsi="Arial" w:cs="Arial"/>
                <w:i/>
                <w:iCs/>
                <w:sz w:val="18"/>
                <w:szCs w:val="18"/>
              </w:rPr>
              <w:t>100,00</w:t>
            </w:r>
          </w:p>
        </w:tc>
      </w:tr>
      <w:tr w:rsidR="00445B8E" w:rsidRPr="00445B8E" w:rsidTr="009D0C61">
        <w:trPr>
          <w:trHeight w:val="424"/>
        </w:trPr>
        <w:tc>
          <w:tcPr>
            <w:tcW w:w="4731" w:type="dxa"/>
            <w:tcBorders>
              <w:top w:val="nil"/>
              <w:left w:val="single" w:sz="4" w:space="0" w:color="auto"/>
              <w:bottom w:val="nil"/>
              <w:right w:val="single" w:sz="4" w:space="0" w:color="auto"/>
            </w:tcBorders>
            <w:shd w:val="clear" w:color="auto" w:fill="auto"/>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príspevky na SDS zaplatené zamestnávateľom po uplynutí 60 dní</w:t>
            </w:r>
          </w:p>
        </w:tc>
        <w:tc>
          <w:tcPr>
            <w:tcW w:w="1109"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9 378</w:t>
            </w:r>
          </w:p>
        </w:tc>
        <w:tc>
          <w:tcPr>
            <w:tcW w:w="1290" w:type="dxa"/>
            <w:tcBorders>
              <w:top w:val="nil"/>
              <w:left w:val="nil"/>
              <w:bottom w:val="nil"/>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11 772</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2 394</w:t>
            </w:r>
          </w:p>
        </w:tc>
        <w:tc>
          <w:tcPr>
            <w:tcW w:w="908" w:type="dxa"/>
            <w:tcBorders>
              <w:top w:val="nil"/>
              <w:left w:val="nil"/>
              <w:bottom w:val="nil"/>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125,53</w:t>
            </w:r>
          </w:p>
        </w:tc>
      </w:tr>
      <w:tr w:rsidR="00445B8E" w:rsidRPr="00445B8E" w:rsidTr="009D0C61">
        <w:trPr>
          <w:trHeight w:val="71"/>
        </w:trPr>
        <w:tc>
          <w:tcPr>
            <w:tcW w:w="4731" w:type="dxa"/>
            <w:tcBorders>
              <w:top w:val="nil"/>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príjmy správneho fondu z príspevkov na SDS (EAO)</w:t>
            </w:r>
          </w:p>
        </w:tc>
        <w:tc>
          <w:tcPr>
            <w:tcW w:w="1109"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1 873</w:t>
            </w:r>
          </w:p>
        </w:tc>
        <w:tc>
          <w:tcPr>
            <w:tcW w:w="129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1 846</w:t>
            </w:r>
          </w:p>
        </w:tc>
        <w:tc>
          <w:tcPr>
            <w:tcW w:w="90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-27</w:t>
            </w:r>
          </w:p>
        </w:tc>
        <w:tc>
          <w:tcPr>
            <w:tcW w:w="90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98,56</w:t>
            </w:r>
          </w:p>
        </w:tc>
      </w:tr>
    </w:tbl>
    <w:p w:rsidR="00445B8E" w:rsidRPr="00445B8E" w:rsidRDefault="00445B8E" w:rsidP="00445B8E">
      <w:pPr>
        <w:tabs>
          <w:tab w:val="left" w:pos="4680"/>
          <w:tab w:val="decimal" w:pos="8080"/>
        </w:tabs>
        <w:spacing w:before="240" w:after="120"/>
        <w:ind w:firstLine="720"/>
        <w:jc w:val="both"/>
        <w:rPr>
          <w:rFonts w:ascii="Arial" w:hAnsi="Arial" w:cs="Arial"/>
          <w:color w:val="76923C" w:themeColor="accent3" w:themeShade="BF"/>
        </w:rPr>
      </w:pPr>
    </w:p>
    <w:p w:rsidR="00445B8E" w:rsidRPr="00445B8E" w:rsidRDefault="00445B8E" w:rsidP="00445B8E">
      <w:pPr>
        <w:tabs>
          <w:tab w:val="decimal" w:pos="8280"/>
          <w:tab w:val="right" w:pos="8820"/>
          <w:tab w:val="right" w:pos="9000"/>
        </w:tabs>
        <w:spacing w:before="240" w:after="120"/>
        <w:ind w:firstLine="709"/>
        <w:jc w:val="both"/>
        <w:rPr>
          <w:rFonts w:ascii="Arial" w:hAnsi="Arial" w:cs="Arial"/>
          <w:b/>
          <w:szCs w:val="20"/>
        </w:rPr>
      </w:pPr>
      <w:r w:rsidRPr="00445B8E">
        <w:rPr>
          <w:rFonts w:ascii="Arial" w:hAnsi="Arial" w:cs="Arial"/>
          <w:szCs w:val="20"/>
        </w:rPr>
        <w:t xml:space="preserve">Plnenie príjmov od </w:t>
      </w:r>
      <w:r w:rsidRPr="00445B8E">
        <w:rPr>
          <w:rFonts w:ascii="Arial" w:hAnsi="Arial" w:cs="Arial"/>
          <w:b/>
          <w:szCs w:val="20"/>
        </w:rPr>
        <w:t>EAO z bežného poistného</w:t>
      </w:r>
      <w:r w:rsidRPr="00445B8E">
        <w:rPr>
          <w:rFonts w:ascii="Arial" w:hAnsi="Arial" w:cs="Arial"/>
          <w:szCs w:val="20"/>
        </w:rPr>
        <w:t xml:space="preserve"> je, </w:t>
      </w:r>
      <w:r w:rsidRPr="00445B8E">
        <w:rPr>
          <w:rFonts w:ascii="Arial" w:hAnsi="Arial" w:cs="Arial"/>
        </w:rPr>
        <w:t>v porovnaní s časovým rozpisom,</w:t>
      </w:r>
      <w:r w:rsidRPr="00445B8E">
        <w:rPr>
          <w:rFonts w:ascii="Arial" w:hAnsi="Arial" w:cs="Arial"/>
          <w:szCs w:val="20"/>
        </w:rPr>
        <w:t xml:space="preserve"> nižšie </w:t>
      </w:r>
      <w:r w:rsidRPr="00445B8E">
        <w:rPr>
          <w:rFonts w:ascii="Arial" w:hAnsi="Arial" w:cs="Arial"/>
          <w:b/>
          <w:szCs w:val="20"/>
        </w:rPr>
        <w:t>o 45 549 tis. Eur.</w:t>
      </w:r>
      <w:r w:rsidRPr="00445B8E">
        <w:rPr>
          <w:rFonts w:ascii="Arial" w:hAnsi="Arial" w:cs="Arial"/>
        </w:rPr>
        <w:t xml:space="preserve"> </w:t>
      </w:r>
      <w:r w:rsidRPr="00445B8E">
        <w:rPr>
          <w:rFonts w:ascii="Arial" w:hAnsi="Arial" w:cs="Arial"/>
          <w:b/>
          <w:bCs/>
        </w:rPr>
        <w:t xml:space="preserve">V absolútnom vyjadrení je plnenie príjmov celkom oproti časovému rozpisu vyššie o 21 948 tis. Eur. </w:t>
      </w:r>
      <w:r w:rsidRPr="00445B8E">
        <w:rPr>
          <w:rFonts w:ascii="Arial" w:hAnsi="Arial" w:cs="Arial"/>
        </w:rPr>
        <w:t>Na túto skutočnosť malo v</w:t>
      </w:r>
      <w:r w:rsidRPr="00445B8E">
        <w:rPr>
          <w:rFonts w:ascii="Arial" w:hAnsi="Arial" w:cs="Arial"/>
          <w:b/>
          <w:bCs/>
        </w:rPr>
        <w:t xml:space="preserve"> </w:t>
      </w:r>
      <w:r w:rsidRPr="00445B8E">
        <w:rPr>
          <w:rFonts w:ascii="Arial" w:hAnsi="Arial" w:cs="Arial"/>
        </w:rPr>
        <w:t> rozhodujúcej miere vplyv plnenie</w:t>
      </w:r>
      <w:r w:rsidRPr="00445B8E">
        <w:rPr>
          <w:rFonts w:ascii="Arial" w:hAnsi="Arial" w:cs="Arial"/>
          <w:b/>
          <w:bCs/>
        </w:rPr>
        <w:t xml:space="preserve"> </w:t>
      </w:r>
      <w:r w:rsidRPr="00445B8E">
        <w:rPr>
          <w:rFonts w:ascii="Arial" w:hAnsi="Arial" w:cs="Arial"/>
        </w:rPr>
        <w:t>príjmov z </w:t>
      </w:r>
      <w:r w:rsidRPr="00445B8E">
        <w:rPr>
          <w:rFonts w:ascii="Arial" w:hAnsi="Arial" w:cs="Arial"/>
          <w:b/>
          <w:bCs/>
        </w:rPr>
        <w:t>dlžného poistného</w:t>
      </w:r>
      <w:r w:rsidRPr="00445B8E">
        <w:rPr>
          <w:rFonts w:ascii="Arial" w:hAnsi="Arial" w:cs="Arial"/>
        </w:rPr>
        <w:t xml:space="preserve">, keď v porovnaní s časovým rozpisom sú tieto </w:t>
      </w:r>
      <w:r w:rsidRPr="00445B8E">
        <w:rPr>
          <w:rFonts w:ascii="Arial" w:hAnsi="Arial" w:cs="Arial"/>
          <w:b/>
          <w:bCs/>
        </w:rPr>
        <w:t>vyššie o 54 481 tis. Eur.</w:t>
      </w:r>
    </w:p>
    <w:p w:rsidR="00445B8E" w:rsidRPr="00445B8E" w:rsidRDefault="00445B8E" w:rsidP="00445B8E">
      <w:pPr>
        <w:tabs>
          <w:tab w:val="decimal" w:pos="8280"/>
          <w:tab w:val="right" w:pos="8820"/>
          <w:tab w:val="right" w:pos="9000"/>
        </w:tabs>
        <w:spacing w:before="240" w:after="120"/>
        <w:ind w:firstLine="709"/>
        <w:jc w:val="both"/>
        <w:rPr>
          <w:rFonts w:ascii="Arial" w:hAnsi="Arial" w:cs="Arial"/>
          <w:szCs w:val="20"/>
        </w:rPr>
      </w:pPr>
      <w:r w:rsidRPr="00445B8E">
        <w:rPr>
          <w:rFonts w:ascii="Arial" w:hAnsi="Arial" w:cs="Arial"/>
          <w:szCs w:val="20"/>
        </w:rPr>
        <w:t>Podľa jednotlivých druhov poistenia boli príjmy z bežného poistného od EAO v mesiacoch január až jún 2011 nasledovné:</w:t>
      </w:r>
    </w:p>
    <w:tbl>
      <w:tblPr>
        <w:tblW w:w="8143" w:type="dxa"/>
        <w:tblInd w:w="55" w:type="dxa"/>
        <w:tblCellMar>
          <w:left w:w="70" w:type="dxa"/>
          <w:right w:w="70" w:type="dxa"/>
        </w:tblCellMar>
        <w:tblLook w:val="04A0" w:firstRow="1" w:lastRow="0" w:firstColumn="1" w:lastColumn="0" w:noHBand="0" w:noVBand="1"/>
      </w:tblPr>
      <w:tblGrid>
        <w:gridCol w:w="3483"/>
        <w:gridCol w:w="1100"/>
        <w:gridCol w:w="1280"/>
        <w:gridCol w:w="1280"/>
        <w:gridCol w:w="1000"/>
      </w:tblGrid>
      <w:tr w:rsidR="00445B8E" w:rsidRPr="00445B8E" w:rsidTr="009D0C61">
        <w:trPr>
          <w:trHeight w:val="255"/>
        </w:trPr>
        <w:tc>
          <w:tcPr>
            <w:tcW w:w="3483" w:type="dxa"/>
            <w:tcBorders>
              <w:top w:val="nil"/>
              <w:left w:val="nil"/>
              <w:bottom w:val="nil"/>
              <w:right w:val="nil"/>
            </w:tcBorders>
            <w:shd w:val="clear" w:color="auto" w:fill="auto"/>
            <w:noWrap/>
            <w:vAlign w:val="bottom"/>
            <w:hideMark/>
          </w:tcPr>
          <w:p w:rsidR="00445B8E" w:rsidRPr="00445B8E" w:rsidRDefault="00445B8E" w:rsidP="00445B8E">
            <w:pPr>
              <w:rPr>
                <w:sz w:val="20"/>
                <w:szCs w:val="20"/>
              </w:rPr>
            </w:pPr>
          </w:p>
        </w:tc>
        <w:tc>
          <w:tcPr>
            <w:tcW w:w="1100" w:type="dxa"/>
            <w:tcBorders>
              <w:top w:val="nil"/>
              <w:left w:val="nil"/>
              <w:bottom w:val="nil"/>
              <w:right w:val="nil"/>
            </w:tcBorders>
            <w:shd w:val="clear" w:color="auto" w:fill="auto"/>
            <w:noWrap/>
            <w:vAlign w:val="bottom"/>
            <w:hideMark/>
          </w:tcPr>
          <w:p w:rsidR="00445B8E" w:rsidRPr="00445B8E" w:rsidRDefault="00445B8E" w:rsidP="00445B8E">
            <w:pPr>
              <w:rPr>
                <w:sz w:val="20"/>
                <w:szCs w:val="20"/>
              </w:rPr>
            </w:pPr>
          </w:p>
        </w:tc>
        <w:tc>
          <w:tcPr>
            <w:tcW w:w="1280" w:type="dxa"/>
            <w:tcBorders>
              <w:top w:val="nil"/>
              <w:left w:val="nil"/>
              <w:bottom w:val="nil"/>
              <w:right w:val="nil"/>
            </w:tcBorders>
            <w:shd w:val="clear" w:color="auto" w:fill="auto"/>
            <w:noWrap/>
            <w:vAlign w:val="bottom"/>
            <w:hideMark/>
          </w:tcPr>
          <w:p w:rsidR="00445B8E" w:rsidRPr="00445B8E" w:rsidRDefault="00445B8E" w:rsidP="00445B8E">
            <w:pPr>
              <w:rPr>
                <w:sz w:val="20"/>
                <w:szCs w:val="20"/>
              </w:rPr>
            </w:pPr>
          </w:p>
        </w:tc>
        <w:tc>
          <w:tcPr>
            <w:tcW w:w="1280" w:type="dxa"/>
            <w:tcBorders>
              <w:top w:val="nil"/>
              <w:left w:val="nil"/>
              <w:bottom w:val="nil"/>
              <w:right w:val="nil"/>
            </w:tcBorders>
            <w:shd w:val="clear" w:color="auto" w:fill="auto"/>
            <w:noWrap/>
            <w:vAlign w:val="bottom"/>
            <w:hideMark/>
          </w:tcPr>
          <w:p w:rsidR="00445B8E" w:rsidRPr="00445B8E" w:rsidRDefault="00445B8E" w:rsidP="00445B8E">
            <w:pPr>
              <w:rPr>
                <w:sz w:val="20"/>
                <w:szCs w:val="20"/>
              </w:rPr>
            </w:pPr>
          </w:p>
        </w:tc>
        <w:tc>
          <w:tcPr>
            <w:tcW w:w="1000" w:type="dxa"/>
            <w:tcBorders>
              <w:top w:val="nil"/>
              <w:left w:val="nil"/>
              <w:bottom w:val="nil"/>
              <w:right w:val="nil"/>
            </w:tcBorders>
            <w:shd w:val="clear" w:color="auto" w:fill="auto"/>
            <w:noWrap/>
            <w:vAlign w:val="center"/>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v tis. Eur</w:t>
            </w:r>
          </w:p>
        </w:tc>
      </w:tr>
      <w:tr w:rsidR="00445B8E" w:rsidRPr="00445B8E" w:rsidTr="009D0C61">
        <w:trPr>
          <w:trHeight w:val="450"/>
        </w:trPr>
        <w:tc>
          <w:tcPr>
            <w:tcW w:w="34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Príjmy z bežného poistného od EAO</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Časový rozpis</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 xml:space="preserve">Skutočnosť </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Rozdiel  (2-1)</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 plnenia (2/1)</w:t>
            </w:r>
          </w:p>
        </w:tc>
      </w:tr>
      <w:tr w:rsidR="00445B8E" w:rsidRPr="00445B8E" w:rsidTr="009D0C61">
        <w:trPr>
          <w:trHeight w:val="255"/>
        </w:trPr>
        <w:tc>
          <w:tcPr>
            <w:tcW w:w="3483"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18"/>
                <w:szCs w:val="18"/>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18"/>
                <w:szCs w:val="18"/>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18"/>
                <w:szCs w:val="18"/>
              </w:rPr>
            </w:pPr>
          </w:p>
        </w:tc>
      </w:tr>
      <w:tr w:rsidR="00445B8E" w:rsidRPr="00445B8E" w:rsidTr="009D0C61">
        <w:trPr>
          <w:trHeight w:val="255"/>
        </w:trPr>
        <w:tc>
          <w:tcPr>
            <w:tcW w:w="3483"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a</w:t>
            </w:r>
          </w:p>
        </w:tc>
        <w:tc>
          <w:tcPr>
            <w:tcW w:w="11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1</w:t>
            </w:r>
          </w:p>
        </w:tc>
        <w:tc>
          <w:tcPr>
            <w:tcW w:w="128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2</w:t>
            </w:r>
          </w:p>
        </w:tc>
        <w:tc>
          <w:tcPr>
            <w:tcW w:w="128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3</w:t>
            </w:r>
          </w:p>
        </w:tc>
        <w:tc>
          <w:tcPr>
            <w:tcW w:w="10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4</w:t>
            </w:r>
          </w:p>
        </w:tc>
      </w:tr>
      <w:tr w:rsidR="00445B8E" w:rsidRPr="00445B8E" w:rsidTr="009D0C61">
        <w:trPr>
          <w:trHeight w:val="255"/>
        </w:trPr>
        <w:tc>
          <w:tcPr>
            <w:tcW w:w="3483"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Základný fond nemocenského poistenia</w:t>
            </w:r>
          </w:p>
        </w:tc>
        <w:tc>
          <w:tcPr>
            <w:tcW w:w="11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195 190</w:t>
            </w:r>
          </w:p>
        </w:tc>
        <w:tc>
          <w:tcPr>
            <w:tcW w:w="128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187 626</w:t>
            </w:r>
          </w:p>
        </w:tc>
        <w:tc>
          <w:tcPr>
            <w:tcW w:w="128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-7 564</w:t>
            </w:r>
          </w:p>
        </w:tc>
        <w:tc>
          <w:tcPr>
            <w:tcW w:w="10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96,12</w:t>
            </w:r>
          </w:p>
        </w:tc>
      </w:tr>
      <w:tr w:rsidR="00445B8E" w:rsidRPr="00445B8E" w:rsidTr="009D0C61">
        <w:trPr>
          <w:trHeight w:val="255"/>
        </w:trPr>
        <w:tc>
          <w:tcPr>
            <w:tcW w:w="3483"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Základný fond starobného poistenia</w:t>
            </w:r>
          </w:p>
        </w:tc>
        <w:tc>
          <w:tcPr>
            <w:tcW w:w="11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946 495</w:t>
            </w:r>
          </w:p>
        </w:tc>
        <w:tc>
          <w:tcPr>
            <w:tcW w:w="128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908 899</w:t>
            </w:r>
          </w:p>
        </w:tc>
        <w:tc>
          <w:tcPr>
            <w:tcW w:w="128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-37 596</w:t>
            </w:r>
          </w:p>
        </w:tc>
        <w:tc>
          <w:tcPr>
            <w:tcW w:w="10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96,03</w:t>
            </w:r>
          </w:p>
        </w:tc>
      </w:tr>
      <w:tr w:rsidR="00445B8E" w:rsidRPr="00445B8E" w:rsidTr="009D0C61">
        <w:trPr>
          <w:trHeight w:val="255"/>
        </w:trPr>
        <w:tc>
          <w:tcPr>
            <w:tcW w:w="3483"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Základný fond invalidného poistenia</w:t>
            </w:r>
          </w:p>
        </w:tc>
        <w:tc>
          <w:tcPr>
            <w:tcW w:w="11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411 147</w:t>
            </w:r>
          </w:p>
        </w:tc>
        <w:tc>
          <w:tcPr>
            <w:tcW w:w="128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409 271</w:t>
            </w:r>
          </w:p>
        </w:tc>
        <w:tc>
          <w:tcPr>
            <w:tcW w:w="128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-1 876</w:t>
            </w:r>
          </w:p>
        </w:tc>
        <w:tc>
          <w:tcPr>
            <w:tcW w:w="10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99,54</w:t>
            </w:r>
          </w:p>
        </w:tc>
      </w:tr>
      <w:tr w:rsidR="00445B8E" w:rsidRPr="00445B8E" w:rsidTr="009D0C61">
        <w:trPr>
          <w:trHeight w:val="255"/>
        </w:trPr>
        <w:tc>
          <w:tcPr>
            <w:tcW w:w="3483"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Základný fond úrazového poistenia</w:t>
            </w:r>
          </w:p>
        </w:tc>
        <w:tc>
          <w:tcPr>
            <w:tcW w:w="11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59 511</w:t>
            </w:r>
          </w:p>
        </w:tc>
        <w:tc>
          <w:tcPr>
            <w:tcW w:w="128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59 242</w:t>
            </w:r>
          </w:p>
        </w:tc>
        <w:tc>
          <w:tcPr>
            <w:tcW w:w="128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-269</w:t>
            </w:r>
          </w:p>
        </w:tc>
        <w:tc>
          <w:tcPr>
            <w:tcW w:w="10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99,55</w:t>
            </w:r>
          </w:p>
        </w:tc>
      </w:tr>
      <w:tr w:rsidR="00445B8E" w:rsidRPr="00445B8E" w:rsidTr="009D0C61">
        <w:trPr>
          <w:trHeight w:val="255"/>
        </w:trPr>
        <w:tc>
          <w:tcPr>
            <w:tcW w:w="3483"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Základný fond garančného poistenia</w:t>
            </w:r>
          </w:p>
        </w:tc>
        <w:tc>
          <w:tcPr>
            <w:tcW w:w="11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13 490</w:t>
            </w:r>
          </w:p>
        </w:tc>
        <w:tc>
          <w:tcPr>
            <w:tcW w:w="128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13 340</w:t>
            </w:r>
          </w:p>
        </w:tc>
        <w:tc>
          <w:tcPr>
            <w:tcW w:w="128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-150</w:t>
            </w:r>
          </w:p>
        </w:tc>
        <w:tc>
          <w:tcPr>
            <w:tcW w:w="10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98,89</w:t>
            </w:r>
          </w:p>
        </w:tc>
      </w:tr>
      <w:tr w:rsidR="00445B8E" w:rsidRPr="00445B8E" w:rsidTr="009D0C61">
        <w:trPr>
          <w:trHeight w:val="255"/>
        </w:trPr>
        <w:tc>
          <w:tcPr>
            <w:tcW w:w="3483"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Základný fond poistenia v nezamestnanosti</w:t>
            </w:r>
          </w:p>
        </w:tc>
        <w:tc>
          <w:tcPr>
            <w:tcW w:w="11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114 094</w:t>
            </w:r>
          </w:p>
        </w:tc>
        <w:tc>
          <w:tcPr>
            <w:tcW w:w="128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129 055</w:t>
            </w:r>
          </w:p>
        </w:tc>
        <w:tc>
          <w:tcPr>
            <w:tcW w:w="128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14 961</w:t>
            </w:r>
          </w:p>
        </w:tc>
        <w:tc>
          <w:tcPr>
            <w:tcW w:w="10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113,11</w:t>
            </w:r>
          </w:p>
        </w:tc>
      </w:tr>
      <w:tr w:rsidR="00445B8E" w:rsidRPr="00445B8E" w:rsidTr="009D0C61">
        <w:trPr>
          <w:trHeight w:val="255"/>
        </w:trPr>
        <w:tc>
          <w:tcPr>
            <w:tcW w:w="3483"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Rezervný fond solidarity</w:t>
            </w:r>
          </w:p>
        </w:tc>
        <w:tc>
          <w:tcPr>
            <w:tcW w:w="11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348 737</w:t>
            </w:r>
          </w:p>
        </w:tc>
        <w:tc>
          <w:tcPr>
            <w:tcW w:w="128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335 682</w:t>
            </w:r>
          </w:p>
        </w:tc>
        <w:tc>
          <w:tcPr>
            <w:tcW w:w="128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-13 055</w:t>
            </w:r>
          </w:p>
        </w:tc>
        <w:tc>
          <w:tcPr>
            <w:tcW w:w="10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96,26</w:t>
            </w:r>
          </w:p>
        </w:tc>
      </w:tr>
      <w:tr w:rsidR="00445B8E" w:rsidRPr="00445B8E" w:rsidTr="009D0C61">
        <w:trPr>
          <w:trHeight w:val="255"/>
        </w:trPr>
        <w:tc>
          <w:tcPr>
            <w:tcW w:w="3483"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18"/>
                <w:szCs w:val="18"/>
              </w:rPr>
            </w:pPr>
            <w:r w:rsidRPr="00445B8E">
              <w:rPr>
                <w:rFonts w:ascii="Arial" w:hAnsi="Arial" w:cs="Arial"/>
                <w:sz w:val="18"/>
                <w:szCs w:val="18"/>
              </w:rPr>
              <w:t>Spolu</w:t>
            </w:r>
          </w:p>
        </w:tc>
        <w:tc>
          <w:tcPr>
            <w:tcW w:w="11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2 088 664</w:t>
            </w:r>
          </w:p>
        </w:tc>
        <w:tc>
          <w:tcPr>
            <w:tcW w:w="128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2 043 115</w:t>
            </w:r>
          </w:p>
        </w:tc>
        <w:tc>
          <w:tcPr>
            <w:tcW w:w="128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-45 549</w:t>
            </w:r>
          </w:p>
        </w:tc>
        <w:tc>
          <w:tcPr>
            <w:tcW w:w="10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right"/>
              <w:rPr>
                <w:rFonts w:ascii="Arial" w:hAnsi="Arial" w:cs="Arial"/>
                <w:sz w:val="18"/>
                <w:szCs w:val="18"/>
              </w:rPr>
            </w:pPr>
            <w:r w:rsidRPr="00445B8E">
              <w:rPr>
                <w:rFonts w:ascii="Arial" w:hAnsi="Arial" w:cs="Arial"/>
                <w:sz w:val="18"/>
                <w:szCs w:val="18"/>
              </w:rPr>
              <w:t>97,82</w:t>
            </w:r>
          </w:p>
        </w:tc>
      </w:tr>
    </w:tbl>
    <w:p w:rsidR="00445B8E" w:rsidRPr="00445B8E" w:rsidRDefault="00445B8E" w:rsidP="00445B8E">
      <w:pPr>
        <w:tabs>
          <w:tab w:val="decimal" w:pos="8280"/>
          <w:tab w:val="right" w:pos="8820"/>
          <w:tab w:val="right" w:pos="9000"/>
        </w:tabs>
        <w:spacing w:before="240"/>
        <w:ind w:firstLine="709"/>
        <w:jc w:val="both"/>
        <w:rPr>
          <w:rFonts w:ascii="Arial" w:hAnsi="Arial" w:cs="Arial"/>
          <w:szCs w:val="20"/>
        </w:rPr>
      </w:pPr>
    </w:p>
    <w:p w:rsidR="00445B8E" w:rsidRPr="00445B8E" w:rsidRDefault="00445B8E" w:rsidP="00445B8E">
      <w:pPr>
        <w:tabs>
          <w:tab w:val="decimal" w:pos="8280"/>
          <w:tab w:val="right" w:pos="8820"/>
          <w:tab w:val="right" w:pos="9000"/>
        </w:tabs>
        <w:spacing w:after="120"/>
        <w:ind w:firstLine="709"/>
        <w:jc w:val="both"/>
        <w:rPr>
          <w:rFonts w:ascii="Arial" w:hAnsi="Arial" w:cs="Arial"/>
          <w:b/>
          <w:szCs w:val="20"/>
        </w:rPr>
      </w:pPr>
      <w:r w:rsidRPr="00445B8E">
        <w:rPr>
          <w:rFonts w:ascii="Arial" w:hAnsi="Arial" w:cs="Arial"/>
          <w:szCs w:val="20"/>
        </w:rPr>
        <w:t xml:space="preserve">V príjmoch od EAO sú zahrnuté príjmy z poistného od zamestnancov, zamestnávateľov, samostatne zárobkovo činných osôb a dobrovoľne poistených osôb. Vyššie plnenie príjmov z bežného poistného je v základnom fonde poistenia v nezamestnanosti, čo súvisí najmä s vyšším počtom poistencov a vyšším vymeriavacím základom, ako sa predpokladalo v rozpočte. </w:t>
      </w:r>
    </w:p>
    <w:p w:rsidR="00445B8E" w:rsidRPr="00445B8E" w:rsidRDefault="00445B8E" w:rsidP="00445B8E">
      <w:pPr>
        <w:tabs>
          <w:tab w:val="left" w:pos="709"/>
          <w:tab w:val="decimal" w:pos="8280"/>
        </w:tabs>
        <w:spacing w:before="240" w:after="120"/>
        <w:jc w:val="both"/>
        <w:rPr>
          <w:rFonts w:ascii="Arial" w:hAnsi="Arial" w:cs="Arial"/>
        </w:rPr>
      </w:pPr>
      <w:r w:rsidRPr="00445B8E">
        <w:rPr>
          <w:rFonts w:ascii="Arial" w:hAnsi="Arial"/>
          <w:b/>
          <w:szCs w:val="20"/>
        </w:rPr>
        <w:t>1.1.</w:t>
      </w:r>
      <w:r w:rsidRPr="00445B8E">
        <w:rPr>
          <w:rFonts w:ascii="Arial" w:hAnsi="Arial"/>
          <w:b/>
          <w:szCs w:val="20"/>
        </w:rPr>
        <w:tab/>
        <w:t xml:space="preserve">Poistné štátu </w:t>
      </w:r>
      <w:r w:rsidRPr="00445B8E">
        <w:rPr>
          <w:rFonts w:ascii="Arial" w:hAnsi="Arial"/>
          <w:szCs w:val="20"/>
        </w:rPr>
        <w:t>(vrátane príjmov správneho fondu vo výške 0,5 % z príspevkov na SDS za sporiteľov štátu)</w:t>
      </w:r>
      <w:r w:rsidRPr="00445B8E">
        <w:rPr>
          <w:rFonts w:ascii="Arial" w:hAnsi="Arial"/>
          <w:b/>
          <w:szCs w:val="20"/>
        </w:rPr>
        <w:t xml:space="preserve"> </w:t>
      </w:r>
      <w:r w:rsidRPr="00445B8E">
        <w:rPr>
          <w:rFonts w:ascii="Arial" w:hAnsi="Arial"/>
          <w:szCs w:val="20"/>
        </w:rPr>
        <w:t xml:space="preserve">bolo vo výške </w:t>
      </w:r>
      <w:r w:rsidRPr="00445B8E">
        <w:rPr>
          <w:rFonts w:ascii="Arial" w:hAnsi="Arial"/>
          <w:szCs w:val="20"/>
        </w:rPr>
        <w:tab/>
      </w:r>
      <w:r w:rsidRPr="00445B8E">
        <w:rPr>
          <w:rFonts w:ascii="Arial" w:hAnsi="Arial"/>
          <w:b/>
          <w:szCs w:val="20"/>
        </w:rPr>
        <w:t xml:space="preserve">90 055 tis. Eur, </w:t>
      </w:r>
      <w:r w:rsidRPr="00445B8E">
        <w:rPr>
          <w:rFonts w:ascii="Arial" w:hAnsi="Arial"/>
          <w:b/>
          <w:szCs w:val="20"/>
        </w:rPr>
        <w:br/>
      </w:r>
      <w:r w:rsidRPr="00445B8E">
        <w:rPr>
          <w:rFonts w:ascii="Arial" w:hAnsi="Arial"/>
          <w:szCs w:val="20"/>
        </w:rPr>
        <w:t>čo je 53,52 %-né plnenie upraveného rozpočtu vo výške</w:t>
      </w:r>
      <w:r w:rsidRPr="00445B8E">
        <w:rPr>
          <w:rFonts w:ascii="Arial" w:hAnsi="Arial"/>
          <w:szCs w:val="20"/>
        </w:rPr>
        <w:tab/>
        <w:t>168 275 tis. Eur</w:t>
      </w:r>
      <w:r w:rsidRPr="00445B8E">
        <w:rPr>
          <w:rFonts w:ascii="Arial" w:hAnsi="Arial"/>
          <w:szCs w:val="20"/>
        </w:rPr>
        <w:br/>
        <w:t>a 112,74 %-né plnenie časového rozpisu vo výške</w:t>
      </w:r>
      <w:r w:rsidRPr="00445B8E">
        <w:rPr>
          <w:rFonts w:ascii="Arial" w:hAnsi="Arial"/>
          <w:szCs w:val="20"/>
        </w:rPr>
        <w:tab/>
        <w:t>79 880 tis. Eur.</w:t>
      </w:r>
    </w:p>
    <w:p w:rsidR="00445B8E" w:rsidRPr="00445B8E" w:rsidRDefault="00445B8E" w:rsidP="00445B8E">
      <w:pPr>
        <w:tabs>
          <w:tab w:val="left" w:pos="709"/>
          <w:tab w:val="left" w:pos="5025"/>
        </w:tabs>
        <w:spacing w:after="120"/>
        <w:ind w:firstLine="720"/>
        <w:rPr>
          <w:rFonts w:ascii="Arial" w:hAnsi="Arial"/>
        </w:rPr>
      </w:pPr>
      <w:r w:rsidRPr="00445B8E">
        <w:rPr>
          <w:rFonts w:ascii="Arial" w:hAnsi="Arial"/>
        </w:rPr>
        <w:t>Plnenie rozpočtu v tis. Eur:</w:t>
      </w:r>
    </w:p>
    <w:tbl>
      <w:tblPr>
        <w:tblW w:w="9360" w:type="dxa"/>
        <w:tblInd w:w="70" w:type="dxa"/>
        <w:tblCellMar>
          <w:left w:w="70" w:type="dxa"/>
          <w:right w:w="70" w:type="dxa"/>
        </w:tblCellMar>
        <w:tblLook w:val="0000" w:firstRow="0" w:lastRow="0" w:firstColumn="0" w:lastColumn="0" w:noHBand="0" w:noVBand="0"/>
      </w:tblPr>
      <w:tblGrid>
        <w:gridCol w:w="5580"/>
        <w:gridCol w:w="1440"/>
        <w:gridCol w:w="1080"/>
        <w:gridCol w:w="1260"/>
      </w:tblGrid>
      <w:tr w:rsidR="00445B8E" w:rsidRPr="00445B8E" w:rsidTr="009D0C61">
        <w:trPr>
          <w:trHeight w:val="238"/>
        </w:trPr>
        <w:tc>
          <w:tcPr>
            <w:tcW w:w="5580" w:type="dxa"/>
            <w:tcBorders>
              <w:top w:val="single" w:sz="8" w:space="0" w:color="auto"/>
              <w:left w:val="single" w:sz="8" w:space="0" w:color="auto"/>
              <w:bottom w:val="single" w:sz="8" w:space="0" w:color="auto"/>
              <w:right w:val="single" w:sz="8" w:space="0" w:color="auto"/>
            </w:tcBorders>
            <w:shd w:val="clear" w:color="auto" w:fill="auto"/>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xml:space="preserve">Ukazovateľ </w:t>
            </w:r>
          </w:p>
        </w:tc>
        <w:tc>
          <w:tcPr>
            <w:tcW w:w="1440" w:type="dxa"/>
            <w:tcBorders>
              <w:top w:val="single" w:sz="8" w:space="0" w:color="auto"/>
              <w:left w:val="nil"/>
              <w:bottom w:val="single" w:sz="8" w:space="0" w:color="auto"/>
              <w:right w:val="single" w:sz="8" w:space="0" w:color="auto"/>
            </w:tcBorders>
            <w:shd w:val="clear" w:color="auto" w:fill="auto"/>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Časový rozpis</w:t>
            </w:r>
          </w:p>
        </w:tc>
        <w:tc>
          <w:tcPr>
            <w:tcW w:w="1080" w:type="dxa"/>
            <w:tcBorders>
              <w:top w:val="single" w:sz="8" w:space="0" w:color="auto"/>
              <w:left w:val="nil"/>
              <w:bottom w:val="single" w:sz="8" w:space="0" w:color="auto"/>
              <w:right w:val="single" w:sz="8" w:space="0" w:color="auto"/>
            </w:tcBorders>
            <w:shd w:val="clear" w:color="auto" w:fill="auto"/>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Skutočnosť</w:t>
            </w:r>
          </w:p>
        </w:tc>
        <w:tc>
          <w:tcPr>
            <w:tcW w:w="1260" w:type="dxa"/>
            <w:tcBorders>
              <w:top w:val="single" w:sz="8" w:space="0" w:color="auto"/>
              <w:left w:val="nil"/>
              <w:bottom w:val="single" w:sz="8" w:space="0" w:color="auto"/>
              <w:right w:val="single" w:sz="8" w:space="0" w:color="auto"/>
            </w:tcBorders>
            <w:shd w:val="clear" w:color="auto" w:fill="auto"/>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xml:space="preserve">Rozdiel (2-1) </w:t>
            </w:r>
          </w:p>
        </w:tc>
      </w:tr>
      <w:tr w:rsidR="00445B8E" w:rsidRPr="00445B8E" w:rsidTr="009D0C61">
        <w:trPr>
          <w:trHeight w:val="238"/>
        </w:trPr>
        <w:tc>
          <w:tcPr>
            <w:tcW w:w="5580" w:type="dxa"/>
            <w:tcBorders>
              <w:top w:val="nil"/>
              <w:left w:val="single" w:sz="8" w:space="0" w:color="auto"/>
              <w:bottom w:val="single" w:sz="8" w:space="0" w:color="auto"/>
              <w:right w:val="single" w:sz="8" w:space="0" w:color="000000"/>
            </w:tcBorders>
            <w:shd w:val="clear" w:color="auto" w:fill="auto"/>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a</w:t>
            </w:r>
          </w:p>
        </w:tc>
        <w:tc>
          <w:tcPr>
            <w:tcW w:w="144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1</w:t>
            </w:r>
          </w:p>
        </w:tc>
        <w:tc>
          <w:tcPr>
            <w:tcW w:w="108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2</w:t>
            </w:r>
          </w:p>
        </w:tc>
        <w:tc>
          <w:tcPr>
            <w:tcW w:w="126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3</w:t>
            </w:r>
          </w:p>
        </w:tc>
      </w:tr>
      <w:tr w:rsidR="00445B8E" w:rsidRPr="00445B8E" w:rsidTr="009D0C61">
        <w:trPr>
          <w:trHeight w:val="238"/>
        </w:trPr>
        <w:tc>
          <w:tcPr>
            <w:tcW w:w="5580" w:type="dxa"/>
            <w:tcBorders>
              <w:top w:val="nil"/>
              <w:left w:val="single" w:sz="8" w:space="0" w:color="auto"/>
              <w:bottom w:val="single" w:sz="8" w:space="0" w:color="auto"/>
              <w:right w:val="single" w:sz="8" w:space="0" w:color="auto"/>
            </w:tcBorders>
            <w:shd w:val="clear" w:color="auto" w:fill="auto"/>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Starobné poistenie</w:t>
            </w:r>
          </w:p>
        </w:tc>
        <w:tc>
          <w:tcPr>
            <w:tcW w:w="144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highlight w:val="yellow"/>
              </w:rPr>
            </w:pPr>
            <w:r w:rsidRPr="00445B8E">
              <w:rPr>
                <w:rFonts w:ascii="Arial" w:hAnsi="Arial" w:cs="Arial"/>
                <w:sz w:val="18"/>
                <w:szCs w:val="18"/>
              </w:rPr>
              <w:t>46 273</w:t>
            </w:r>
          </w:p>
        </w:tc>
        <w:tc>
          <w:tcPr>
            <w:tcW w:w="108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54 015</w:t>
            </w:r>
          </w:p>
        </w:tc>
        <w:tc>
          <w:tcPr>
            <w:tcW w:w="126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7 742</w:t>
            </w:r>
          </w:p>
        </w:tc>
      </w:tr>
      <w:tr w:rsidR="00445B8E" w:rsidRPr="00445B8E" w:rsidTr="009D0C61">
        <w:trPr>
          <w:trHeight w:val="238"/>
        </w:trPr>
        <w:tc>
          <w:tcPr>
            <w:tcW w:w="5580" w:type="dxa"/>
            <w:tcBorders>
              <w:top w:val="nil"/>
              <w:left w:val="single" w:sz="8" w:space="0" w:color="auto"/>
              <w:bottom w:val="single" w:sz="8" w:space="0" w:color="auto"/>
              <w:right w:val="single" w:sz="8" w:space="0" w:color="auto"/>
            </w:tcBorders>
            <w:shd w:val="clear" w:color="auto" w:fill="auto"/>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Invalidné poistenie</w:t>
            </w:r>
          </w:p>
        </w:tc>
        <w:tc>
          <w:tcPr>
            <w:tcW w:w="144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highlight w:val="yellow"/>
              </w:rPr>
            </w:pPr>
            <w:r w:rsidRPr="00445B8E">
              <w:rPr>
                <w:rFonts w:ascii="Arial" w:hAnsi="Arial" w:cs="Arial"/>
                <w:sz w:val="18"/>
                <w:szCs w:val="18"/>
              </w:rPr>
              <w:t>25 123</w:t>
            </w:r>
          </w:p>
        </w:tc>
        <w:tc>
          <w:tcPr>
            <w:tcW w:w="108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27 012</w:t>
            </w:r>
          </w:p>
        </w:tc>
        <w:tc>
          <w:tcPr>
            <w:tcW w:w="126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1 889</w:t>
            </w:r>
          </w:p>
        </w:tc>
      </w:tr>
      <w:tr w:rsidR="00445B8E" w:rsidRPr="00445B8E" w:rsidTr="009D0C61">
        <w:trPr>
          <w:trHeight w:val="238"/>
        </w:trPr>
        <w:tc>
          <w:tcPr>
            <w:tcW w:w="5580" w:type="dxa"/>
            <w:tcBorders>
              <w:top w:val="nil"/>
              <w:left w:val="single" w:sz="8" w:space="0" w:color="auto"/>
              <w:bottom w:val="single" w:sz="8" w:space="0" w:color="auto"/>
              <w:right w:val="single" w:sz="8" w:space="0" w:color="auto"/>
            </w:tcBorders>
            <w:shd w:val="clear" w:color="auto" w:fill="auto"/>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Rezervný fond solidarity</w:t>
            </w:r>
          </w:p>
        </w:tc>
        <w:tc>
          <w:tcPr>
            <w:tcW w:w="144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highlight w:val="yellow"/>
              </w:rPr>
            </w:pPr>
            <w:r w:rsidRPr="00445B8E">
              <w:rPr>
                <w:rFonts w:ascii="Arial" w:hAnsi="Arial" w:cs="Arial"/>
                <w:sz w:val="18"/>
                <w:szCs w:val="18"/>
              </w:rPr>
              <w:t>8 338</w:t>
            </w:r>
          </w:p>
        </w:tc>
        <w:tc>
          <w:tcPr>
            <w:tcW w:w="108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8 887</w:t>
            </w:r>
          </w:p>
        </w:tc>
        <w:tc>
          <w:tcPr>
            <w:tcW w:w="126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549</w:t>
            </w:r>
          </w:p>
        </w:tc>
      </w:tr>
      <w:tr w:rsidR="00445B8E" w:rsidRPr="00445B8E" w:rsidTr="009D0C61">
        <w:trPr>
          <w:trHeight w:val="238"/>
        </w:trPr>
        <w:tc>
          <w:tcPr>
            <w:tcW w:w="5580" w:type="dxa"/>
            <w:tcBorders>
              <w:top w:val="nil"/>
              <w:left w:val="single" w:sz="8" w:space="0" w:color="auto"/>
              <w:bottom w:val="single" w:sz="8" w:space="0" w:color="auto"/>
              <w:right w:val="single" w:sz="8" w:space="0" w:color="auto"/>
            </w:tcBorders>
            <w:shd w:val="clear" w:color="auto" w:fill="auto"/>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Príjmy správneho fondu  z príspevkov na SDS za poistencov štátu</w:t>
            </w:r>
          </w:p>
        </w:tc>
        <w:tc>
          <w:tcPr>
            <w:tcW w:w="144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highlight w:val="yellow"/>
              </w:rPr>
            </w:pPr>
            <w:r w:rsidRPr="00445B8E">
              <w:rPr>
                <w:rFonts w:ascii="Arial" w:hAnsi="Arial" w:cs="Arial"/>
                <w:sz w:val="18"/>
                <w:szCs w:val="18"/>
              </w:rPr>
              <w:t>146</w:t>
            </w:r>
          </w:p>
        </w:tc>
        <w:tc>
          <w:tcPr>
            <w:tcW w:w="108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141</w:t>
            </w:r>
          </w:p>
        </w:tc>
        <w:tc>
          <w:tcPr>
            <w:tcW w:w="126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-5</w:t>
            </w:r>
          </w:p>
        </w:tc>
      </w:tr>
      <w:tr w:rsidR="00445B8E" w:rsidRPr="00445B8E" w:rsidTr="009D0C61">
        <w:trPr>
          <w:trHeight w:val="238"/>
        </w:trPr>
        <w:tc>
          <w:tcPr>
            <w:tcW w:w="5580" w:type="dxa"/>
            <w:tcBorders>
              <w:top w:val="nil"/>
              <w:left w:val="single" w:sz="8" w:space="0" w:color="auto"/>
              <w:bottom w:val="single" w:sz="8" w:space="0" w:color="auto"/>
              <w:right w:val="single" w:sz="8" w:space="0" w:color="auto"/>
            </w:tcBorders>
            <w:shd w:val="clear" w:color="auto" w:fill="auto"/>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Spolu</w:t>
            </w:r>
          </w:p>
        </w:tc>
        <w:tc>
          <w:tcPr>
            <w:tcW w:w="144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highlight w:val="yellow"/>
              </w:rPr>
            </w:pPr>
            <w:r w:rsidRPr="00445B8E">
              <w:rPr>
                <w:rFonts w:ascii="Arial" w:hAnsi="Arial" w:cs="Arial"/>
                <w:sz w:val="18"/>
                <w:szCs w:val="18"/>
              </w:rPr>
              <w:t>79 880</w:t>
            </w:r>
          </w:p>
        </w:tc>
        <w:tc>
          <w:tcPr>
            <w:tcW w:w="108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highlight w:val="yellow"/>
              </w:rPr>
            </w:pPr>
            <w:r w:rsidRPr="00445B8E">
              <w:rPr>
                <w:rFonts w:ascii="Arial" w:hAnsi="Arial" w:cs="Arial"/>
                <w:sz w:val="18"/>
                <w:szCs w:val="18"/>
              </w:rPr>
              <w:t>90 055</w:t>
            </w:r>
          </w:p>
        </w:tc>
        <w:tc>
          <w:tcPr>
            <w:tcW w:w="1260" w:type="dxa"/>
            <w:tcBorders>
              <w:top w:val="nil"/>
              <w:left w:val="nil"/>
              <w:bottom w:val="single" w:sz="8" w:space="0" w:color="auto"/>
              <w:right w:val="single" w:sz="8" w:space="0" w:color="auto"/>
            </w:tcBorders>
            <w:shd w:val="clear" w:color="auto" w:fill="auto"/>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10 175</w:t>
            </w:r>
          </w:p>
        </w:tc>
      </w:tr>
    </w:tbl>
    <w:p w:rsidR="00445B8E" w:rsidRPr="00445B8E" w:rsidRDefault="00445B8E" w:rsidP="00445B8E">
      <w:pPr>
        <w:tabs>
          <w:tab w:val="left" w:pos="6840"/>
        </w:tabs>
        <w:spacing w:before="120" w:after="120"/>
        <w:ind w:firstLine="720"/>
        <w:jc w:val="both"/>
        <w:rPr>
          <w:rFonts w:ascii="Arial" w:hAnsi="Arial"/>
          <w:szCs w:val="20"/>
        </w:rPr>
      </w:pPr>
      <w:r w:rsidRPr="00445B8E">
        <w:rPr>
          <w:rFonts w:ascii="Arial" w:hAnsi="Arial"/>
          <w:szCs w:val="20"/>
        </w:rPr>
        <w:t>Príjmy z poistného plateného štátom predstavujú finančné prostriedky, ktoré v hodnotenom období poukázalo Ministerstvo práce, sociálnych vecí a rodiny SR (MPSVR SR), znížené o  príspevky na SDS, ktoré Sociálna poisťovňa poukázala na príslušné účty DSS.</w:t>
      </w:r>
    </w:p>
    <w:p w:rsidR="00445B8E" w:rsidRPr="00445B8E" w:rsidRDefault="00445B8E" w:rsidP="00445B8E">
      <w:pPr>
        <w:tabs>
          <w:tab w:val="left" w:pos="720"/>
          <w:tab w:val="decimal" w:pos="8280"/>
        </w:tabs>
        <w:spacing w:after="120"/>
        <w:rPr>
          <w:rFonts w:ascii="Arial" w:hAnsi="Arial"/>
          <w:szCs w:val="20"/>
        </w:rPr>
      </w:pPr>
      <w:r w:rsidRPr="00445B8E">
        <w:rPr>
          <w:rFonts w:ascii="Arial" w:hAnsi="Arial"/>
          <w:b/>
          <w:szCs w:val="20"/>
        </w:rPr>
        <w:t>1.2.</w:t>
      </w:r>
      <w:r w:rsidRPr="00445B8E">
        <w:rPr>
          <w:rFonts w:ascii="Arial" w:hAnsi="Arial"/>
          <w:b/>
          <w:szCs w:val="20"/>
        </w:rPr>
        <w:tab/>
        <w:t xml:space="preserve">Sociálna poisťovňa </w:t>
      </w:r>
      <w:r w:rsidRPr="00445B8E">
        <w:rPr>
          <w:rFonts w:ascii="Arial" w:hAnsi="Arial"/>
          <w:szCs w:val="20"/>
        </w:rPr>
        <w:t xml:space="preserve">zaplatila poistné v sume </w:t>
      </w:r>
      <w:r w:rsidRPr="00445B8E">
        <w:rPr>
          <w:rFonts w:ascii="Arial" w:hAnsi="Arial"/>
          <w:szCs w:val="20"/>
        </w:rPr>
        <w:tab/>
        <w:t xml:space="preserve">    </w:t>
      </w:r>
      <w:r w:rsidRPr="00445B8E">
        <w:rPr>
          <w:rFonts w:ascii="Arial" w:hAnsi="Arial"/>
          <w:b/>
          <w:szCs w:val="20"/>
        </w:rPr>
        <w:t>962 tis. Eur,</w:t>
      </w:r>
      <w:r w:rsidRPr="00445B8E">
        <w:rPr>
          <w:rFonts w:ascii="Arial" w:hAnsi="Arial"/>
          <w:szCs w:val="20"/>
        </w:rPr>
        <w:br/>
        <w:t>čo je 50,95 %-né plnenie upraveného rozpočtu v sume</w:t>
      </w:r>
      <w:r w:rsidRPr="00445B8E">
        <w:rPr>
          <w:rFonts w:ascii="Arial" w:hAnsi="Arial"/>
          <w:szCs w:val="20"/>
        </w:rPr>
        <w:tab/>
        <w:t>1 888 tis. Eur</w:t>
      </w:r>
      <w:r w:rsidRPr="00445B8E">
        <w:rPr>
          <w:rFonts w:ascii="Arial" w:hAnsi="Arial"/>
          <w:szCs w:val="20"/>
        </w:rPr>
        <w:br/>
      </w:r>
      <w:r w:rsidRPr="00445B8E">
        <w:rPr>
          <w:rFonts w:ascii="Arial" w:hAnsi="Arial" w:cs="Arial"/>
        </w:rPr>
        <w:t>a 101,91 %-né plnenie časového rozpisu v sume</w:t>
      </w:r>
      <w:r w:rsidRPr="00445B8E">
        <w:rPr>
          <w:rFonts w:ascii="Arial" w:hAnsi="Arial" w:cs="Arial"/>
        </w:rPr>
        <w:tab/>
        <w:t>944 tis. Eur</w:t>
      </w:r>
      <w:r w:rsidRPr="00445B8E">
        <w:rPr>
          <w:rFonts w:ascii="Arial" w:hAnsi="Arial"/>
          <w:szCs w:val="20"/>
        </w:rPr>
        <w:t>.</w:t>
      </w:r>
    </w:p>
    <w:p w:rsidR="00445B8E" w:rsidRPr="00445B8E" w:rsidRDefault="00445B8E" w:rsidP="00445B8E">
      <w:pPr>
        <w:tabs>
          <w:tab w:val="left" w:pos="709"/>
          <w:tab w:val="decimal" w:pos="8280"/>
        </w:tabs>
        <w:ind w:firstLine="720"/>
        <w:jc w:val="both"/>
        <w:rPr>
          <w:rFonts w:ascii="Arial" w:hAnsi="Arial"/>
          <w:szCs w:val="20"/>
        </w:rPr>
      </w:pPr>
      <w:r w:rsidRPr="00445B8E">
        <w:rPr>
          <w:rFonts w:ascii="Arial" w:hAnsi="Arial"/>
          <w:szCs w:val="20"/>
        </w:rPr>
        <w:t>V uvedenej sume je zahrnuté:</w:t>
      </w:r>
    </w:p>
    <w:p w:rsidR="00445B8E" w:rsidRPr="00445B8E" w:rsidRDefault="00445B8E" w:rsidP="00445B8E">
      <w:pPr>
        <w:numPr>
          <w:ilvl w:val="0"/>
          <w:numId w:val="12"/>
        </w:numPr>
        <w:tabs>
          <w:tab w:val="decimal" w:pos="8280"/>
        </w:tabs>
        <w:spacing w:line="276" w:lineRule="auto"/>
        <w:ind w:hanging="720"/>
        <w:rPr>
          <w:rFonts w:ascii="Arial" w:hAnsi="Arial"/>
          <w:szCs w:val="20"/>
        </w:rPr>
      </w:pPr>
      <w:r w:rsidRPr="00445B8E">
        <w:rPr>
          <w:rFonts w:ascii="Arial" w:hAnsi="Arial"/>
          <w:szCs w:val="20"/>
        </w:rPr>
        <w:t xml:space="preserve">poistné zo základného fondu úrazového poistenia do základného </w:t>
      </w:r>
      <w:r w:rsidRPr="00445B8E">
        <w:rPr>
          <w:rFonts w:ascii="Arial" w:hAnsi="Arial"/>
          <w:szCs w:val="20"/>
        </w:rPr>
        <w:br/>
        <w:t>fondu starobného poistenia vo výške</w:t>
      </w:r>
      <w:r w:rsidRPr="00445B8E">
        <w:rPr>
          <w:rFonts w:ascii="Arial" w:hAnsi="Arial"/>
          <w:szCs w:val="20"/>
        </w:rPr>
        <w:tab/>
        <w:t>966 tis. Eur,</w:t>
      </w:r>
    </w:p>
    <w:p w:rsidR="00445B8E" w:rsidRPr="00445B8E" w:rsidRDefault="00445B8E" w:rsidP="00445B8E">
      <w:pPr>
        <w:numPr>
          <w:ilvl w:val="0"/>
          <w:numId w:val="12"/>
        </w:numPr>
        <w:tabs>
          <w:tab w:val="decimal" w:pos="8280"/>
        </w:tabs>
        <w:spacing w:line="276" w:lineRule="auto"/>
        <w:ind w:hanging="720"/>
        <w:rPr>
          <w:rFonts w:ascii="Arial" w:hAnsi="Arial"/>
          <w:szCs w:val="20"/>
        </w:rPr>
      </w:pPr>
      <w:r w:rsidRPr="00445B8E">
        <w:rPr>
          <w:rFonts w:ascii="Arial" w:hAnsi="Arial"/>
          <w:szCs w:val="20"/>
        </w:rPr>
        <w:t xml:space="preserve">zúčtovanie poistného od Sociálnej poisťovne za minulé obdobia </w:t>
      </w:r>
      <w:r w:rsidRPr="00445B8E">
        <w:rPr>
          <w:rFonts w:ascii="Arial" w:hAnsi="Arial"/>
          <w:szCs w:val="20"/>
        </w:rPr>
        <w:br/>
        <w:t>vo výške</w:t>
      </w:r>
      <w:r w:rsidRPr="00445B8E">
        <w:rPr>
          <w:rFonts w:ascii="Arial" w:hAnsi="Arial"/>
          <w:szCs w:val="20"/>
        </w:rPr>
        <w:tab/>
        <w:t>-4 tis. Eur.</w:t>
      </w:r>
    </w:p>
    <w:p w:rsidR="00445B8E" w:rsidRPr="00445B8E" w:rsidRDefault="00445B8E" w:rsidP="00445B8E">
      <w:pPr>
        <w:tabs>
          <w:tab w:val="left" w:pos="709"/>
          <w:tab w:val="decimal" w:pos="8280"/>
        </w:tabs>
        <w:spacing w:before="240" w:after="120"/>
        <w:ind w:firstLine="720"/>
        <w:jc w:val="both"/>
        <w:rPr>
          <w:rFonts w:ascii="Arial" w:hAnsi="Arial" w:cs="Arial"/>
          <w:i/>
          <w:szCs w:val="20"/>
        </w:rPr>
      </w:pPr>
      <w:r w:rsidRPr="00445B8E">
        <w:rPr>
          <w:rFonts w:ascii="Arial" w:hAnsi="Arial" w:cs="Arial"/>
          <w:b/>
          <w:szCs w:val="20"/>
        </w:rPr>
        <w:t>Ukazovateľ úspešnosti výberu poistného a príspevkov na SDS</w:t>
      </w:r>
      <w:r w:rsidRPr="00445B8E">
        <w:rPr>
          <w:rFonts w:ascii="Arial" w:hAnsi="Arial" w:cs="Arial"/>
          <w:szCs w:val="20"/>
        </w:rPr>
        <w:t xml:space="preserve"> (ďalej len "úspešnosť výberu poistného") vyjadruje platobnú disciplínu odvádzateľov </w:t>
      </w:r>
      <w:r w:rsidRPr="00445B8E">
        <w:rPr>
          <w:rFonts w:ascii="Arial" w:hAnsi="Arial" w:cs="Arial"/>
          <w:szCs w:val="20"/>
        </w:rPr>
        <w:lastRenderedPageBreak/>
        <w:t xml:space="preserve">(právnických a fyzických osôb) voči Sociálnej poisťovni, ako aj úroveň vzájomnej komunikácie odvádzateľov poistného a pobočiek Sociálnej poisťovne (ďalej len „pobočky“), vrátane kvality práce pobočiek s pohľadávkami súvisiacimi s nezaplateným poistným. </w:t>
      </w:r>
      <w:r w:rsidRPr="00445B8E">
        <w:rPr>
          <w:rFonts w:ascii="Arial" w:hAnsi="Arial" w:cs="Arial"/>
          <w:b/>
          <w:szCs w:val="20"/>
        </w:rPr>
        <w:t xml:space="preserve">Ukazovateľ úspešnosti výberu poistného </w:t>
      </w:r>
      <w:r w:rsidRPr="00445B8E">
        <w:rPr>
          <w:rFonts w:ascii="Arial" w:hAnsi="Arial" w:cs="Arial"/>
          <w:szCs w:val="20"/>
        </w:rPr>
        <w:t>je stanovený ako pomer uhradeného predpísaného poistného a príspevkov na SDS, pokút a penále a ich predpisu. V období január až jún 2011 je jeho hodnota 105,22 %.</w:t>
      </w:r>
      <w:r w:rsidRPr="00445B8E">
        <w:rPr>
          <w:rFonts w:ascii="Arial" w:hAnsi="Arial" w:cs="Arial"/>
          <w:i/>
          <w:szCs w:val="20"/>
        </w:rPr>
        <w:t xml:space="preserve"> </w:t>
      </w:r>
    </w:p>
    <w:p w:rsidR="00445B8E" w:rsidRPr="00445B8E" w:rsidRDefault="00445B8E" w:rsidP="00445B8E">
      <w:pPr>
        <w:tabs>
          <w:tab w:val="left" w:pos="720"/>
          <w:tab w:val="decimal" w:pos="8280"/>
        </w:tabs>
        <w:spacing w:before="240" w:after="120"/>
        <w:rPr>
          <w:rFonts w:ascii="Arial" w:hAnsi="Arial" w:cs="Arial"/>
        </w:rPr>
      </w:pPr>
      <w:r w:rsidRPr="00445B8E">
        <w:rPr>
          <w:rFonts w:ascii="Arial" w:hAnsi="Arial" w:cs="Arial"/>
          <w:b/>
        </w:rPr>
        <w:t xml:space="preserve">1.3. </w:t>
      </w:r>
      <w:r w:rsidRPr="00445B8E">
        <w:rPr>
          <w:rFonts w:ascii="Arial" w:hAnsi="Arial" w:cs="Arial"/>
          <w:b/>
        </w:rPr>
        <w:tab/>
        <w:t xml:space="preserve">Ostatné príjmy </w:t>
      </w:r>
      <w:r w:rsidRPr="00445B8E">
        <w:rPr>
          <w:rFonts w:ascii="Arial" w:hAnsi="Arial" w:cs="Arial"/>
        </w:rPr>
        <w:t xml:space="preserve">(vrátane prostriedkov zo ŠR SR) dosiahli </w:t>
      </w:r>
      <w:r w:rsidRPr="00445B8E">
        <w:rPr>
          <w:rFonts w:ascii="Arial" w:hAnsi="Arial" w:cs="Arial"/>
        </w:rPr>
        <w:br/>
        <w:t xml:space="preserve">výšku </w:t>
      </w:r>
      <w:r w:rsidRPr="00445B8E">
        <w:rPr>
          <w:rFonts w:ascii="Arial" w:hAnsi="Arial" w:cs="Arial"/>
        </w:rPr>
        <w:tab/>
      </w:r>
      <w:r w:rsidRPr="00445B8E">
        <w:rPr>
          <w:rFonts w:ascii="Arial" w:hAnsi="Arial" w:cs="Arial"/>
        </w:rPr>
        <w:tab/>
      </w:r>
      <w:r w:rsidRPr="00445B8E">
        <w:rPr>
          <w:rFonts w:ascii="Arial" w:hAnsi="Arial" w:cs="Arial"/>
          <w:b/>
        </w:rPr>
        <w:t>810 150 tis. Eur</w:t>
      </w:r>
      <w:r w:rsidRPr="00445B8E">
        <w:rPr>
          <w:rFonts w:ascii="Arial" w:hAnsi="Arial" w:cs="Arial"/>
          <w:b/>
        </w:rPr>
        <w:br/>
      </w:r>
      <w:r w:rsidRPr="00445B8E">
        <w:rPr>
          <w:rFonts w:ascii="Arial" w:hAnsi="Arial" w:cs="Arial"/>
        </w:rPr>
        <w:t>čo je 50,03 %- né plnenie upraveného rozpočtu vo výške</w:t>
      </w:r>
      <w:r w:rsidRPr="00445B8E">
        <w:rPr>
          <w:rFonts w:ascii="Arial" w:hAnsi="Arial" w:cs="Arial"/>
        </w:rPr>
        <w:tab/>
        <w:t>1 619 455 tis. Eur</w:t>
      </w:r>
      <w:r w:rsidRPr="00445B8E">
        <w:rPr>
          <w:rFonts w:ascii="Arial" w:hAnsi="Arial" w:cs="Arial"/>
        </w:rPr>
        <w:br/>
        <w:t>a 100,08 %- né plnenie časového rozpisu vo výške</w:t>
      </w:r>
      <w:r w:rsidRPr="00445B8E">
        <w:rPr>
          <w:rFonts w:ascii="Arial" w:hAnsi="Arial" w:cs="Arial"/>
        </w:rPr>
        <w:tab/>
        <w:t>809 519 tis. Eur.</w:t>
      </w:r>
    </w:p>
    <w:p w:rsidR="00445B8E" w:rsidRPr="00445B8E" w:rsidRDefault="00445B8E" w:rsidP="00445B8E">
      <w:pPr>
        <w:tabs>
          <w:tab w:val="right" w:pos="9000"/>
        </w:tabs>
        <w:spacing w:before="240"/>
        <w:ind w:firstLine="720"/>
        <w:jc w:val="both"/>
        <w:rPr>
          <w:rFonts w:ascii="Arial" w:hAnsi="Arial" w:cs="Arial"/>
        </w:rPr>
      </w:pPr>
      <w:r w:rsidRPr="00445B8E">
        <w:rPr>
          <w:rFonts w:ascii="Arial" w:hAnsi="Arial" w:cs="Arial"/>
        </w:rPr>
        <w:t>Na celkovej výške ostatných príjmov sa, okrem príjmov zo ŠR SR vo výške 804 367 tis. Eur (do základného fondu starobného poistenia vo výške 760 579 tis. Eur na krytie deficitov vzniknutých v dôsledku zavedenia II. piliera a ako finančná výpomoc z dôvodu platobnej neschopnosti základného fondu starobného poistenia v zmysle § 157 ods. 4 zákona o sociálnom poistení a do rezervného fondu solidarity vo výške 43 788 tis. Eur v zmysle § 293bg zákona o sociálnom poistení), podieľajú:</w:t>
      </w:r>
    </w:p>
    <w:p w:rsidR="00445B8E" w:rsidRPr="00445B8E" w:rsidRDefault="00445B8E" w:rsidP="00445B8E">
      <w:pPr>
        <w:numPr>
          <w:ilvl w:val="0"/>
          <w:numId w:val="9"/>
        </w:numPr>
        <w:tabs>
          <w:tab w:val="num" w:pos="720"/>
          <w:tab w:val="decimal" w:pos="8280"/>
        </w:tabs>
        <w:ind w:left="0" w:firstLine="0"/>
        <w:jc w:val="both"/>
        <w:rPr>
          <w:rFonts w:ascii="Arial" w:hAnsi="Arial" w:cs="Arial"/>
        </w:rPr>
      </w:pPr>
      <w:r w:rsidRPr="00445B8E">
        <w:rPr>
          <w:rFonts w:ascii="Arial" w:hAnsi="Arial" w:cs="Arial"/>
        </w:rPr>
        <w:t>príjmy z úrokov na bežných účtoch a termínovaných vkladoch</w:t>
      </w:r>
      <w:r w:rsidRPr="00445B8E">
        <w:rPr>
          <w:rFonts w:ascii="Arial" w:hAnsi="Arial" w:cs="Arial"/>
        </w:rPr>
        <w:tab/>
        <w:t>1 250 tis. Eur,</w:t>
      </w:r>
    </w:p>
    <w:p w:rsidR="00445B8E" w:rsidRPr="00445B8E" w:rsidRDefault="00445B8E" w:rsidP="00445B8E">
      <w:pPr>
        <w:numPr>
          <w:ilvl w:val="0"/>
          <w:numId w:val="9"/>
        </w:numPr>
        <w:tabs>
          <w:tab w:val="num" w:pos="720"/>
          <w:tab w:val="decimal" w:pos="8280"/>
        </w:tabs>
        <w:ind w:left="0" w:firstLine="0"/>
        <w:jc w:val="both"/>
        <w:rPr>
          <w:rFonts w:ascii="Arial" w:hAnsi="Arial" w:cs="Arial"/>
        </w:rPr>
      </w:pPr>
      <w:r w:rsidRPr="00445B8E">
        <w:rPr>
          <w:rFonts w:ascii="Arial" w:hAnsi="Arial" w:cs="Arial"/>
        </w:rPr>
        <w:t>príjmy z majetku Sociálnej poisťovne (najmä z prenájmu)</w:t>
      </w:r>
      <w:r w:rsidRPr="00445B8E">
        <w:rPr>
          <w:rFonts w:ascii="Arial" w:hAnsi="Arial" w:cs="Arial"/>
        </w:rPr>
        <w:tab/>
        <w:t>528 tis. Eur,</w:t>
      </w:r>
    </w:p>
    <w:p w:rsidR="00445B8E" w:rsidRPr="00445B8E" w:rsidRDefault="00445B8E" w:rsidP="00445B8E">
      <w:pPr>
        <w:numPr>
          <w:ilvl w:val="0"/>
          <w:numId w:val="9"/>
        </w:numPr>
        <w:tabs>
          <w:tab w:val="num" w:pos="720"/>
          <w:tab w:val="decimal" w:pos="8280"/>
        </w:tabs>
        <w:ind w:left="0" w:firstLine="0"/>
        <w:jc w:val="both"/>
        <w:rPr>
          <w:rFonts w:ascii="Arial" w:hAnsi="Arial" w:cs="Arial"/>
        </w:rPr>
      </w:pPr>
      <w:r w:rsidRPr="00445B8E">
        <w:rPr>
          <w:rFonts w:ascii="Arial" w:hAnsi="Arial" w:cs="Arial"/>
        </w:rPr>
        <w:t>príjmy z úhrad preplatkov na dávkach a regresných náhrad</w:t>
      </w:r>
      <w:r w:rsidRPr="00445B8E">
        <w:rPr>
          <w:rFonts w:ascii="Arial" w:hAnsi="Arial" w:cs="Arial"/>
        </w:rPr>
        <w:tab/>
        <w:t>2 917 tis. Eur,</w:t>
      </w:r>
    </w:p>
    <w:p w:rsidR="00445B8E" w:rsidRPr="00445B8E" w:rsidRDefault="00445B8E" w:rsidP="00445B8E">
      <w:pPr>
        <w:numPr>
          <w:ilvl w:val="0"/>
          <w:numId w:val="9"/>
        </w:numPr>
        <w:tabs>
          <w:tab w:val="num" w:pos="720"/>
          <w:tab w:val="decimal" w:pos="8280"/>
        </w:tabs>
        <w:ind w:left="0" w:firstLine="0"/>
        <w:jc w:val="both"/>
        <w:rPr>
          <w:rFonts w:ascii="Arial" w:hAnsi="Arial" w:cs="Arial"/>
        </w:rPr>
      </w:pPr>
      <w:r w:rsidRPr="00445B8E">
        <w:rPr>
          <w:rFonts w:ascii="Arial" w:hAnsi="Arial" w:cs="Arial"/>
        </w:rPr>
        <w:t>príjmy z úhrad preplatkov na zaniknutých dôchodkoch</w:t>
      </w:r>
      <w:r w:rsidRPr="00445B8E">
        <w:rPr>
          <w:rFonts w:ascii="Arial" w:hAnsi="Arial" w:cs="Arial"/>
        </w:rPr>
        <w:tab/>
        <w:t>117 tis. Eur,</w:t>
      </w:r>
    </w:p>
    <w:p w:rsidR="00445B8E" w:rsidRPr="00445B8E" w:rsidRDefault="00445B8E" w:rsidP="00445B8E">
      <w:pPr>
        <w:numPr>
          <w:ilvl w:val="0"/>
          <w:numId w:val="9"/>
        </w:numPr>
        <w:tabs>
          <w:tab w:val="num" w:pos="720"/>
          <w:tab w:val="decimal" w:pos="8280"/>
        </w:tabs>
        <w:spacing w:after="120"/>
        <w:ind w:left="0" w:firstLine="0"/>
        <w:jc w:val="both"/>
        <w:rPr>
          <w:rFonts w:ascii="Arial" w:hAnsi="Arial" w:cs="Arial"/>
        </w:rPr>
      </w:pPr>
      <w:r w:rsidRPr="00445B8E">
        <w:rPr>
          <w:rFonts w:ascii="Arial" w:hAnsi="Arial" w:cs="Arial"/>
        </w:rPr>
        <w:t>príjmy z úhrad administratívnych preplatkov a iné</w:t>
      </w:r>
      <w:r w:rsidRPr="00445B8E">
        <w:rPr>
          <w:rFonts w:ascii="Arial" w:hAnsi="Arial" w:cs="Arial"/>
        </w:rPr>
        <w:tab/>
        <w:t>971 tis. Eur.</w:t>
      </w:r>
    </w:p>
    <w:p w:rsidR="00445B8E" w:rsidRPr="00445B8E" w:rsidRDefault="00445B8E" w:rsidP="00445B8E">
      <w:pPr>
        <w:spacing w:after="120"/>
        <w:ind w:firstLine="720"/>
        <w:jc w:val="both"/>
        <w:rPr>
          <w:rFonts w:ascii="Arial" w:hAnsi="Arial" w:cs="Arial"/>
        </w:rPr>
      </w:pPr>
      <w:r w:rsidRPr="00445B8E">
        <w:rPr>
          <w:rFonts w:ascii="Arial" w:hAnsi="Arial" w:cs="Arial"/>
        </w:rPr>
        <w:t>Ostatné príjmy, okrem príjmov zo ŠR SR, boli pripisované do jednotlivých fondov podľa vecnej príslušnosti. Úroky z bežných účtov pobočiek sa rozdelili do fondov percentuálne, zodpovedajúc podielu príjmov konkrétneho základného fondu a rezervného fondu solidarity na celkových príjmoch z poistného.</w:t>
      </w:r>
      <w:r w:rsidRPr="00445B8E">
        <w:rPr>
          <w:rFonts w:ascii="Arial" w:hAnsi="Arial"/>
          <w:szCs w:val="20"/>
        </w:rPr>
        <w:t xml:space="preserve"> </w:t>
      </w:r>
    </w:p>
    <w:p w:rsidR="00445B8E" w:rsidRPr="00445B8E" w:rsidRDefault="00445B8E" w:rsidP="00445B8E">
      <w:pPr>
        <w:spacing w:before="240" w:after="120"/>
        <w:jc w:val="both"/>
        <w:rPr>
          <w:rFonts w:ascii="Arial" w:hAnsi="Arial" w:cs="Arial"/>
          <w:b/>
          <w:szCs w:val="20"/>
        </w:rPr>
      </w:pPr>
      <w:r w:rsidRPr="00445B8E">
        <w:rPr>
          <w:rFonts w:ascii="Arial" w:hAnsi="Arial" w:cs="Arial"/>
          <w:b/>
          <w:szCs w:val="20"/>
        </w:rPr>
        <w:t>1.4.</w:t>
      </w:r>
      <w:r w:rsidRPr="00445B8E">
        <w:rPr>
          <w:rFonts w:ascii="Arial" w:hAnsi="Arial" w:cs="Arial"/>
          <w:b/>
          <w:szCs w:val="20"/>
        </w:rPr>
        <w:tab/>
        <w:t>Tvorba fondov</w:t>
      </w:r>
    </w:p>
    <w:p w:rsidR="00445B8E" w:rsidRPr="00445B8E" w:rsidRDefault="00445B8E" w:rsidP="00445B8E">
      <w:pPr>
        <w:spacing w:before="240" w:after="120"/>
        <w:ind w:firstLine="709"/>
        <w:jc w:val="both"/>
        <w:rPr>
          <w:rFonts w:ascii="Arial" w:hAnsi="Arial" w:cs="Arial"/>
        </w:rPr>
      </w:pPr>
      <w:r w:rsidRPr="00445B8E">
        <w:rPr>
          <w:rFonts w:ascii="Arial" w:hAnsi="Arial" w:cs="Arial"/>
        </w:rPr>
        <w:t>Z príjmov poistného, pokút, penále a ostatných príjmov v mesiacoch január až jún 2011 boli vytvorené jednotlivé fondy takto:</w:t>
      </w:r>
    </w:p>
    <w:tbl>
      <w:tblPr>
        <w:tblW w:w="7526" w:type="dxa"/>
        <w:tblInd w:w="55" w:type="dxa"/>
        <w:tblCellMar>
          <w:left w:w="70" w:type="dxa"/>
          <w:right w:w="70" w:type="dxa"/>
        </w:tblCellMar>
        <w:tblLook w:val="04A0" w:firstRow="1" w:lastRow="0" w:firstColumn="1" w:lastColumn="0" w:noHBand="0" w:noVBand="1"/>
      </w:tblPr>
      <w:tblGrid>
        <w:gridCol w:w="3866"/>
        <w:gridCol w:w="1100"/>
        <w:gridCol w:w="1280"/>
        <w:gridCol w:w="1280"/>
      </w:tblGrid>
      <w:tr w:rsidR="00445B8E" w:rsidRPr="00445B8E" w:rsidTr="009D0C61">
        <w:trPr>
          <w:trHeight w:val="255"/>
        </w:trPr>
        <w:tc>
          <w:tcPr>
            <w:tcW w:w="3866"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10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28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28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v tis. Eur</w:t>
            </w:r>
          </w:p>
        </w:tc>
      </w:tr>
      <w:tr w:rsidR="00445B8E" w:rsidRPr="00445B8E" w:rsidTr="009D0C61">
        <w:trPr>
          <w:trHeight w:val="885"/>
        </w:trPr>
        <w:tc>
          <w:tcPr>
            <w:tcW w:w="38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 xml:space="preserve">Fond  </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Tvorba fondu v bežnom roku</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Prevod zostatku z roku 2010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Tvorba fondu celkom</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nemocenského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188 911</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74 361</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263 272</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starobného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1 778 860</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129 955</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1 908 815</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invalidného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450 446</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24 867</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475 313</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úrazového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61 610</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70 603</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132 213</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garančného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25 583</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26 182</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51 765</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poistenia v nezamestnanosti</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134 859</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59 345</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194 204</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Rezervný fond solidarity</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399 029</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9 882</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408 911</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Správny fond</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54 722</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40 472</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95 194</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Spolu</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3 094 020</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435 667</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3 529 687</w:t>
            </w:r>
          </w:p>
        </w:tc>
      </w:tr>
    </w:tbl>
    <w:p w:rsidR="00445B8E" w:rsidRPr="00445B8E" w:rsidRDefault="00445B8E" w:rsidP="00445B8E">
      <w:pPr>
        <w:spacing w:before="240" w:after="120"/>
        <w:ind w:firstLine="709"/>
        <w:jc w:val="both"/>
        <w:rPr>
          <w:rFonts w:ascii="Arial" w:hAnsi="Arial" w:cs="Arial"/>
        </w:rPr>
      </w:pPr>
    </w:p>
    <w:p w:rsidR="00445B8E" w:rsidRPr="00445B8E" w:rsidRDefault="00445B8E" w:rsidP="00445B8E">
      <w:pPr>
        <w:spacing w:after="120"/>
        <w:ind w:firstLine="709"/>
        <w:jc w:val="both"/>
        <w:rPr>
          <w:rFonts w:ascii="Arial" w:hAnsi="Arial" w:cs="Arial"/>
        </w:rPr>
      </w:pPr>
    </w:p>
    <w:p w:rsidR="00445B8E" w:rsidRPr="00445B8E" w:rsidRDefault="00445B8E" w:rsidP="00445B8E">
      <w:pPr>
        <w:numPr>
          <w:ilvl w:val="0"/>
          <w:numId w:val="6"/>
        </w:numPr>
        <w:tabs>
          <w:tab w:val="clear" w:pos="720"/>
        </w:tabs>
        <w:spacing w:before="240" w:after="120"/>
        <w:ind w:left="0" w:firstLine="0"/>
        <w:jc w:val="both"/>
        <w:rPr>
          <w:rFonts w:ascii="Arial" w:hAnsi="Arial"/>
          <w:b/>
          <w:sz w:val="28"/>
          <w:szCs w:val="28"/>
        </w:rPr>
      </w:pPr>
      <w:r w:rsidRPr="00445B8E">
        <w:rPr>
          <w:rFonts w:ascii="Arial" w:hAnsi="Arial"/>
          <w:b/>
          <w:sz w:val="28"/>
          <w:szCs w:val="28"/>
        </w:rPr>
        <w:lastRenderedPageBreak/>
        <w:t>Pohľadávky</w:t>
      </w:r>
    </w:p>
    <w:p w:rsidR="00445B8E" w:rsidRPr="00445B8E" w:rsidRDefault="00445B8E" w:rsidP="00445B8E">
      <w:pPr>
        <w:spacing w:before="240" w:after="120"/>
        <w:ind w:firstLine="709"/>
        <w:jc w:val="both"/>
        <w:rPr>
          <w:rFonts w:ascii="Arial" w:hAnsi="Arial" w:cs="Arial"/>
          <w:szCs w:val="20"/>
        </w:rPr>
      </w:pPr>
      <w:r w:rsidRPr="00445B8E">
        <w:rPr>
          <w:rFonts w:ascii="Arial" w:hAnsi="Arial" w:cs="Arial"/>
          <w:szCs w:val="20"/>
        </w:rPr>
        <w:t>Pohľadávky podľa § 148 zákona č. 461/2003 Z. z. o sociálnom poistení v znení neskorších predpisov (ďalej len pohľadávky) evidované Sociálnou poisťovňou k 30. júnu 2011 dosiahli výšku 687 708 tis. Eur a oproti stavu k 31. decembru 2010 klesli o 135 496 tis. Eur. Podiel pohľadávok na poistnom, predpísaných na základe právoplatného rozhodnutia v zmysle § 144 ods.1 zákona o sociálnom poistení v znení neskorších predpisov, k 30. júnu 2011 predstavoval 94,9 % z celkových pohľadávok. Najväčší podiel na pohľadávkach predstavujú pohľadávky na poistnom (69,4 %). V rámci uvedených pohľadávok Sociálna poisťovňa eviduje k 30. júnu 2011 pohľadávky na poistnom z roku 1993 (pohľadávky štátu) v celkovom objeme 29 911 tis. Eur (4,4 % z celkového objemu pohľadávok) a pohľadávky zo zúčtovania poistného z roku 1994 na zdravotnom fonde v celkovom objeme 6 970 tis. Eur (1,0 %). Vývoj pohľadávok Sociálnej poisťovne podľa druhov a podľa fondov mesačne v roku 2011 je uvedený v prílohe.</w:t>
      </w:r>
    </w:p>
    <w:p w:rsidR="00445B8E" w:rsidRPr="00445B8E" w:rsidRDefault="00445B8E" w:rsidP="00445B8E">
      <w:pPr>
        <w:spacing w:before="240" w:after="120"/>
        <w:ind w:firstLine="708"/>
        <w:jc w:val="both"/>
        <w:rPr>
          <w:rFonts w:ascii="Arial" w:hAnsi="Arial" w:cs="Arial"/>
          <w:szCs w:val="20"/>
        </w:rPr>
      </w:pPr>
      <w:r w:rsidRPr="00445B8E">
        <w:rPr>
          <w:rFonts w:ascii="Arial" w:hAnsi="Arial" w:cs="Arial"/>
          <w:szCs w:val="20"/>
        </w:rPr>
        <w:t xml:space="preserve">Podľa stavu vymáhaných pohľadávok Sociálnej poisťovne bolo  k 30. júnu 2011 z celkových pohľadávok uplatnených niektorým zo sledovaných spôsobov vymáhania 78,4%. To predstavuje celkovú uplatnenú sumu 538 861 tis. Eur. Podľa spôsobov vymáhania najväčší objem pohľadávok je uplatnený v exekučnom konaní 334 888 tis. Eur (48,7% z celkových pohľadávok) a v konkurznom konaní 96 886 tis. Eur (14,1% z celkových pohľadávok). Štruktúra pohľadávok Sociálnej poisťovne podľa najvýznamnejších spôsobov vymáhania v tis. Eur je uvedená v prílohe. </w:t>
      </w:r>
    </w:p>
    <w:p w:rsidR="00445B8E" w:rsidRPr="00445B8E" w:rsidRDefault="00445B8E" w:rsidP="00445B8E">
      <w:pPr>
        <w:tabs>
          <w:tab w:val="left" w:pos="6660"/>
        </w:tabs>
        <w:spacing w:before="240" w:after="120"/>
        <w:ind w:firstLine="709"/>
        <w:jc w:val="both"/>
        <w:rPr>
          <w:rFonts w:ascii="Arial" w:hAnsi="Arial" w:cs="Arial"/>
          <w:color w:val="000000"/>
          <w:szCs w:val="20"/>
        </w:rPr>
      </w:pPr>
      <w:r w:rsidRPr="00445B8E">
        <w:rPr>
          <w:rFonts w:ascii="Arial" w:hAnsi="Arial" w:cs="Arial"/>
          <w:color w:val="000000"/>
          <w:szCs w:val="20"/>
        </w:rPr>
        <w:t xml:space="preserve">Sociálna poisťovňa podala v mesiaci jún 2011 celkom 18 368 </w:t>
      </w:r>
      <w:r w:rsidRPr="00445B8E">
        <w:rPr>
          <w:rFonts w:ascii="Arial" w:hAnsi="Arial" w:cs="Arial"/>
          <w:i/>
          <w:color w:val="000000"/>
          <w:szCs w:val="20"/>
        </w:rPr>
        <w:t>návrhov na vykonanie exekúcie</w:t>
      </w:r>
      <w:r w:rsidRPr="00445B8E">
        <w:rPr>
          <w:rFonts w:ascii="Arial" w:hAnsi="Arial" w:cs="Arial"/>
          <w:color w:val="000000"/>
          <w:szCs w:val="20"/>
        </w:rPr>
        <w:t xml:space="preserve">, kde vymáhaná pohľadávka predstavovala výšku 14 393 tis. Eur. Počet podaní v porovnaní s mesiacom máj 2011 predstavoval zvýšenie o 3 049 podaní (t.j. o 19,9 %), a vo výške vymáhanej pohľadávky o 2 373 tis. Eur (t.j. o 19,7 %). </w:t>
      </w:r>
    </w:p>
    <w:p w:rsidR="00445B8E" w:rsidRPr="00445B8E" w:rsidRDefault="00445B8E" w:rsidP="00445B8E">
      <w:pPr>
        <w:spacing w:before="240" w:after="120"/>
        <w:ind w:firstLine="709"/>
        <w:jc w:val="both"/>
        <w:rPr>
          <w:rFonts w:ascii="Arial" w:hAnsi="Arial" w:cs="Arial"/>
          <w:szCs w:val="20"/>
        </w:rPr>
      </w:pPr>
      <w:r w:rsidRPr="00445B8E">
        <w:rPr>
          <w:rFonts w:ascii="Arial" w:hAnsi="Arial" w:cs="Arial"/>
          <w:szCs w:val="20"/>
        </w:rPr>
        <w:t>Od začiatku roka podali pobočky spolu 66 823 nových návrhov na výkon exekúcie v celkovom objeme 56</w:t>
      </w:r>
      <w:r w:rsidRPr="00445B8E">
        <w:rPr>
          <w:rFonts w:ascii="Arial" w:hAnsi="Arial" w:cs="Arial"/>
          <w:bCs/>
          <w:szCs w:val="20"/>
        </w:rPr>
        <w:t xml:space="preserve"> 457 tis. Eur. </w:t>
      </w:r>
      <w:r w:rsidRPr="00445B8E">
        <w:rPr>
          <w:rFonts w:ascii="Arial" w:hAnsi="Arial" w:cs="Arial"/>
          <w:color w:val="000000"/>
          <w:szCs w:val="20"/>
        </w:rPr>
        <w:t>Podrobnejší prehľad je uvedený v prílohe</w:t>
      </w:r>
      <w:r w:rsidRPr="00445B8E">
        <w:rPr>
          <w:rFonts w:ascii="Arial" w:hAnsi="Arial" w:cs="Arial"/>
          <w:szCs w:val="20"/>
        </w:rPr>
        <w:t>.</w:t>
      </w:r>
    </w:p>
    <w:p w:rsidR="00445B8E" w:rsidRPr="00445B8E" w:rsidRDefault="00445B8E" w:rsidP="00445B8E">
      <w:pPr>
        <w:spacing w:before="240" w:after="120"/>
        <w:ind w:firstLine="709"/>
        <w:jc w:val="both"/>
        <w:rPr>
          <w:rFonts w:ascii="Arial" w:hAnsi="Arial" w:cs="Arial"/>
          <w:color w:val="000000"/>
          <w:szCs w:val="20"/>
        </w:rPr>
      </w:pPr>
      <w:r w:rsidRPr="00445B8E">
        <w:rPr>
          <w:rFonts w:ascii="Arial" w:hAnsi="Arial" w:cs="Arial"/>
          <w:szCs w:val="20"/>
        </w:rPr>
        <w:t xml:space="preserve">Prehľad pohľadávok vymáhaných prostredníctvom </w:t>
      </w:r>
      <w:r w:rsidRPr="00445B8E">
        <w:rPr>
          <w:rFonts w:ascii="Arial" w:hAnsi="Arial" w:cs="Arial"/>
          <w:i/>
          <w:szCs w:val="20"/>
        </w:rPr>
        <w:t>mandátnej správy</w:t>
      </w:r>
      <w:r w:rsidRPr="00445B8E">
        <w:rPr>
          <w:rFonts w:ascii="Arial" w:hAnsi="Arial" w:cs="Arial"/>
          <w:szCs w:val="20"/>
        </w:rPr>
        <w:t xml:space="preserve"> spoločnosťou </w:t>
      </w:r>
      <w:proofErr w:type="spellStart"/>
      <w:r w:rsidRPr="00445B8E">
        <w:rPr>
          <w:rFonts w:ascii="Arial" w:hAnsi="Arial" w:cs="Arial"/>
          <w:szCs w:val="20"/>
        </w:rPr>
        <w:t>General</w:t>
      </w:r>
      <w:proofErr w:type="spellEnd"/>
      <w:r w:rsidRPr="00445B8E">
        <w:rPr>
          <w:rFonts w:ascii="Arial" w:hAnsi="Arial" w:cs="Arial"/>
          <w:szCs w:val="20"/>
        </w:rPr>
        <w:t xml:space="preserve"> </w:t>
      </w:r>
      <w:proofErr w:type="spellStart"/>
      <w:r w:rsidRPr="00445B8E">
        <w:rPr>
          <w:rFonts w:ascii="Arial" w:hAnsi="Arial" w:cs="Arial"/>
          <w:szCs w:val="20"/>
        </w:rPr>
        <w:t>Factoring</w:t>
      </w:r>
      <w:proofErr w:type="spellEnd"/>
      <w:r w:rsidRPr="00445B8E">
        <w:rPr>
          <w:rFonts w:ascii="Arial" w:hAnsi="Arial" w:cs="Arial"/>
          <w:szCs w:val="20"/>
        </w:rPr>
        <w:t xml:space="preserve"> a. s. je uvedený v prílohách. V roku 2011 Sociálna poisťovňa previedla do mandátnej správy spolu 19 499 pohľadávok v sume 11 643 tis. Eur. K  30. júnu 2011  bolo spolu akceptovaných úhrad v objeme  11 438 tis. Eur.</w:t>
      </w:r>
      <w:r w:rsidRPr="00445B8E">
        <w:rPr>
          <w:rFonts w:ascii="Arial" w:hAnsi="Arial" w:cs="Arial"/>
          <w:color w:val="000000"/>
          <w:szCs w:val="20"/>
        </w:rPr>
        <w:t xml:space="preserve"> </w:t>
      </w:r>
    </w:p>
    <w:p w:rsidR="00445B8E" w:rsidRPr="00445B8E" w:rsidRDefault="00445B8E" w:rsidP="00445B8E">
      <w:pPr>
        <w:spacing w:before="240" w:after="120"/>
        <w:ind w:firstLine="709"/>
        <w:jc w:val="both"/>
        <w:rPr>
          <w:rFonts w:ascii="Arial" w:hAnsi="Arial" w:cs="Arial"/>
          <w:szCs w:val="20"/>
        </w:rPr>
      </w:pPr>
      <w:r w:rsidRPr="00445B8E">
        <w:rPr>
          <w:rFonts w:ascii="Arial" w:hAnsi="Arial" w:cs="Arial"/>
          <w:szCs w:val="20"/>
        </w:rPr>
        <w:t>Od 1. januára 2011 do 30. júna 2011 vydala Sociálna poisťovňa spolu 945 rozhodnutí o </w:t>
      </w:r>
      <w:r w:rsidRPr="00445B8E">
        <w:rPr>
          <w:rFonts w:ascii="Arial" w:hAnsi="Arial" w:cs="Arial"/>
          <w:i/>
          <w:szCs w:val="20"/>
        </w:rPr>
        <w:t>povolení splátok dlžných súm</w:t>
      </w:r>
      <w:r w:rsidRPr="00445B8E">
        <w:rPr>
          <w:rFonts w:ascii="Arial" w:hAnsi="Arial" w:cs="Arial"/>
          <w:szCs w:val="20"/>
        </w:rPr>
        <w:t xml:space="preserve"> v celkovom objeme 7 074 tis. Eur. Z toho úspešne ukončených splátkových kalendárov (100% úhrada) bolo 60 s uhradenou sumou 213 tis. Eur. K zrušeniu splátkových kalendárov z dôvodov ich nedodržania došlo v 259 prípadoch na celkovú sumu 4 496 tis. Eur, v ktorých bolo povolené splácanie. Ku dňu zrušenia rozhodnutia bolo uhradené zo sumy povolenej na splácanie v zmysle schváleného splátkového kalendára 97 tis. Eur. Naďalej aktívnych splátkových kalendárov je 626 na celkový objem pohľadávok 2 365 tis. Eur. Celkovo bolo od 1. januára 2011 do 30. júna 2011 uhradených </w:t>
      </w:r>
      <w:r w:rsidRPr="00445B8E">
        <w:rPr>
          <w:rFonts w:ascii="Arial" w:hAnsi="Arial" w:cs="Arial"/>
          <w:szCs w:val="20"/>
        </w:rPr>
        <w:lastRenderedPageBreak/>
        <w:t>838 tis. Eur na základe rozhodnutí o povolení splátok dlžných súm. Prehľad vývoja povolení splátok dlžných súm v roku 2011 je uvedený v prílohe.</w:t>
      </w:r>
    </w:p>
    <w:p w:rsidR="00445B8E" w:rsidRPr="00445B8E" w:rsidRDefault="00445B8E" w:rsidP="00445B8E">
      <w:pPr>
        <w:spacing w:before="240" w:after="120"/>
        <w:ind w:firstLine="540"/>
        <w:jc w:val="both"/>
        <w:rPr>
          <w:rFonts w:ascii="Arial" w:hAnsi="Arial" w:cs="Arial"/>
          <w:szCs w:val="20"/>
        </w:rPr>
      </w:pPr>
      <w:r w:rsidRPr="00445B8E">
        <w:rPr>
          <w:rFonts w:ascii="Arial" w:hAnsi="Arial" w:cs="Arial"/>
          <w:color w:val="000000"/>
          <w:szCs w:val="20"/>
        </w:rPr>
        <w:t xml:space="preserve">Celkový objem pohľadávok na neuhradenom poistnom (ďalej len "pohľadávka") Sociálnej poisťovne evidovaných voči </w:t>
      </w:r>
      <w:r w:rsidRPr="00445B8E">
        <w:rPr>
          <w:rFonts w:ascii="Arial" w:hAnsi="Arial" w:cs="Arial"/>
          <w:i/>
          <w:color w:val="000000"/>
          <w:szCs w:val="20"/>
        </w:rPr>
        <w:t>sledovaným zdravotníckym zariadeniam</w:t>
      </w:r>
      <w:r w:rsidRPr="00445B8E">
        <w:rPr>
          <w:rFonts w:ascii="Arial" w:hAnsi="Arial" w:cs="Arial"/>
          <w:color w:val="000000"/>
          <w:szCs w:val="20"/>
        </w:rPr>
        <w:t xml:space="preserve"> v pôsobnosti MZ SR a transformovaným zdravotníckym zariadeniam dosiahol k 30. júnu 2011 sumu 62 226 tis. Eur. Objem pohľadávok evidovaný k 30. júnu 2011 v porovnaní s objemom pohľadávok k 31. decembru 2010 zaznamenal nárast 20 473 tis.  Eur. </w:t>
      </w:r>
      <w:r w:rsidRPr="00445B8E">
        <w:rPr>
          <w:rFonts w:ascii="Arial" w:hAnsi="Arial" w:cs="Arial"/>
          <w:szCs w:val="20"/>
        </w:rPr>
        <w:t>Vývoj pohľadávok voči zdravotníckym zariadeniam je uvedený v prílohe.</w:t>
      </w:r>
    </w:p>
    <w:p w:rsidR="00445B8E" w:rsidRPr="00445B8E" w:rsidRDefault="00445B8E" w:rsidP="00445B8E">
      <w:pPr>
        <w:spacing w:before="240" w:after="120"/>
        <w:ind w:firstLine="539"/>
        <w:jc w:val="both"/>
        <w:rPr>
          <w:rFonts w:ascii="Arial" w:hAnsi="Arial" w:cs="Arial"/>
          <w:szCs w:val="20"/>
        </w:rPr>
      </w:pPr>
      <w:r w:rsidRPr="00445B8E">
        <w:rPr>
          <w:rFonts w:ascii="Arial" w:hAnsi="Arial" w:cs="Arial"/>
          <w:szCs w:val="20"/>
        </w:rPr>
        <w:t xml:space="preserve">Pohľadávky voči </w:t>
      </w:r>
      <w:r w:rsidRPr="00445B8E">
        <w:rPr>
          <w:rFonts w:ascii="Arial" w:hAnsi="Arial" w:cs="Arial"/>
          <w:i/>
          <w:szCs w:val="20"/>
        </w:rPr>
        <w:t>zdravotníckym zariadeniam v pôsobnosti MZ SR</w:t>
      </w:r>
      <w:r w:rsidRPr="00445B8E">
        <w:rPr>
          <w:rFonts w:ascii="Arial" w:hAnsi="Arial" w:cs="Arial"/>
          <w:szCs w:val="20"/>
        </w:rPr>
        <w:t xml:space="preserve"> dosiahli   k 30. júnu 2011 výšku 46 757 tis. Eur, čo predstavuje 75,1 % z celkového objemu pohľadávok voči všetkým sledovaným zdravotníckym zariadeniam. V porovnaní s objemom pohľadávok k 31. decembru 2010 sa pohľadávky voči týmto zdravotníckym zariadeniam zvýšili o 18 615 tis. Eur. Nárast pohľadávok z titulu neplatenia mesačných odvodov v súčasnosti evidujeme pri 10 zdravotníckych zariadeniach v pôsobnosti MZ SR a to Univerzitnej nemocnici Bratislava, Univerzitnej nemocnici L. </w:t>
      </w:r>
      <w:proofErr w:type="spellStart"/>
      <w:r w:rsidRPr="00445B8E">
        <w:rPr>
          <w:rFonts w:ascii="Arial" w:hAnsi="Arial" w:cs="Arial"/>
          <w:szCs w:val="20"/>
        </w:rPr>
        <w:t>Pasterura</w:t>
      </w:r>
      <w:proofErr w:type="spellEnd"/>
      <w:r w:rsidRPr="00445B8E">
        <w:rPr>
          <w:rFonts w:ascii="Arial" w:hAnsi="Arial" w:cs="Arial"/>
          <w:szCs w:val="20"/>
        </w:rPr>
        <w:t xml:space="preserve">, Košice, Fakultnej nemocnici s poliklinikou F. D. </w:t>
      </w:r>
      <w:proofErr w:type="spellStart"/>
      <w:r w:rsidRPr="00445B8E">
        <w:rPr>
          <w:rFonts w:ascii="Arial" w:hAnsi="Arial" w:cs="Arial"/>
          <w:szCs w:val="20"/>
        </w:rPr>
        <w:t>Roosevelta</w:t>
      </w:r>
      <w:proofErr w:type="spellEnd"/>
      <w:r w:rsidRPr="00445B8E">
        <w:rPr>
          <w:rFonts w:ascii="Arial" w:hAnsi="Arial" w:cs="Arial"/>
          <w:szCs w:val="20"/>
        </w:rPr>
        <w:t xml:space="preserve"> Banská Bystrica, Detskej fakultnej nemocnici s poliklinikou Bratislava, Fakultnej nemocnici Trenčín, Fakultnej nemocnici s poliklinikou Žilina, Fakultnej nemocnici Trnava, Psychiatrickej nemocnici P. </w:t>
      </w:r>
      <w:proofErr w:type="spellStart"/>
      <w:r w:rsidRPr="00445B8E">
        <w:rPr>
          <w:rFonts w:ascii="Arial" w:hAnsi="Arial" w:cs="Arial"/>
          <w:szCs w:val="20"/>
        </w:rPr>
        <w:t>Pinela</w:t>
      </w:r>
      <w:proofErr w:type="spellEnd"/>
      <w:r w:rsidRPr="00445B8E">
        <w:rPr>
          <w:rFonts w:ascii="Arial" w:hAnsi="Arial" w:cs="Arial"/>
          <w:szCs w:val="20"/>
        </w:rPr>
        <w:t xml:space="preserve">, Pezinok, Detskej ozdravovni, Kremnické Bane a Fakultnej nemocnici s poliklinikou J. A. </w:t>
      </w:r>
      <w:proofErr w:type="spellStart"/>
      <w:r w:rsidRPr="00445B8E">
        <w:rPr>
          <w:rFonts w:ascii="Arial" w:hAnsi="Arial" w:cs="Arial"/>
          <w:szCs w:val="20"/>
        </w:rPr>
        <w:t>Reimana</w:t>
      </w:r>
      <w:proofErr w:type="spellEnd"/>
      <w:r w:rsidRPr="00445B8E">
        <w:rPr>
          <w:rFonts w:ascii="Arial" w:hAnsi="Arial" w:cs="Arial"/>
          <w:szCs w:val="20"/>
        </w:rPr>
        <w:t xml:space="preserve"> Prešov. </w:t>
      </w:r>
    </w:p>
    <w:p w:rsidR="00445B8E" w:rsidRPr="00445B8E" w:rsidRDefault="00445B8E" w:rsidP="00445B8E">
      <w:pPr>
        <w:spacing w:before="240" w:after="120"/>
        <w:ind w:firstLine="540"/>
        <w:jc w:val="both"/>
        <w:rPr>
          <w:rFonts w:ascii="Arial" w:hAnsi="Arial" w:cs="Arial"/>
          <w:szCs w:val="20"/>
        </w:rPr>
      </w:pPr>
      <w:r w:rsidRPr="00445B8E">
        <w:rPr>
          <w:rFonts w:ascii="Arial" w:hAnsi="Arial" w:cs="Arial"/>
          <w:szCs w:val="20"/>
        </w:rPr>
        <w:t xml:space="preserve">Voči </w:t>
      </w:r>
      <w:r w:rsidRPr="00445B8E">
        <w:rPr>
          <w:rFonts w:ascii="Arial" w:hAnsi="Arial" w:cs="Arial"/>
          <w:i/>
          <w:szCs w:val="20"/>
        </w:rPr>
        <w:t>transformovaným zdravotníckym zariadeniam</w:t>
      </w:r>
      <w:r w:rsidRPr="00445B8E">
        <w:rPr>
          <w:rFonts w:ascii="Arial" w:hAnsi="Arial" w:cs="Arial"/>
          <w:szCs w:val="20"/>
        </w:rPr>
        <w:t xml:space="preserve"> eviduje Sociálna poisťovňa k 30. júnu 2011 pohľadávky vo výške 15 469 tis. Eur, čo predstavuje  24,9 % z celkového objemu pohľadávok voči všetkým sledovaným zdravotníckym zariadeniam. V porovnaní s objemom pohľadávok k 31. decembru 2010 sa pohľadávky voči týmto zdravotníckym zariadeniam zvýšili o 1 858 tis. Eur. Nárast pohľadávok z titulu neplatenia mesačných odvodov v súčasnosti evidujeme pri 10  transformovaných zdravotníckych zariadeniach a to Nemocnici s poliklinikou v Považskej Bystrici, Kysuckej nemocnici s poliklinikou Čadca, Dolnooravskej nemocnici s poliklinikou MUDr. L. N. </w:t>
      </w:r>
      <w:proofErr w:type="spellStart"/>
      <w:r w:rsidRPr="00445B8E">
        <w:rPr>
          <w:rFonts w:ascii="Arial" w:hAnsi="Arial" w:cs="Arial"/>
          <w:szCs w:val="20"/>
        </w:rPr>
        <w:t>Jégého</w:t>
      </w:r>
      <w:proofErr w:type="spellEnd"/>
      <w:r w:rsidRPr="00445B8E">
        <w:rPr>
          <w:rFonts w:ascii="Arial" w:hAnsi="Arial" w:cs="Arial"/>
          <w:szCs w:val="20"/>
        </w:rPr>
        <w:t xml:space="preserve"> Dolný Kubín, Nemocnici s poliklinikou Ilava, </w:t>
      </w:r>
      <w:proofErr w:type="spellStart"/>
      <w:r w:rsidRPr="00445B8E">
        <w:rPr>
          <w:rFonts w:ascii="Arial" w:hAnsi="Arial" w:cs="Arial"/>
          <w:szCs w:val="20"/>
        </w:rPr>
        <w:t>n.o</w:t>
      </w:r>
      <w:proofErr w:type="spellEnd"/>
      <w:r w:rsidRPr="00445B8E">
        <w:rPr>
          <w:rFonts w:ascii="Arial" w:hAnsi="Arial" w:cs="Arial"/>
          <w:szCs w:val="20"/>
        </w:rPr>
        <w:t xml:space="preserve">., Nemocnici s poliklinikou Myjava, Nemocnici s poliklinikou sv. Barbory Rožňava, a. s. Nemocnici s poliklinikou Prievidza so sídlom v Bojniciach, Revúckej medicínsko-humanitnej, </w:t>
      </w:r>
      <w:proofErr w:type="spellStart"/>
      <w:r w:rsidRPr="00445B8E">
        <w:rPr>
          <w:rFonts w:ascii="Arial" w:hAnsi="Arial" w:cs="Arial"/>
          <w:szCs w:val="20"/>
        </w:rPr>
        <w:t>n.o</w:t>
      </w:r>
      <w:proofErr w:type="spellEnd"/>
      <w:r w:rsidRPr="00445B8E">
        <w:rPr>
          <w:rFonts w:ascii="Arial" w:hAnsi="Arial" w:cs="Arial"/>
          <w:szCs w:val="20"/>
        </w:rPr>
        <w:t xml:space="preserve">., Revúca, Nemocnici s poliklinikou Trebišov a. s. a Nemocnici s poliklinikou Skalica. </w:t>
      </w:r>
    </w:p>
    <w:p w:rsidR="00445B8E" w:rsidRPr="00445B8E" w:rsidRDefault="00445B8E" w:rsidP="00445B8E">
      <w:pPr>
        <w:tabs>
          <w:tab w:val="left" w:pos="5760"/>
        </w:tabs>
        <w:spacing w:before="240" w:after="120"/>
        <w:ind w:firstLine="540"/>
        <w:jc w:val="both"/>
        <w:rPr>
          <w:rFonts w:ascii="Arial" w:hAnsi="Arial" w:cs="Arial"/>
          <w:szCs w:val="20"/>
        </w:rPr>
      </w:pPr>
      <w:r w:rsidRPr="00445B8E">
        <w:rPr>
          <w:rFonts w:ascii="Arial" w:hAnsi="Arial" w:cs="Arial"/>
          <w:szCs w:val="20"/>
        </w:rPr>
        <w:t xml:space="preserve">Sociálna poisťovňa eviduje k 30. júnu 2011 celkovo 28 sledovaných zdravotníckych zariadení s pohľadávkou, z toho je 11 zdravotníckych zariadení v pôsobnosti MZ SR a 17 transformovaných zdravotníckych zariadení. </w:t>
      </w:r>
    </w:p>
    <w:p w:rsidR="00445B8E" w:rsidRPr="00445B8E" w:rsidRDefault="00445B8E" w:rsidP="00445B8E">
      <w:pPr>
        <w:tabs>
          <w:tab w:val="left" w:pos="709"/>
        </w:tabs>
        <w:spacing w:before="240" w:after="120"/>
        <w:jc w:val="both"/>
        <w:rPr>
          <w:rFonts w:ascii="Arial" w:hAnsi="Arial"/>
          <w:b/>
          <w:sz w:val="28"/>
          <w:szCs w:val="20"/>
        </w:rPr>
      </w:pPr>
      <w:r w:rsidRPr="00445B8E">
        <w:rPr>
          <w:rFonts w:ascii="Arial" w:hAnsi="Arial"/>
          <w:b/>
          <w:sz w:val="28"/>
          <w:szCs w:val="20"/>
        </w:rPr>
        <w:t>3.</w:t>
      </w:r>
      <w:r w:rsidRPr="00445B8E">
        <w:rPr>
          <w:rFonts w:ascii="Arial" w:hAnsi="Arial"/>
          <w:b/>
          <w:sz w:val="28"/>
          <w:szCs w:val="20"/>
        </w:rPr>
        <w:tab/>
        <w:t>Výdavky (náklady) Sociálnej poisťovne</w:t>
      </w:r>
    </w:p>
    <w:p w:rsidR="00445B8E" w:rsidRPr="00445B8E" w:rsidRDefault="00445B8E" w:rsidP="00445B8E">
      <w:pPr>
        <w:tabs>
          <w:tab w:val="decimal" w:pos="8222"/>
        </w:tabs>
        <w:spacing w:before="240" w:after="120"/>
        <w:ind w:firstLine="709"/>
        <w:jc w:val="both"/>
        <w:rPr>
          <w:rFonts w:ascii="Arial" w:hAnsi="Arial"/>
          <w:szCs w:val="20"/>
        </w:rPr>
      </w:pPr>
      <w:r w:rsidRPr="00445B8E">
        <w:rPr>
          <w:rFonts w:ascii="Arial" w:hAnsi="Arial"/>
          <w:szCs w:val="20"/>
        </w:rPr>
        <w:t>Výdavky (náklady) Sociálnej poisťovne v mesiacoch január až jún 2011 boli takéto:</w:t>
      </w:r>
    </w:p>
    <w:p w:rsidR="00445B8E" w:rsidRPr="00445B8E" w:rsidRDefault="00445B8E" w:rsidP="00445B8E">
      <w:pPr>
        <w:tabs>
          <w:tab w:val="decimal" w:pos="8222"/>
        </w:tabs>
        <w:spacing w:before="240" w:after="120"/>
        <w:ind w:firstLine="709"/>
        <w:jc w:val="both"/>
        <w:rPr>
          <w:rFonts w:ascii="Arial" w:hAnsi="Arial"/>
          <w:szCs w:val="20"/>
        </w:rPr>
      </w:pPr>
    </w:p>
    <w:p w:rsidR="00445B8E" w:rsidRPr="00445B8E" w:rsidRDefault="00445B8E" w:rsidP="00445B8E">
      <w:pPr>
        <w:tabs>
          <w:tab w:val="decimal" w:pos="8222"/>
        </w:tabs>
        <w:spacing w:before="240" w:after="120"/>
        <w:ind w:firstLine="709"/>
        <w:jc w:val="both"/>
        <w:rPr>
          <w:rFonts w:ascii="Arial" w:hAnsi="Arial"/>
          <w:szCs w:val="20"/>
        </w:rPr>
      </w:pPr>
    </w:p>
    <w:p w:rsidR="00445B8E" w:rsidRPr="00445B8E" w:rsidRDefault="00445B8E" w:rsidP="00445B8E">
      <w:pPr>
        <w:tabs>
          <w:tab w:val="decimal" w:pos="8222"/>
        </w:tabs>
        <w:spacing w:before="240" w:after="120"/>
        <w:ind w:firstLine="709"/>
        <w:jc w:val="both"/>
        <w:rPr>
          <w:rFonts w:ascii="Arial" w:hAnsi="Arial"/>
          <w:szCs w:val="20"/>
        </w:rPr>
      </w:pPr>
    </w:p>
    <w:tbl>
      <w:tblPr>
        <w:tblW w:w="9936" w:type="dxa"/>
        <w:tblInd w:w="55" w:type="dxa"/>
        <w:tblCellMar>
          <w:left w:w="70" w:type="dxa"/>
          <w:right w:w="70" w:type="dxa"/>
        </w:tblCellMar>
        <w:tblLook w:val="04A0" w:firstRow="1" w:lastRow="0" w:firstColumn="1" w:lastColumn="0" w:noHBand="0" w:noVBand="1"/>
      </w:tblPr>
      <w:tblGrid>
        <w:gridCol w:w="3276"/>
        <w:gridCol w:w="1100"/>
        <w:gridCol w:w="1280"/>
        <w:gridCol w:w="1280"/>
        <w:gridCol w:w="1000"/>
        <w:gridCol w:w="1000"/>
        <w:gridCol w:w="1000"/>
      </w:tblGrid>
      <w:tr w:rsidR="00445B8E" w:rsidRPr="00445B8E" w:rsidTr="009D0C61">
        <w:trPr>
          <w:trHeight w:val="255"/>
        </w:trPr>
        <w:tc>
          <w:tcPr>
            <w:tcW w:w="3276"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16"/>
                <w:szCs w:val="16"/>
              </w:rPr>
            </w:pPr>
          </w:p>
        </w:tc>
        <w:tc>
          <w:tcPr>
            <w:tcW w:w="110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16"/>
                <w:szCs w:val="16"/>
              </w:rPr>
            </w:pPr>
          </w:p>
        </w:tc>
        <w:tc>
          <w:tcPr>
            <w:tcW w:w="128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color w:val="000000"/>
                <w:sz w:val="16"/>
                <w:szCs w:val="16"/>
              </w:rPr>
            </w:pPr>
          </w:p>
        </w:tc>
        <w:tc>
          <w:tcPr>
            <w:tcW w:w="128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color w:val="000000"/>
                <w:sz w:val="16"/>
                <w:szCs w:val="16"/>
              </w:rPr>
            </w:pPr>
          </w:p>
        </w:tc>
        <w:tc>
          <w:tcPr>
            <w:tcW w:w="100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16"/>
                <w:szCs w:val="16"/>
              </w:rPr>
            </w:pPr>
          </w:p>
        </w:tc>
        <w:tc>
          <w:tcPr>
            <w:tcW w:w="100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16"/>
                <w:szCs w:val="16"/>
              </w:rPr>
            </w:pPr>
          </w:p>
        </w:tc>
        <w:tc>
          <w:tcPr>
            <w:tcW w:w="1000"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v tis. Eur</w:t>
            </w:r>
          </w:p>
        </w:tc>
      </w:tr>
      <w:tr w:rsidR="00445B8E" w:rsidRPr="00445B8E" w:rsidTr="009D0C61">
        <w:trPr>
          <w:trHeight w:val="450"/>
        </w:trPr>
        <w:tc>
          <w:tcPr>
            <w:tcW w:w="3276" w:type="dxa"/>
            <w:tcBorders>
              <w:top w:val="single" w:sz="4" w:space="0" w:color="auto"/>
              <w:left w:val="single" w:sz="4" w:space="0" w:color="auto"/>
              <w:bottom w:val="nil"/>
              <w:right w:val="single" w:sz="4" w:space="0" w:color="auto"/>
            </w:tcBorders>
            <w:shd w:val="clear" w:color="auto" w:fill="auto"/>
            <w:noWrap/>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Ukazovateľ</w:t>
            </w:r>
          </w:p>
        </w:tc>
        <w:tc>
          <w:tcPr>
            <w:tcW w:w="1100" w:type="dxa"/>
            <w:tcBorders>
              <w:top w:val="single" w:sz="4" w:space="0" w:color="auto"/>
              <w:left w:val="nil"/>
              <w:bottom w:val="nil"/>
              <w:right w:val="single" w:sz="4" w:space="0" w:color="auto"/>
            </w:tcBorders>
            <w:shd w:val="clear" w:color="auto" w:fill="auto"/>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 xml:space="preserve">Upravený rozpočet </w:t>
            </w:r>
          </w:p>
        </w:tc>
        <w:tc>
          <w:tcPr>
            <w:tcW w:w="1280" w:type="dxa"/>
            <w:tcBorders>
              <w:top w:val="single" w:sz="4" w:space="0" w:color="auto"/>
              <w:left w:val="nil"/>
              <w:bottom w:val="nil"/>
              <w:right w:val="single" w:sz="4" w:space="0" w:color="auto"/>
            </w:tcBorders>
            <w:shd w:val="clear" w:color="auto" w:fill="auto"/>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 xml:space="preserve">Časový rozpis </w:t>
            </w:r>
          </w:p>
        </w:tc>
        <w:tc>
          <w:tcPr>
            <w:tcW w:w="1280" w:type="dxa"/>
            <w:tcBorders>
              <w:top w:val="single" w:sz="4" w:space="0" w:color="auto"/>
              <w:left w:val="nil"/>
              <w:bottom w:val="nil"/>
              <w:right w:val="single" w:sz="4" w:space="0" w:color="auto"/>
            </w:tcBorders>
            <w:shd w:val="clear" w:color="auto" w:fill="auto"/>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 xml:space="preserve">Skutočnosť </w:t>
            </w:r>
          </w:p>
        </w:tc>
        <w:tc>
          <w:tcPr>
            <w:tcW w:w="100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 plnenia (3/1)</w:t>
            </w:r>
          </w:p>
        </w:tc>
        <w:tc>
          <w:tcPr>
            <w:tcW w:w="100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 plnenia (3/2)</w:t>
            </w:r>
          </w:p>
        </w:tc>
        <w:tc>
          <w:tcPr>
            <w:tcW w:w="100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Rozdiel (3-2)</w:t>
            </w:r>
          </w:p>
        </w:tc>
      </w:tr>
      <w:tr w:rsidR="00445B8E" w:rsidRPr="00445B8E" w:rsidTr="009D0C61">
        <w:trPr>
          <w:trHeight w:val="255"/>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a</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color w:val="000000"/>
                <w:sz w:val="16"/>
                <w:szCs w:val="16"/>
              </w:rPr>
            </w:pPr>
            <w:r w:rsidRPr="00445B8E">
              <w:rPr>
                <w:rFonts w:ascii="Arial" w:hAnsi="Arial" w:cs="Arial"/>
                <w:color w:val="000000"/>
                <w:sz w:val="16"/>
                <w:szCs w:val="16"/>
              </w:rPr>
              <w:t>1</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2</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3</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4</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5</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16"/>
                <w:szCs w:val="16"/>
              </w:rPr>
            </w:pPr>
            <w:r w:rsidRPr="00445B8E">
              <w:rPr>
                <w:rFonts w:ascii="Arial" w:hAnsi="Arial" w:cs="Arial"/>
                <w:sz w:val="16"/>
                <w:szCs w:val="16"/>
              </w:rPr>
              <w:t>6</w:t>
            </w:r>
          </w:p>
        </w:tc>
      </w:tr>
      <w:tr w:rsidR="00445B8E" w:rsidRPr="00445B8E" w:rsidTr="009D0C61">
        <w:trPr>
          <w:trHeight w:val="25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Použitie prostriedkov celkom</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6 270 715</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3 130 404</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3 056 527</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48,74</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97,64</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-73 877</w:t>
            </w:r>
          </w:p>
        </w:tc>
      </w:tr>
      <w:tr w:rsidR="00445B8E" w:rsidRPr="00445B8E" w:rsidTr="009D0C61">
        <w:trPr>
          <w:trHeight w:val="25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v tom:</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 </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 </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 </w:t>
            </w:r>
          </w:p>
        </w:tc>
      </w:tr>
      <w:tr w:rsidR="00445B8E" w:rsidRPr="00445B8E" w:rsidTr="009D0C61">
        <w:trPr>
          <w:trHeight w:val="25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 xml:space="preserve"> základný fond nemocenského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348 521</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183 796</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198 630</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56,99</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108,07</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14 834</w:t>
            </w:r>
          </w:p>
        </w:tc>
      </w:tr>
      <w:tr w:rsidR="00445B8E" w:rsidRPr="00445B8E" w:rsidTr="009D0C61">
        <w:trPr>
          <w:trHeight w:val="25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základný fond starobného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4 659 053</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2 319 988</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2 265 367</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48,62</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97,65</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-54 621</w:t>
            </w:r>
          </w:p>
        </w:tc>
      </w:tr>
      <w:tr w:rsidR="00445B8E" w:rsidRPr="00445B8E" w:rsidTr="009D0C61">
        <w:trPr>
          <w:trHeight w:val="25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základný fond invalidného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833 612</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415 748</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418 709</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50,23</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100,71</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2 961</w:t>
            </w:r>
          </w:p>
        </w:tc>
      </w:tr>
      <w:tr w:rsidR="00445B8E" w:rsidRPr="00445B8E" w:rsidTr="009D0C61">
        <w:trPr>
          <w:trHeight w:val="25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základný fond úrazového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44 024</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21 345</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22 227</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50,49</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104,13</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882</w:t>
            </w:r>
          </w:p>
        </w:tc>
      </w:tr>
      <w:tr w:rsidR="00445B8E" w:rsidRPr="00445B8E" w:rsidTr="009D0C61">
        <w:trPr>
          <w:trHeight w:val="25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základný fond garančného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50 082</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23 619</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16 604</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33,15</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70,30</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-7 015</w:t>
            </w:r>
          </w:p>
        </w:tc>
      </w:tr>
      <w:tr w:rsidR="00445B8E" w:rsidRPr="00445B8E" w:rsidTr="009D0C61">
        <w:trPr>
          <w:trHeight w:val="25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základný fond poistenia v nezamestnanosti</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199 953</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95 198</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80 307</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40,16</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84,36</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-14 891</w:t>
            </w:r>
          </w:p>
        </w:tc>
      </w:tr>
      <w:tr w:rsidR="00445B8E" w:rsidRPr="00445B8E" w:rsidTr="009D0C61">
        <w:trPr>
          <w:trHeight w:val="25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16"/>
                <w:szCs w:val="16"/>
              </w:rPr>
            </w:pPr>
            <w:r w:rsidRPr="00445B8E">
              <w:rPr>
                <w:rFonts w:ascii="Arial" w:hAnsi="Arial" w:cs="Arial"/>
                <w:sz w:val="16"/>
                <w:szCs w:val="16"/>
              </w:rPr>
              <w:t>správny fond</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135 470</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70 710</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54 683</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40,37</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77,33</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16"/>
                <w:szCs w:val="16"/>
              </w:rPr>
            </w:pPr>
            <w:r w:rsidRPr="00445B8E">
              <w:rPr>
                <w:rFonts w:ascii="Arial" w:hAnsi="Arial" w:cs="Arial"/>
                <w:sz w:val="16"/>
                <w:szCs w:val="16"/>
              </w:rPr>
              <w:t>-16 027</w:t>
            </w:r>
          </w:p>
        </w:tc>
      </w:tr>
    </w:tbl>
    <w:p w:rsidR="00445B8E" w:rsidRPr="00445B8E" w:rsidRDefault="00445B8E" w:rsidP="00445B8E">
      <w:pPr>
        <w:tabs>
          <w:tab w:val="decimal" w:pos="8222"/>
        </w:tabs>
        <w:jc w:val="both"/>
        <w:rPr>
          <w:rFonts w:ascii="Arial" w:hAnsi="Arial"/>
          <w:szCs w:val="20"/>
        </w:rPr>
      </w:pPr>
    </w:p>
    <w:p w:rsidR="00445B8E" w:rsidRPr="00445B8E" w:rsidRDefault="00445B8E" w:rsidP="00445B8E">
      <w:pPr>
        <w:tabs>
          <w:tab w:val="left" w:pos="709"/>
          <w:tab w:val="decimal" w:pos="8222"/>
        </w:tabs>
        <w:spacing w:before="360" w:after="120"/>
        <w:jc w:val="both"/>
        <w:rPr>
          <w:rFonts w:ascii="Arial" w:hAnsi="Arial"/>
          <w:szCs w:val="20"/>
        </w:rPr>
      </w:pPr>
      <w:r w:rsidRPr="00445B8E">
        <w:rPr>
          <w:rFonts w:ascii="Arial" w:hAnsi="Arial"/>
          <w:b/>
          <w:color w:val="000000"/>
          <w:szCs w:val="20"/>
        </w:rPr>
        <w:t>3.1.</w:t>
      </w:r>
      <w:r w:rsidRPr="00445B8E">
        <w:rPr>
          <w:rFonts w:ascii="Arial" w:hAnsi="Arial"/>
          <w:b/>
          <w:color w:val="000000"/>
          <w:szCs w:val="20"/>
        </w:rPr>
        <w:tab/>
        <w:t>Výdavky základného fondu nemocenského poistenia</w:t>
      </w:r>
      <w:r w:rsidRPr="00445B8E">
        <w:rPr>
          <w:rFonts w:ascii="Arial" w:hAnsi="Arial"/>
          <w:b/>
          <w:color w:val="000000"/>
          <w:szCs w:val="20"/>
        </w:rPr>
        <w:tab/>
        <w:t>198 630</w:t>
      </w:r>
      <w:r w:rsidRPr="00445B8E">
        <w:rPr>
          <w:rFonts w:ascii="Arial" w:hAnsi="Arial"/>
          <w:b/>
          <w:szCs w:val="20"/>
        </w:rPr>
        <w:t> tis. Eur</w:t>
      </w:r>
      <w:r w:rsidRPr="00445B8E">
        <w:rPr>
          <w:rFonts w:ascii="Arial" w:hAnsi="Arial"/>
          <w:szCs w:val="20"/>
        </w:rPr>
        <w:t>,</w:t>
      </w:r>
      <w:r w:rsidRPr="00445B8E">
        <w:rPr>
          <w:rFonts w:ascii="Arial" w:hAnsi="Arial"/>
          <w:b/>
          <w:color w:val="000000"/>
          <w:szCs w:val="20"/>
        </w:rPr>
        <w:br/>
      </w:r>
      <w:r w:rsidRPr="00445B8E">
        <w:rPr>
          <w:rFonts w:ascii="Arial" w:hAnsi="Arial"/>
          <w:color w:val="000000"/>
          <w:szCs w:val="20"/>
        </w:rPr>
        <w:t xml:space="preserve">čo je 56,99 % upraveného </w:t>
      </w:r>
      <w:r w:rsidRPr="00445B8E">
        <w:rPr>
          <w:rFonts w:ascii="Arial" w:hAnsi="Arial"/>
          <w:szCs w:val="20"/>
        </w:rPr>
        <w:t xml:space="preserve">rozpočtu </w:t>
      </w:r>
      <w:r w:rsidRPr="00445B8E">
        <w:rPr>
          <w:rFonts w:ascii="Arial" w:hAnsi="Arial"/>
          <w:color w:val="000000"/>
          <w:szCs w:val="20"/>
        </w:rPr>
        <w:t>vo výške</w:t>
      </w:r>
      <w:r w:rsidRPr="00445B8E">
        <w:rPr>
          <w:rFonts w:ascii="Arial" w:hAnsi="Arial"/>
          <w:color w:val="000000"/>
          <w:szCs w:val="20"/>
        </w:rPr>
        <w:tab/>
        <w:t>348 521 tis. Eur</w:t>
      </w:r>
      <w:r w:rsidRPr="00445B8E">
        <w:rPr>
          <w:rFonts w:ascii="Arial" w:hAnsi="Arial"/>
          <w:szCs w:val="20"/>
        </w:rPr>
        <w:br/>
        <w:t>a 108,07 % časového rozpisu vo výške</w:t>
      </w:r>
      <w:r w:rsidRPr="00445B8E">
        <w:rPr>
          <w:rFonts w:ascii="Arial" w:hAnsi="Arial"/>
          <w:szCs w:val="20"/>
        </w:rPr>
        <w:tab/>
        <w:t>183 796 tis. Eur</w:t>
      </w:r>
      <w:r w:rsidRPr="00445B8E">
        <w:rPr>
          <w:rFonts w:ascii="Arial" w:hAnsi="Arial"/>
          <w:color w:val="000000"/>
          <w:szCs w:val="20"/>
        </w:rPr>
        <w:t>.</w:t>
      </w:r>
    </w:p>
    <w:p w:rsidR="00445B8E" w:rsidRPr="00445B8E" w:rsidRDefault="00445B8E" w:rsidP="00445B8E">
      <w:pPr>
        <w:spacing w:after="120"/>
        <w:ind w:firstLine="720"/>
        <w:jc w:val="both"/>
        <w:rPr>
          <w:rFonts w:ascii="Arial" w:hAnsi="Arial"/>
          <w:szCs w:val="20"/>
        </w:rPr>
      </w:pPr>
      <w:r w:rsidRPr="00445B8E">
        <w:rPr>
          <w:rFonts w:ascii="Arial" w:hAnsi="Arial"/>
          <w:szCs w:val="20"/>
        </w:rPr>
        <w:t>V mesiacoch január až jún 2011 boli výdavky základného fondu nemocenského poistenia v porovnaní s časovým rozpisom a v porovnaní s rovnakým obdobím roka 2010 takéto:</w:t>
      </w:r>
    </w:p>
    <w:tbl>
      <w:tblPr>
        <w:tblW w:w="9385" w:type="dxa"/>
        <w:tblInd w:w="55" w:type="dxa"/>
        <w:tblCellMar>
          <w:left w:w="70" w:type="dxa"/>
          <w:right w:w="70" w:type="dxa"/>
        </w:tblCellMar>
        <w:tblLook w:val="04A0" w:firstRow="1" w:lastRow="0" w:firstColumn="1" w:lastColumn="0" w:noHBand="0" w:noVBand="1"/>
      </w:tblPr>
      <w:tblGrid>
        <w:gridCol w:w="2425"/>
        <w:gridCol w:w="1160"/>
        <w:gridCol w:w="1160"/>
        <w:gridCol w:w="1160"/>
        <w:gridCol w:w="820"/>
        <w:gridCol w:w="820"/>
        <w:gridCol w:w="920"/>
        <w:gridCol w:w="920"/>
      </w:tblGrid>
      <w:tr w:rsidR="00445B8E" w:rsidRPr="00445B8E" w:rsidTr="009D0C61">
        <w:trPr>
          <w:trHeight w:val="255"/>
        </w:trPr>
        <w:tc>
          <w:tcPr>
            <w:tcW w:w="2425"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16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16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16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82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82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v tis. Eur</w:t>
            </w:r>
          </w:p>
        </w:tc>
      </w:tr>
      <w:tr w:rsidR="00445B8E" w:rsidRPr="00445B8E" w:rsidTr="009D0C61">
        <w:trPr>
          <w:trHeight w:val="255"/>
        </w:trPr>
        <w:tc>
          <w:tcPr>
            <w:tcW w:w="242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Druh dávky</w:t>
            </w:r>
          </w:p>
        </w:tc>
        <w:tc>
          <w:tcPr>
            <w:tcW w:w="34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Január až jún</w:t>
            </w:r>
          </w:p>
        </w:tc>
        <w:tc>
          <w:tcPr>
            <w:tcW w:w="1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Rozdiel</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 plnenia  (3/1)</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Index (3/2) v %</w:t>
            </w:r>
          </w:p>
        </w:tc>
      </w:tr>
      <w:tr w:rsidR="00445B8E" w:rsidRPr="00445B8E" w:rsidTr="009D0C61">
        <w:trPr>
          <w:trHeight w:val="510"/>
        </w:trPr>
        <w:tc>
          <w:tcPr>
            <w:tcW w:w="2425"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0"/>
                <w:szCs w:val="20"/>
              </w:rPr>
            </w:pPr>
          </w:p>
        </w:tc>
        <w:tc>
          <w:tcPr>
            <w:tcW w:w="1160" w:type="dxa"/>
            <w:tcBorders>
              <w:top w:val="nil"/>
              <w:left w:val="nil"/>
              <w:bottom w:val="nil"/>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časový rozpis 2011</w:t>
            </w:r>
          </w:p>
        </w:tc>
        <w:tc>
          <w:tcPr>
            <w:tcW w:w="1160" w:type="dxa"/>
            <w:tcBorders>
              <w:top w:val="nil"/>
              <w:left w:val="nil"/>
              <w:bottom w:val="nil"/>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skutočnosť 2010</w:t>
            </w:r>
          </w:p>
        </w:tc>
        <w:tc>
          <w:tcPr>
            <w:tcW w:w="1160" w:type="dxa"/>
            <w:tcBorders>
              <w:top w:val="nil"/>
              <w:left w:val="nil"/>
              <w:bottom w:val="nil"/>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skutočnosť 2011</w:t>
            </w:r>
          </w:p>
        </w:tc>
        <w:tc>
          <w:tcPr>
            <w:tcW w:w="820"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(3-1)</w:t>
            </w:r>
          </w:p>
        </w:tc>
        <w:tc>
          <w:tcPr>
            <w:tcW w:w="820"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(3-2)</w:t>
            </w:r>
          </w:p>
        </w:tc>
        <w:tc>
          <w:tcPr>
            <w:tcW w:w="920" w:type="dxa"/>
            <w:vMerge/>
            <w:tcBorders>
              <w:top w:val="single" w:sz="4" w:space="0" w:color="auto"/>
              <w:left w:val="single" w:sz="4" w:space="0" w:color="auto"/>
              <w:bottom w:val="single" w:sz="4" w:space="0" w:color="000000"/>
              <w:right w:val="single" w:sz="4" w:space="0" w:color="auto"/>
            </w:tcBorders>
            <w:vAlign w:val="center"/>
            <w:hideMark/>
          </w:tcPr>
          <w:p w:rsidR="00445B8E" w:rsidRPr="00445B8E" w:rsidRDefault="00445B8E" w:rsidP="00445B8E">
            <w:pPr>
              <w:rPr>
                <w:rFonts w:ascii="Arial" w:hAnsi="Arial" w:cs="Arial"/>
                <w:sz w:val="20"/>
                <w:szCs w:val="20"/>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rsidR="00445B8E" w:rsidRPr="00445B8E" w:rsidRDefault="00445B8E" w:rsidP="00445B8E">
            <w:pPr>
              <w:rPr>
                <w:rFonts w:ascii="Arial" w:hAnsi="Arial" w:cs="Arial"/>
                <w:sz w:val="20"/>
                <w:szCs w:val="20"/>
              </w:rPr>
            </w:pPr>
          </w:p>
        </w:tc>
      </w:tr>
      <w:tr w:rsidR="00445B8E" w:rsidRPr="00445B8E" w:rsidTr="009D0C61">
        <w:trPr>
          <w:trHeight w:val="255"/>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a</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1</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3</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4</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5</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6</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7</w:t>
            </w:r>
          </w:p>
        </w:tc>
      </w:tr>
      <w:tr w:rsidR="00445B8E" w:rsidRPr="00445B8E" w:rsidTr="009D0C61">
        <w:trPr>
          <w:trHeight w:val="255"/>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nemocenské</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133 384</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136 699</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142 866</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9 482</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6 167</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107,11</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104,51</w:t>
            </w:r>
          </w:p>
        </w:tc>
      </w:tr>
      <w:tr w:rsidR="00445B8E" w:rsidRPr="00445B8E" w:rsidTr="009D0C61">
        <w:trPr>
          <w:trHeight w:val="255"/>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 xml:space="preserve">ošetrovné </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4 961</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4 632</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5 727</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766</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1 095</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115,44</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123,64</w:t>
            </w:r>
          </w:p>
        </w:tc>
      </w:tr>
      <w:tr w:rsidR="00445B8E" w:rsidRPr="00445B8E" w:rsidTr="009D0C61">
        <w:trPr>
          <w:trHeight w:val="255"/>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vyrovnávacia dávka</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49</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27</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27</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-22</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0</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55,10</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100,00</w:t>
            </w:r>
          </w:p>
        </w:tc>
      </w:tr>
      <w:tr w:rsidR="00445B8E" w:rsidRPr="00445B8E" w:rsidTr="009D0C61">
        <w:trPr>
          <w:trHeight w:val="255"/>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materské</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45 402</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36 778</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50 012</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4 610</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13 234</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110,15</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135,98</w:t>
            </w:r>
          </w:p>
        </w:tc>
      </w:tr>
      <w:tr w:rsidR="00445B8E" w:rsidRPr="00445B8E" w:rsidTr="009D0C61">
        <w:trPr>
          <w:trHeight w:val="255"/>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zúčtovanie dávok § 112</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0</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0,00</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40,00</w:t>
            </w:r>
          </w:p>
        </w:tc>
      </w:tr>
      <w:tr w:rsidR="00445B8E" w:rsidRPr="00445B8E" w:rsidTr="009D0C61">
        <w:trPr>
          <w:trHeight w:val="255"/>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Celkom výdavky</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183 796</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178 131</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198 630</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14 834</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20 499</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108,07</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111,51</w:t>
            </w:r>
          </w:p>
        </w:tc>
      </w:tr>
    </w:tbl>
    <w:p w:rsidR="00445B8E" w:rsidRPr="00445B8E" w:rsidRDefault="00445B8E" w:rsidP="00445B8E">
      <w:pPr>
        <w:spacing w:after="120"/>
        <w:ind w:firstLine="720"/>
        <w:jc w:val="both"/>
        <w:rPr>
          <w:rFonts w:ascii="Arial" w:hAnsi="Arial"/>
          <w:szCs w:val="20"/>
        </w:rPr>
      </w:pPr>
    </w:p>
    <w:p w:rsidR="00445B8E" w:rsidRPr="00445B8E" w:rsidRDefault="00445B8E" w:rsidP="00445B8E">
      <w:pPr>
        <w:spacing w:after="120"/>
        <w:ind w:firstLine="720"/>
        <w:jc w:val="both"/>
        <w:rPr>
          <w:rFonts w:ascii="Arial" w:hAnsi="Arial"/>
          <w:szCs w:val="20"/>
        </w:rPr>
      </w:pPr>
      <w:r w:rsidRPr="00445B8E">
        <w:rPr>
          <w:rFonts w:ascii="Arial" w:hAnsi="Arial"/>
          <w:szCs w:val="20"/>
        </w:rPr>
        <w:t xml:space="preserve">Na výšku výdavkov na nemocenské dávky mal vplyv nárast počtu prípadov dávky nemocenské a ošetrovné a nárast priemernej mesačnej výšky dávky materské, oproti predpokladu zapracovanom v rozpočte. </w:t>
      </w:r>
      <w:r w:rsidRPr="00445B8E">
        <w:rPr>
          <w:rFonts w:ascii="Arial" w:hAnsi="Arial" w:cs="Arial"/>
        </w:rPr>
        <w:t>Vývoj ukazovateľov bol takýto:</w:t>
      </w:r>
    </w:p>
    <w:p w:rsidR="00445B8E" w:rsidRPr="00445B8E" w:rsidRDefault="00445B8E" w:rsidP="00445B8E">
      <w:pPr>
        <w:numPr>
          <w:ilvl w:val="0"/>
          <w:numId w:val="17"/>
        </w:numPr>
        <w:spacing w:after="120"/>
        <w:ind w:hanging="720"/>
        <w:contextualSpacing/>
        <w:jc w:val="both"/>
        <w:rPr>
          <w:rFonts w:ascii="Arial" w:hAnsi="Arial"/>
          <w:szCs w:val="20"/>
        </w:rPr>
      </w:pPr>
      <w:r w:rsidRPr="00445B8E">
        <w:rPr>
          <w:rFonts w:ascii="Arial" w:hAnsi="Arial"/>
          <w:szCs w:val="20"/>
        </w:rPr>
        <w:t>priemerný mesačný počet prípadov dávky:</w:t>
      </w:r>
    </w:p>
    <w:tbl>
      <w:tblPr>
        <w:tblW w:w="8140" w:type="dxa"/>
        <w:tblInd w:w="55" w:type="dxa"/>
        <w:tblCellMar>
          <w:left w:w="70" w:type="dxa"/>
          <w:right w:w="70" w:type="dxa"/>
        </w:tblCellMar>
        <w:tblLook w:val="04A0" w:firstRow="1" w:lastRow="0" w:firstColumn="1" w:lastColumn="0" w:noHBand="0" w:noVBand="1"/>
      </w:tblPr>
      <w:tblGrid>
        <w:gridCol w:w="2100"/>
        <w:gridCol w:w="1160"/>
        <w:gridCol w:w="1160"/>
        <w:gridCol w:w="1160"/>
        <w:gridCol w:w="820"/>
        <w:gridCol w:w="820"/>
        <w:gridCol w:w="920"/>
      </w:tblGrid>
      <w:tr w:rsidR="00445B8E" w:rsidRPr="00445B8E" w:rsidTr="009D0C61">
        <w:trPr>
          <w:trHeight w:val="255"/>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Druh dávky</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Rozpočet</w:t>
            </w:r>
          </w:p>
        </w:tc>
        <w:tc>
          <w:tcPr>
            <w:tcW w:w="23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Január až jún</w:t>
            </w:r>
          </w:p>
        </w:tc>
        <w:tc>
          <w:tcPr>
            <w:tcW w:w="1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Rozdiel</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Index (3/2) v %</w:t>
            </w:r>
          </w:p>
        </w:tc>
      </w:tr>
      <w:tr w:rsidR="00445B8E" w:rsidRPr="00445B8E" w:rsidTr="009D0C61">
        <w:trPr>
          <w:trHeight w:val="510"/>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0"/>
                <w:szCs w:val="20"/>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0"/>
                <w:szCs w:val="20"/>
              </w:rPr>
            </w:pPr>
          </w:p>
        </w:tc>
        <w:tc>
          <w:tcPr>
            <w:tcW w:w="1160" w:type="dxa"/>
            <w:tcBorders>
              <w:top w:val="nil"/>
              <w:left w:val="nil"/>
              <w:bottom w:val="nil"/>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skutočnosť 2010</w:t>
            </w:r>
          </w:p>
        </w:tc>
        <w:tc>
          <w:tcPr>
            <w:tcW w:w="1160" w:type="dxa"/>
            <w:tcBorders>
              <w:top w:val="nil"/>
              <w:left w:val="nil"/>
              <w:bottom w:val="nil"/>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skutočnosť 2011</w:t>
            </w:r>
          </w:p>
        </w:tc>
        <w:tc>
          <w:tcPr>
            <w:tcW w:w="820"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(3-1)</w:t>
            </w:r>
          </w:p>
        </w:tc>
        <w:tc>
          <w:tcPr>
            <w:tcW w:w="820"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(3-2)</w:t>
            </w:r>
          </w:p>
        </w:tc>
        <w:tc>
          <w:tcPr>
            <w:tcW w:w="920" w:type="dxa"/>
            <w:vMerge/>
            <w:tcBorders>
              <w:top w:val="single" w:sz="4" w:space="0" w:color="auto"/>
              <w:left w:val="single" w:sz="4" w:space="0" w:color="auto"/>
              <w:bottom w:val="single" w:sz="4" w:space="0" w:color="000000"/>
              <w:right w:val="single" w:sz="4" w:space="0" w:color="auto"/>
            </w:tcBorders>
            <w:vAlign w:val="center"/>
            <w:hideMark/>
          </w:tcPr>
          <w:p w:rsidR="00445B8E" w:rsidRPr="00445B8E" w:rsidRDefault="00445B8E" w:rsidP="00445B8E">
            <w:pPr>
              <w:rPr>
                <w:rFonts w:ascii="Arial" w:hAnsi="Arial" w:cs="Arial"/>
                <w:sz w:val="20"/>
                <w:szCs w:val="20"/>
              </w:rPr>
            </w:pP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a</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1</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3</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4</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5</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6</w:t>
            </w: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nemocenské</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110 691</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115 757</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117 029</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6 338</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1 272</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101,10</w:t>
            </w: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 xml:space="preserve">ošetrovné </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10 908</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11 199</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13 080</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2 172</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1 881</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116,80</w:t>
            </w: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vyrovnávacia dávka</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100</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84</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91</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-9</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108,33</w:t>
            </w: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materské</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23 235</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19 826</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22 279</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-956</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2 453</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112,37</w:t>
            </w: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Celkom výdavky</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144 934</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146 866</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152 479</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7 545</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5 613</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103,82</w:t>
            </w:r>
          </w:p>
        </w:tc>
      </w:tr>
    </w:tbl>
    <w:p w:rsidR="00445B8E" w:rsidRPr="00445B8E" w:rsidRDefault="00445B8E" w:rsidP="00445B8E">
      <w:pPr>
        <w:spacing w:after="120"/>
        <w:jc w:val="both"/>
        <w:rPr>
          <w:rFonts w:ascii="Arial" w:hAnsi="Arial"/>
          <w:szCs w:val="20"/>
        </w:rPr>
      </w:pPr>
    </w:p>
    <w:p w:rsidR="00445B8E" w:rsidRPr="00445B8E" w:rsidRDefault="00445B8E" w:rsidP="00445B8E">
      <w:pPr>
        <w:numPr>
          <w:ilvl w:val="0"/>
          <w:numId w:val="17"/>
        </w:numPr>
        <w:spacing w:before="240" w:after="120"/>
        <w:ind w:hanging="720"/>
        <w:contextualSpacing/>
        <w:jc w:val="both"/>
        <w:rPr>
          <w:rFonts w:ascii="Arial" w:hAnsi="Arial"/>
          <w:szCs w:val="20"/>
        </w:rPr>
      </w:pPr>
      <w:r w:rsidRPr="00445B8E">
        <w:rPr>
          <w:rFonts w:ascii="Arial" w:hAnsi="Arial"/>
          <w:szCs w:val="20"/>
        </w:rPr>
        <w:lastRenderedPageBreak/>
        <w:t>priemerná mesačná výška dávky:</w:t>
      </w:r>
    </w:p>
    <w:tbl>
      <w:tblPr>
        <w:tblW w:w="8140" w:type="dxa"/>
        <w:tblInd w:w="55" w:type="dxa"/>
        <w:tblCellMar>
          <w:left w:w="70" w:type="dxa"/>
          <w:right w:w="70" w:type="dxa"/>
        </w:tblCellMar>
        <w:tblLook w:val="04A0" w:firstRow="1" w:lastRow="0" w:firstColumn="1" w:lastColumn="0" w:noHBand="0" w:noVBand="1"/>
      </w:tblPr>
      <w:tblGrid>
        <w:gridCol w:w="2100"/>
        <w:gridCol w:w="1160"/>
        <w:gridCol w:w="1160"/>
        <w:gridCol w:w="1160"/>
        <w:gridCol w:w="820"/>
        <w:gridCol w:w="820"/>
        <w:gridCol w:w="920"/>
      </w:tblGrid>
      <w:tr w:rsidR="00445B8E" w:rsidRPr="00445B8E" w:rsidTr="009D0C61">
        <w:trPr>
          <w:trHeight w:val="255"/>
        </w:trPr>
        <w:tc>
          <w:tcPr>
            <w:tcW w:w="210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16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16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16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82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82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v Eur</w:t>
            </w:r>
          </w:p>
        </w:tc>
      </w:tr>
      <w:tr w:rsidR="00445B8E" w:rsidRPr="00445B8E" w:rsidTr="009D0C61">
        <w:trPr>
          <w:trHeight w:val="255"/>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Druh dávky</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Rozpočet</w:t>
            </w:r>
          </w:p>
        </w:tc>
        <w:tc>
          <w:tcPr>
            <w:tcW w:w="23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Január až jún</w:t>
            </w:r>
          </w:p>
        </w:tc>
        <w:tc>
          <w:tcPr>
            <w:tcW w:w="1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Rozdiel</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Index (3/2) v %</w:t>
            </w:r>
          </w:p>
        </w:tc>
      </w:tr>
      <w:tr w:rsidR="00445B8E" w:rsidRPr="00445B8E" w:rsidTr="009D0C61">
        <w:trPr>
          <w:trHeight w:val="510"/>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0"/>
                <w:szCs w:val="20"/>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0"/>
                <w:szCs w:val="20"/>
              </w:rPr>
            </w:pPr>
          </w:p>
        </w:tc>
        <w:tc>
          <w:tcPr>
            <w:tcW w:w="1160" w:type="dxa"/>
            <w:tcBorders>
              <w:top w:val="nil"/>
              <w:left w:val="nil"/>
              <w:bottom w:val="nil"/>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skutočnosť 2010</w:t>
            </w:r>
          </w:p>
        </w:tc>
        <w:tc>
          <w:tcPr>
            <w:tcW w:w="1160" w:type="dxa"/>
            <w:tcBorders>
              <w:top w:val="nil"/>
              <w:left w:val="nil"/>
              <w:bottom w:val="nil"/>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skutočnosť 2011</w:t>
            </w:r>
          </w:p>
        </w:tc>
        <w:tc>
          <w:tcPr>
            <w:tcW w:w="820"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(3-1)</w:t>
            </w:r>
          </w:p>
        </w:tc>
        <w:tc>
          <w:tcPr>
            <w:tcW w:w="820"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(3-2)</w:t>
            </w:r>
          </w:p>
        </w:tc>
        <w:tc>
          <w:tcPr>
            <w:tcW w:w="920" w:type="dxa"/>
            <w:vMerge/>
            <w:tcBorders>
              <w:top w:val="single" w:sz="4" w:space="0" w:color="auto"/>
              <w:left w:val="single" w:sz="4" w:space="0" w:color="auto"/>
              <w:bottom w:val="single" w:sz="4" w:space="0" w:color="000000"/>
              <w:right w:val="single" w:sz="4" w:space="0" w:color="auto"/>
            </w:tcBorders>
            <w:vAlign w:val="center"/>
            <w:hideMark/>
          </w:tcPr>
          <w:p w:rsidR="00445B8E" w:rsidRPr="00445B8E" w:rsidRDefault="00445B8E" w:rsidP="00445B8E">
            <w:pPr>
              <w:rPr>
                <w:rFonts w:ascii="Arial" w:hAnsi="Arial" w:cs="Arial"/>
                <w:sz w:val="20"/>
                <w:szCs w:val="20"/>
              </w:rPr>
            </w:pP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a</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1</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3</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4</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5</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6</w:t>
            </w: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nemocenské</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228</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197</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204</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-24</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103,55</w:t>
            </w: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 xml:space="preserve">ošetrovné </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75</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69</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73</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105,80</w:t>
            </w: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vyrovnávacia dávka</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54</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54</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50</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92,59</w:t>
            </w:r>
          </w:p>
        </w:tc>
      </w:tr>
      <w:tr w:rsidR="00445B8E" w:rsidRPr="00445B8E" w:rsidTr="009D0C61">
        <w:trPr>
          <w:trHeight w:val="255"/>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materské</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326</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309</w:t>
            </w:r>
          </w:p>
        </w:tc>
        <w:tc>
          <w:tcPr>
            <w:tcW w:w="116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374</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48</w:t>
            </w:r>
          </w:p>
        </w:tc>
        <w:tc>
          <w:tcPr>
            <w:tcW w:w="8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65</w:t>
            </w:r>
          </w:p>
        </w:tc>
        <w:tc>
          <w:tcPr>
            <w:tcW w:w="92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121,04</w:t>
            </w:r>
          </w:p>
        </w:tc>
      </w:tr>
    </w:tbl>
    <w:p w:rsidR="00445B8E" w:rsidRPr="00445B8E" w:rsidRDefault="00445B8E" w:rsidP="00445B8E">
      <w:pPr>
        <w:tabs>
          <w:tab w:val="left" w:pos="709"/>
          <w:tab w:val="decimal" w:pos="8222"/>
        </w:tabs>
        <w:spacing w:before="240" w:after="120"/>
        <w:rPr>
          <w:rFonts w:ascii="Arial" w:hAnsi="Arial"/>
          <w:color w:val="000000" w:themeColor="text1"/>
          <w:szCs w:val="20"/>
        </w:rPr>
      </w:pPr>
    </w:p>
    <w:p w:rsidR="00445B8E" w:rsidRPr="00445B8E" w:rsidRDefault="00445B8E" w:rsidP="00445B8E">
      <w:pPr>
        <w:tabs>
          <w:tab w:val="left" w:pos="709"/>
          <w:tab w:val="decimal" w:pos="8222"/>
        </w:tabs>
        <w:spacing w:before="240" w:after="120"/>
        <w:rPr>
          <w:rFonts w:ascii="Arial" w:hAnsi="Arial"/>
          <w:b/>
          <w:color w:val="000000" w:themeColor="text1"/>
          <w:szCs w:val="20"/>
        </w:rPr>
      </w:pPr>
      <w:r w:rsidRPr="00445B8E">
        <w:rPr>
          <w:rFonts w:ascii="Arial" w:hAnsi="Arial"/>
          <w:b/>
          <w:color w:val="000000" w:themeColor="text1"/>
          <w:szCs w:val="20"/>
        </w:rPr>
        <w:t>3.2.</w:t>
      </w:r>
      <w:r w:rsidRPr="00445B8E">
        <w:rPr>
          <w:rFonts w:ascii="Arial" w:hAnsi="Arial"/>
          <w:b/>
          <w:color w:val="000000" w:themeColor="text1"/>
          <w:szCs w:val="20"/>
        </w:rPr>
        <w:tab/>
        <w:t>Výdavky z dôchodkového poistenia</w:t>
      </w:r>
      <w:r w:rsidRPr="00445B8E">
        <w:rPr>
          <w:rFonts w:ascii="Arial" w:hAnsi="Arial"/>
          <w:b/>
          <w:color w:val="000000" w:themeColor="text1"/>
          <w:szCs w:val="20"/>
        </w:rPr>
        <w:tab/>
        <w:t>2 684 076 tis. Eur</w:t>
      </w:r>
      <w:r w:rsidRPr="00445B8E">
        <w:rPr>
          <w:rFonts w:ascii="Arial" w:hAnsi="Arial"/>
          <w:color w:val="000000" w:themeColor="text1"/>
          <w:szCs w:val="20"/>
        </w:rPr>
        <w:t>,</w:t>
      </w:r>
      <w:r w:rsidRPr="00445B8E">
        <w:rPr>
          <w:rFonts w:ascii="Arial" w:hAnsi="Arial"/>
          <w:color w:val="000000" w:themeColor="text1"/>
          <w:szCs w:val="20"/>
        </w:rPr>
        <w:br/>
        <w:t>čo je 48,87 % upraveného rozpočtu vo výške</w:t>
      </w:r>
      <w:r w:rsidRPr="00445B8E">
        <w:rPr>
          <w:rFonts w:ascii="Arial" w:hAnsi="Arial"/>
          <w:color w:val="000000" w:themeColor="text1"/>
          <w:szCs w:val="20"/>
        </w:rPr>
        <w:tab/>
        <w:t>5 492 665 tis. Eur,</w:t>
      </w:r>
      <w:r w:rsidRPr="00445B8E">
        <w:rPr>
          <w:rFonts w:ascii="Arial" w:hAnsi="Arial"/>
          <w:color w:val="000000" w:themeColor="text1"/>
          <w:szCs w:val="20"/>
        </w:rPr>
        <w:br/>
        <w:t>a 98,11 % časového rozpisu vo výške</w:t>
      </w:r>
      <w:r w:rsidRPr="00445B8E">
        <w:rPr>
          <w:rFonts w:ascii="Arial" w:hAnsi="Arial"/>
          <w:color w:val="000000" w:themeColor="text1"/>
          <w:szCs w:val="20"/>
        </w:rPr>
        <w:tab/>
        <w:t>2 735 736 tis. Eur,</w:t>
      </w:r>
    </w:p>
    <w:p w:rsidR="00445B8E" w:rsidRPr="00445B8E" w:rsidRDefault="00445B8E" w:rsidP="00445B8E">
      <w:pPr>
        <w:tabs>
          <w:tab w:val="left" w:pos="709"/>
          <w:tab w:val="decimal" w:pos="8222"/>
        </w:tabs>
        <w:spacing w:after="120"/>
        <w:rPr>
          <w:rFonts w:ascii="Arial" w:hAnsi="Arial"/>
          <w:color w:val="000000" w:themeColor="text1"/>
          <w:szCs w:val="20"/>
        </w:rPr>
      </w:pPr>
      <w:r w:rsidRPr="00445B8E">
        <w:rPr>
          <w:rFonts w:ascii="Arial" w:hAnsi="Arial"/>
          <w:b/>
          <w:color w:val="000000" w:themeColor="text1"/>
          <w:szCs w:val="20"/>
        </w:rPr>
        <w:t>Výdavky základného fondu starobného poistenia</w:t>
      </w:r>
      <w:r w:rsidRPr="00445B8E">
        <w:rPr>
          <w:rFonts w:ascii="Arial" w:hAnsi="Arial"/>
          <w:b/>
          <w:color w:val="000000" w:themeColor="text1"/>
          <w:szCs w:val="20"/>
        </w:rPr>
        <w:tab/>
        <w:t>2 265 367</w:t>
      </w:r>
      <w:r w:rsidRPr="00445B8E">
        <w:rPr>
          <w:rFonts w:ascii="Arial" w:hAnsi="Arial"/>
          <w:color w:val="000000" w:themeColor="text1"/>
          <w:szCs w:val="20"/>
        </w:rPr>
        <w:t> </w:t>
      </w:r>
      <w:r w:rsidRPr="00445B8E">
        <w:rPr>
          <w:rFonts w:ascii="Arial" w:hAnsi="Arial"/>
          <w:b/>
          <w:color w:val="000000" w:themeColor="text1"/>
          <w:szCs w:val="20"/>
        </w:rPr>
        <w:t>tis. Eur</w:t>
      </w:r>
      <w:r w:rsidRPr="00445B8E">
        <w:rPr>
          <w:rFonts w:ascii="Arial" w:hAnsi="Arial"/>
          <w:color w:val="000000" w:themeColor="text1"/>
          <w:szCs w:val="20"/>
        </w:rPr>
        <w:t>,</w:t>
      </w:r>
      <w:r w:rsidRPr="00445B8E">
        <w:rPr>
          <w:rFonts w:ascii="Arial" w:hAnsi="Arial"/>
          <w:color w:val="000000" w:themeColor="text1"/>
          <w:szCs w:val="20"/>
        </w:rPr>
        <w:br/>
        <w:t>čo je 48,62 % upraveného rozpočtu vo výške</w:t>
      </w:r>
      <w:r w:rsidRPr="00445B8E">
        <w:rPr>
          <w:rFonts w:ascii="Arial" w:hAnsi="Arial"/>
          <w:color w:val="000000" w:themeColor="text1"/>
          <w:szCs w:val="20"/>
        </w:rPr>
        <w:tab/>
        <w:t>4 659 053 tis. Eur,</w:t>
      </w:r>
      <w:r w:rsidRPr="00445B8E">
        <w:rPr>
          <w:rFonts w:ascii="Arial" w:hAnsi="Arial"/>
          <w:color w:val="000000" w:themeColor="text1"/>
          <w:szCs w:val="20"/>
        </w:rPr>
        <w:br/>
        <w:t>a 97,65 % časového rozpisu vo výške</w:t>
      </w:r>
      <w:r w:rsidRPr="00445B8E">
        <w:rPr>
          <w:rFonts w:ascii="Arial" w:hAnsi="Arial"/>
          <w:color w:val="000000" w:themeColor="text1"/>
          <w:szCs w:val="20"/>
        </w:rPr>
        <w:tab/>
        <w:t>2 319 988 tis. Eur, </w:t>
      </w:r>
    </w:p>
    <w:p w:rsidR="00445B8E" w:rsidRPr="00445B8E" w:rsidRDefault="00445B8E" w:rsidP="00445B8E">
      <w:pPr>
        <w:tabs>
          <w:tab w:val="left" w:pos="709"/>
          <w:tab w:val="decimal" w:pos="8222"/>
        </w:tabs>
        <w:spacing w:after="120"/>
        <w:jc w:val="both"/>
        <w:rPr>
          <w:rFonts w:ascii="Arial" w:hAnsi="Arial"/>
          <w:color w:val="000000" w:themeColor="text1"/>
          <w:szCs w:val="20"/>
        </w:rPr>
      </w:pPr>
      <w:r w:rsidRPr="00445B8E">
        <w:rPr>
          <w:rFonts w:ascii="Arial" w:hAnsi="Arial"/>
          <w:b/>
          <w:color w:val="000000" w:themeColor="text1"/>
          <w:szCs w:val="20"/>
        </w:rPr>
        <w:t>Výdavky základného fondu invalidného poistenia</w:t>
      </w:r>
      <w:r w:rsidRPr="00445B8E">
        <w:rPr>
          <w:rFonts w:ascii="Arial" w:hAnsi="Arial"/>
          <w:b/>
          <w:color w:val="000000" w:themeColor="text1"/>
          <w:szCs w:val="20"/>
        </w:rPr>
        <w:tab/>
        <w:t>418 709</w:t>
      </w:r>
      <w:r w:rsidRPr="00445B8E">
        <w:rPr>
          <w:rFonts w:ascii="Arial" w:hAnsi="Arial"/>
          <w:color w:val="000000" w:themeColor="text1"/>
          <w:szCs w:val="20"/>
        </w:rPr>
        <w:t> </w:t>
      </w:r>
      <w:r w:rsidRPr="00445B8E">
        <w:rPr>
          <w:rFonts w:ascii="Arial" w:hAnsi="Arial"/>
          <w:b/>
          <w:color w:val="000000" w:themeColor="text1"/>
          <w:szCs w:val="20"/>
        </w:rPr>
        <w:t>tis. Eur</w:t>
      </w:r>
      <w:r w:rsidRPr="00445B8E">
        <w:rPr>
          <w:rFonts w:ascii="Arial" w:hAnsi="Arial"/>
          <w:color w:val="000000" w:themeColor="text1"/>
          <w:szCs w:val="20"/>
        </w:rPr>
        <w:t>,</w:t>
      </w:r>
      <w:r w:rsidRPr="00445B8E">
        <w:rPr>
          <w:rFonts w:ascii="Arial" w:hAnsi="Arial"/>
          <w:color w:val="000000" w:themeColor="text1"/>
          <w:szCs w:val="20"/>
        </w:rPr>
        <w:br/>
        <w:t>čo je 50,23% rozpočtu vo výške</w:t>
      </w:r>
      <w:r w:rsidRPr="00445B8E">
        <w:rPr>
          <w:rFonts w:ascii="Arial" w:hAnsi="Arial"/>
          <w:color w:val="000000" w:themeColor="text1"/>
          <w:szCs w:val="20"/>
        </w:rPr>
        <w:tab/>
        <w:t>833 612 tis. Eur,</w:t>
      </w:r>
      <w:r w:rsidRPr="00445B8E">
        <w:rPr>
          <w:rFonts w:ascii="Arial" w:hAnsi="Arial"/>
          <w:color w:val="000000" w:themeColor="text1"/>
          <w:szCs w:val="20"/>
        </w:rPr>
        <w:br/>
        <w:t>a 100,71 % časového rozpisu vo výške</w:t>
      </w:r>
      <w:r w:rsidRPr="00445B8E">
        <w:rPr>
          <w:rFonts w:ascii="Arial" w:hAnsi="Arial"/>
          <w:color w:val="000000" w:themeColor="text1"/>
          <w:szCs w:val="20"/>
        </w:rPr>
        <w:tab/>
        <w:t>415 748 tis. Eur.</w:t>
      </w:r>
    </w:p>
    <w:p w:rsidR="00445B8E" w:rsidRPr="00445B8E" w:rsidRDefault="00445B8E" w:rsidP="00445B8E">
      <w:pPr>
        <w:tabs>
          <w:tab w:val="decimal" w:pos="-4500"/>
          <w:tab w:val="left" w:pos="-1418"/>
        </w:tabs>
        <w:spacing w:before="240" w:after="120"/>
        <w:ind w:firstLine="720"/>
        <w:jc w:val="both"/>
        <w:outlineLvl w:val="0"/>
        <w:rPr>
          <w:rFonts w:ascii="Arial" w:hAnsi="Arial"/>
          <w:color w:val="000000" w:themeColor="text1"/>
          <w:szCs w:val="20"/>
        </w:rPr>
      </w:pPr>
      <w:r w:rsidRPr="00445B8E">
        <w:rPr>
          <w:rFonts w:ascii="Arial" w:hAnsi="Arial"/>
          <w:color w:val="000000" w:themeColor="text1"/>
          <w:szCs w:val="20"/>
        </w:rPr>
        <w:t xml:space="preserve">Čerpanie finančných prostriedkov z dôchodkového poistenia bolo nižšie o 51 660 tis. Eur, oproti časovému rozpisu. </w:t>
      </w:r>
    </w:p>
    <w:p w:rsidR="00445B8E" w:rsidRPr="00445B8E" w:rsidRDefault="00445B8E" w:rsidP="00445B8E">
      <w:pPr>
        <w:tabs>
          <w:tab w:val="decimal" w:pos="-4500"/>
          <w:tab w:val="left" w:pos="-1418"/>
        </w:tabs>
        <w:spacing w:after="120"/>
        <w:ind w:firstLine="720"/>
        <w:jc w:val="both"/>
        <w:outlineLvl w:val="0"/>
        <w:rPr>
          <w:rFonts w:ascii="Arial" w:hAnsi="Arial"/>
          <w:szCs w:val="20"/>
        </w:rPr>
      </w:pPr>
      <w:r w:rsidRPr="00445B8E">
        <w:rPr>
          <w:rFonts w:ascii="Arial" w:hAnsi="Arial"/>
          <w:szCs w:val="20"/>
        </w:rPr>
        <w:t>Na nižšom plnení časového rozpisu sa v prevažnej miere podieľa skutočnosť, že v mesiaci jún 2011 boli v rozpise rozpočtu zapracované finančné prostriedky vo výške 18 300 tis. Eur aj na splatnosť 2. júla na účty v bankách. Tieto finančné prostriedky boli z bankového účtu dôchodkového poistenia odpísané až 1. deň v mesiaci júl 2011</w:t>
      </w:r>
    </w:p>
    <w:p w:rsidR="00445B8E" w:rsidRPr="00445B8E" w:rsidRDefault="00445B8E" w:rsidP="00445B8E">
      <w:pPr>
        <w:tabs>
          <w:tab w:val="left" w:pos="-1418"/>
          <w:tab w:val="decimal" w:pos="8222"/>
        </w:tabs>
        <w:spacing w:before="240" w:after="120"/>
        <w:ind w:firstLine="720"/>
        <w:jc w:val="both"/>
        <w:rPr>
          <w:rFonts w:ascii="Arial" w:hAnsi="Arial"/>
          <w:szCs w:val="20"/>
        </w:rPr>
      </w:pPr>
      <w:r w:rsidRPr="00445B8E">
        <w:rPr>
          <w:rFonts w:ascii="Arial" w:hAnsi="Arial"/>
          <w:szCs w:val="20"/>
        </w:rPr>
        <w:t>Nižšie, ako rozpočtované výdavky boli v dôchodkoch:</w:t>
      </w:r>
    </w:p>
    <w:p w:rsidR="00445B8E" w:rsidRPr="00445B8E" w:rsidRDefault="00445B8E" w:rsidP="00445B8E">
      <w:pPr>
        <w:numPr>
          <w:ilvl w:val="0"/>
          <w:numId w:val="14"/>
        </w:numPr>
        <w:tabs>
          <w:tab w:val="left" w:pos="-1418"/>
          <w:tab w:val="num" w:pos="360"/>
        </w:tabs>
        <w:spacing w:before="240" w:after="120"/>
        <w:ind w:left="0" w:firstLine="0"/>
        <w:jc w:val="both"/>
        <w:rPr>
          <w:rFonts w:ascii="Arial" w:hAnsi="Arial" w:cs="Arial"/>
        </w:rPr>
      </w:pPr>
      <w:r w:rsidRPr="00445B8E">
        <w:rPr>
          <w:rFonts w:ascii="Arial" w:hAnsi="Arial"/>
          <w:szCs w:val="20"/>
        </w:rPr>
        <w:t xml:space="preserve">predčasných starobných, najmä zmenou podmienok nároku na výplatu predčasného starobného dôchodku podľa § 67 ods. 5 zákona o sociálnom poistení (zárobok alebo dôchodok). Na základe uvedenej zmeny 10 807 poberateľov predčasného starobného dôchodku sa rozhodlo pozastaviť vyplácanie dôchodku a ostalo naďalej pracovať, čo sa premietlo v znížení výdavkov za hodnotené obdobie o 20 082 tis. Eur. Na nižšom plnení sa podieľa aj nižší počet a nižšia priemerná výška novopriznávaných dôchodkov, </w:t>
      </w:r>
      <w:r w:rsidRPr="00445B8E">
        <w:rPr>
          <w:rFonts w:ascii="Arial" w:hAnsi="Arial" w:cs="Arial"/>
        </w:rPr>
        <w:t>ako bolo rozpočtované na rok 2011 a vyšší počet ako aj vyššia priemerná výška presunutých predčasných starobných dôchodkov do starobných dôchodkov po dovŕšení dôchodkového veku poberateľa ako bolo rozpočtované,</w:t>
      </w:r>
    </w:p>
    <w:p w:rsidR="00445B8E" w:rsidRPr="00445B8E" w:rsidRDefault="00445B8E" w:rsidP="00445B8E">
      <w:pPr>
        <w:numPr>
          <w:ilvl w:val="0"/>
          <w:numId w:val="14"/>
        </w:numPr>
        <w:tabs>
          <w:tab w:val="left" w:pos="-1418"/>
          <w:tab w:val="num" w:pos="360"/>
          <w:tab w:val="decimal" w:pos="8222"/>
        </w:tabs>
        <w:spacing w:before="120" w:after="120" w:line="276" w:lineRule="auto"/>
        <w:ind w:left="0" w:firstLine="0"/>
        <w:jc w:val="both"/>
        <w:rPr>
          <w:rFonts w:ascii="Arial" w:hAnsi="Arial"/>
          <w:szCs w:val="20"/>
        </w:rPr>
      </w:pPr>
      <w:r w:rsidRPr="00445B8E">
        <w:rPr>
          <w:rFonts w:ascii="Arial" w:hAnsi="Arial"/>
          <w:szCs w:val="20"/>
        </w:rPr>
        <w:t xml:space="preserve">vdovských a sirotských, z dôvodu nižšieho počtu vyplácaných dôchodkov </w:t>
      </w:r>
      <w:r w:rsidRPr="00445B8E">
        <w:rPr>
          <w:rFonts w:ascii="Arial" w:hAnsi="Arial" w:cs="Arial"/>
        </w:rPr>
        <w:t>ako bolo rozpočtované na rok 2011.</w:t>
      </w:r>
    </w:p>
    <w:p w:rsidR="00445B8E" w:rsidRPr="00445B8E" w:rsidRDefault="00445B8E" w:rsidP="00445B8E">
      <w:pPr>
        <w:tabs>
          <w:tab w:val="left" w:pos="-1418"/>
          <w:tab w:val="decimal" w:pos="8222"/>
        </w:tabs>
        <w:spacing w:before="240" w:after="120"/>
        <w:ind w:firstLine="709"/>
        <w:jc w:val="both"/>
        <w:rPr>
          <w:rFonts w:ascii="Arial" w:hAnsi="Arial"/>
          <w:color w:val="000000" w:themeColor="text1"/>
          <w:szCs w:val="20"/>
        </w:rPr>
      </w:pPr>
    </w:p>
    <w:p w:rsidR="00445B8E" w:rsidRPr="00445B8E" w:rsidRDefault="00445B8E" w:rsidP="00445B8E">
      <w:pPr>
        <w:tabs>
          <w:tab w:val="left" w:pos="-1418"/>
          <w:tab w:val="decimal" w:pos="8222"/>
        </w:tabs>
        <w:spacing w:before="240" w:after="120"/>
        <w:ind w:firstLine="709"/>
        <w:jc w:val="both"/>
        <w:rPr>
          <w:rFonts w:ascii="Arial" w:hAnsi="Arial"/>
          <w:color w:val="000000" w:themeColor="text1"/>
          <w:szCs w:val="20"/>
        </w:rPr>
      </w:pPr>
      <w:r w:rsidRPr="00445B8E">
        <w:rPr>
          <w:rFonts w:ascii="Arial" w:hAnsi="Arial"/>
          <w:color w:val="000000" w:themeColor="text1"/>
          <w:szCs w:val="20"/>
        </w:rPr>
        <w:t>Vyššie, ako rozpočtované, boli výdavky na dôchodky:</w:t>
      </w:r>
    </w:p>
    <w:p w:rsidR="00445B8E" w:rsidRPr="00445B8E" w:rsidRDefault="00445B8E" w:rsidP="00445B8E">
      <w:pPr>
        <w:numPr>
          <w:ilvl w:val="0"/>
          <w:numId w:val="14"/>
        </w:numPr>
        <w:tabs>
          <w:tab w:val="left" w:pos="-1418"/>
          <w:tab w:val="num" w:pos="360"/>
          <w:tab w:val="decimal" w:pos="8222"/>
        </w:tabs>
        <w:spacing w:before="240" w:after="120"/>
        <w:ind w:left="0" w:firstLine="0"/>
        <w:jc w:val="both"/>
        <w:rPr>
          <w:rFonts w:ascii="Arial" w:hAnsi="Arial"/>
          <w:color w:val="000000" w:themeColor="text1"/>
          <w:szCs w:val="20"/>
        </w:rPr>
      </w:pPr>
      <w:r w:rsidRPr="00445B8E">
        <w:rPr>
          <w:rFonts w:ascii="Arial" w:hAnsi="Arial"/>
          <w:color w:val="000000" w:themeColor="text1"/>
          <w:szCs w:val="20"/>
        </w:rPr>
        <w:lastRenderedPageBreak/>
        <w:t>invalidné, z dôvodu vyššieho počtu novopriznávaných dôchodkov ako bolo rozpočtované,</w:t>
      </w:r>
    </w:p>
    <w:p w:rsidR="00445B8E" w:rsidRPr="00445B8E" w:rsidRDefault="00445B8E" w:rsidP="00445B8E">
      <w:pPr>
        <w:numPr>
          <w:ilvl w:val="0"/>
          <w:numId w:val="14"/>
        </w:numPr>
        <w:tabs>
          <w:tab w:val="left" w:pos="-1418"/>
          <w:tab w:val="num" w:pos="360"/>
        </w:tabs>
        <w:spacing w:before="240" w:after="120"/>
        <w:ind w:left="0" w:firstLine="0"/>
        <w:jc w:val="both"/>
        <w:rPr>
          <w:rFonts w:ascii="Arial" w:hAnsi="Arial" w:cs="Arial"/>
          <w:color w:val="000000" w:themeColor="text1"/>
        </w:rPr>
      </w:pPr>
      <w:r w:rsidRPr="00445B8E">
        <w:rPr>
          <w:rFonts w:ascii="Arial" w:hAnsi="Arial"/>
          <w:color w:val="000000" w:themeColor="text1"/>
          <w:szCs w:val="20"/>
        </w:rPr>
        <w:t>starobné, čo je spôsobené najmä</w:t>
      </w:r>
      <w:r w:rsidRPr="00445B8E">
        <w:rPr>
          <w:rFonts w:ascii="Arial" w:hAnsi="Arial" w:cs="Arial"/>
          <w:color w:val="000000" w:themeColor="text1"/>
        </w:rPr>
        <w:t xml:space="preserve"> vyšším počtom ako aj vyššou priemernou výškou presunutých predčasných starobných dôchodkov do starobných dôchodkov po dovŕšení dôchodkového veku poberateľa ako bolo rozpočtované.</w:t>
      </w:r>
    </w:p>
    <w:p w:rsidR="00445B8E" w:rsidRPr="00445B8E" w:rsidRDefault="00445B8E" w:rsidP="00445B8E">
      <w:pPr>
        <w:tabs>
          <w:tab w:val="left" w:pos="-1418"/>
          <w:tab w:val="decimal" w:pos="8222"/>
        </w:tabs>
        <w:spacing w:before="240" w:after="120"/>
        <w:ind w:firstLine="720"/>
        <w:jc w:val="both"/>
        <w:rPr>
          <w:rFonts w:ascii="Arial" w:hAnsi="Arial"/>
          <w:szCs w:val="20"/>
        </w:rPr>
      </w:pPr>
      <w:r w:rsidRPr="00445B8E">
        <w:rPr>
          <w:rFonts w:ascii="Arial" w:hAnsi="Arial"/>
          <w:szCs w:val="20"/>
        </w:rPr>
        <w:t>Výška výdavkov na dôchodkové dávky v hodnotenom období zahŕňa aj zvýšenie dôchodkov od 1. januára  2011, v zmysle § 82 zákona o sociálnom poistení o 1,8 % vo výške 50 637 tis. Eur, v ktorej sa zvýšenie od prvého dňa v mesiaci prejavilo v sume 3 154 tis. Eur. Zvýšenie na jeden dôchodok predstavovalo 4,98 Eur (na starobný dôchodok 5,98 Eur, predčasný starobný dôchodok 6,36 Eur a na invalidný dôchodok 4,56 Eur).</w:t>
      </w:r>
    </w:p>
    <w:p w:rsidR="00445B8E" w:rsidRPr="00445B8E" w:rsidRDefault="00445B8E" w:rsidP="00445B8E">
      <w:pPr>
        <w:spacing w:before="240" w:after="120"/>
        <w:ind w:right="-110" w:firstLine="709"/>
        <w:jc w:val="both"/>
        <w:rPr>
          <w:rFonts w:ascii="Arial" w:hAnsi="Arial"/>
          <w:color w:val="000000" w:themeColor="text1"/>
          <w:szCs w:val="20"/>
        </w:rPr>
      </w:pPr>
      <w:r w:rsidRPr="00445B8E">
        <w:rPr>
          <w:rFonts w:ascii="Arial" w:hAnsi="Arial"/>
          <w:color w:val="000000" w:themeColor="text1"/>
          <w:szCs w:val="20"/>
        </w:rPr>
        <w:t>Podiel jednotlivých dôchodkových dávok na celkových výdavkoch v percentuálnom vyjadrení je znázornený v nasledujúcom grafe:</w:t>
      </w:r>
    </w:p>
    <w:p w:rsidR="00445B8E" w:rsidRPr="00445B8E" w:rsidRDefault="00445B8E" w:rsidP="00445B8E">
      <w:pPr>
        <w:tabs>
          <w:tab w:val="left" w:pos="-1418"/>
        </w:tabs>
        <w:spacing w:before="240" w:after="120"/>
        <w:rPr>
          <w:rFonts w:ascii="Arial" w:hAnsi="Arial"/>
          <w:szCs w:val="20"/>
        </w:rPr>
      </w:pPr>
      <w:r w:rsidRPr="00445B8E">
        <w:rPr>
          <w:rFonts w:ascii="Arial" w:hAnsi="Arial"/>
          <w:noProof/>
          <w:szCs w:val="20"/>
        </w:rPr>
        <w:drawing>
          <wp:inline distT="0" distB="0" distL="0" distR="0" wp14:anchorId="7C43F8FA" wp14:editId="56B38821">
            <wp:extent cx="5760720" cy="2274698"/>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45B8E" w:rsidRPr="00445B8E" w:rsidRDefault="00445B8E" w:rsidP="00445B8E">
      <w:pPr>
        <w:spacing w:before="240" w:after="120"/>
        <w:ind w:right="-159" w:firstLine="720"/>
        <w:jc w:val="both"/>
        <w:rPr>
          <w:rFonts w:ascii="Arial" w:hAnsi="Arial"/>
          <w:color w:val="000000"/>
          <w:szCs w:val="20"/>
        </w:rPr>
      </w:pPr>
      <w:r w:rsidRPr="00445B8E">
        <w:rPr>
          <w:rFonts w:ascii="Arial" w:hAnsi="Arial"/>
          <w:color w:val="000000"/>
          <w:szCs w:val="20"/>
        </w:rPr>
        <w:t>V porovnaní so stavom k 31. decembru 2010 sa v hodnotenom období znížil počet vyplácaných dôchodkov o 6 795. Najväčší pokles bol v predčasných starobných dôchodkoch (-11 297) a to najmä z dôvodu zmeny podmienok nároku na výplatu predčasného starobného  dôchodku podľa § 67 ods. 5 zákona o sociálnom poistení (-10 807). Nárast počtu vyplácaných dôchodkov bol zaznamenaný najmä v invalidných dôchodkoch (4 826) a vdoveckých dôchodkoch (775).</w:t>
      </w:r>
    </w:p>
    <w:p w:rsidR="00445B8E" w:rsidRPr="00445B8E" w:rsidRDefault="00445B8E" w:rsidP="00445B8E">
      <w:pPr>
        <w:spacing w:before="240" w:after="120"/>
        <w:ind w:firstLine="720"/>
        <w:jc w:val="both"/>
        <w:rPr>
          <w:rFonts w:ascii="Arial" w:hAnsi="Arial" w:cs="Arial"/>
          <w:color w:val="000000"/>
        </w:rPr>
      </w:pPr>
      <w:r w:rsidRPr="00445B8E">
        <w:rPr>
          <w:rFonts w:ascii="Arial" w:hAnsi="Arial"/>
          <w:color w:val="000000"/>
          <w:szCs w:val="20"/>
        </w:rPr>
        <w:t xml:space="preserve">Prehľad o počte vyplácaných dôchodkov podľa druhu dôchodku k 30. júnu 2011, v porovnaní so stavom k 30. júnu </w:t>
      </w:r>
      <w:r w:rsidRPr="00445B8E">
        <w:rPr>
          <w:rFonts w:ascii="Arial" w:hAnsi="Arial" w:cs="Arial"/>
          <w:color w:val="000000"/>
        </w:rPr>
        <w:t>2010 a k 31. decembru 2010 je v nasledujúcej tabuľke:</w:t>
      </w:r>
    </w:p>
    <w:p w:rsidR="00445B8E" w:rsidRPr="00445B8E" w:rsidRDefault="00445B8E" w:rsidP="00445B8E">
      <w:pPr>
        <w:spacing w:before="240" w:after="120"/>
        <w:ind w:firstLine="720"/>
        <w:jc w:val="both"/>
        <w:rPr>
          <w:rFonts w:ascii="Arial" w:hAnsi="Arial" w:cs="Arial"/>
          <w:color w:val="000000"/>
        </w:rPr>
      </w:pPr>
    </w:p>
    <w:p w:rsidR="00445B8E" w:rsidRPr="00445B8E" w:rsidRDefault="00445B8E" w:rsidP="00445B8E">
      <w:pPr>
        <w:spacing w:before="240" w:after="120"/>
        <w:ind w:firstLine="720"/>
        <w:jc w:val="both"/>
        <w:rPr>
          <w:rFonts w:ascii="Arial" w:hAnsi="Arial" w:cs="Arial"/>
          <w:color w:val="000000"/>
        </w:rPr>
      </w:pPr>
    </w:p>
    <w:p w:rsidR="00445B8E" w:rsidRDefault="00445B8E" w:rsidP="00445B8E">
      <w:pPr>
        <w:spacing w:before="240" w:after="120"/>
        <w:ind w:firstLine="720"/>
        <w:jc w:val="both"/>
        <w:rPr>
          <w:rFonts w:ascii="Arial" w:hAnsi="Arial" w:cs="Arial"/>
          <w:color w:val="000000"/>
        </w:rPr>
      </w:pPr>
    </w:p>
    <w:p w:rsidR="002F18A7" w:rsidRPr="00445B8E" w:rsidRDefault="002F18A7" w:rsidP="00445B8E">
      <w:pPr>
        <w:spacing w:before="240" w:after="120"/>
        <w:ind w:firstLine="720"/>
        <w:jc w:val="both"/>
        <w:rPr>
          <w:rFonts w:ascii="Arial" w:hAnsi="Arial" w:cs="Arial"/>
          <w:color w:val="000000"/>
        </w:rPr>
      </w:pPr>
    </w:p>
    <w:p w:rsidR="00445B8E" w:rsidRPr="00445B8E" w:rsidRDefault="00445B8E" w:rsidP="00445B8E">
      <w:pPr>
        <w:spacing w:before="240" w:after="120"/>
        <w:ind w:firstLine="720"/>
        <w:jc w:val="both"/>
        <w:rPr>
          <w:rFonts w:ascii="Arial" w:hAnsi="Arial" w:cs="Arial"/>
          <w:color w:val="000000"/>
        </w:rPr>
      </w:pPr>
    </w:p>
    <w:tbl>
      <w:tblPr>
        <w:tblW w:w="9361" w:type="dxa"/>
        <w:tblInd w:w="65" w:type="dxa"/>
        <w:tblCellMar>
          <w:left w:w="70" w:type="dxa"/>
          <w:right w:w="70" w:type="dxa"/>
        </w:tblCellMar>
        <w:tblLook w:val="04A0" w:firstRow="1" w:lastRow="0" w:firstColumn="1" w:lastColumn="0" w:noHBand="0" w:noVBand="1"/>
      </w:tblPr>
      <w:tblGrid>
        <w:gridCol w:w="4116"/>
        <w:gridCol w:w="1134"/>
        <w:gridCol w:w="1241"/>
        <w:gridCol w:w="1169"/>
        <w:gridCol w:w="850"/>
        <w:gridCol w:w="851"/>
      </w:tblGrid>
      <w:tr w:rsidR="00445B8E" w:rsidRPr="00445B8E" w:rsidTr="009D0C61">
        <w:trPr>
          <w:trHeight w:val="255"/>
        </w:trPr>
        <w:tc>
          <w:tcPr>
            <w:tcW w:w="4116" w:type="dxa"/>
            <w:tcBorders>
              <w:top w:val="single" w:sz="4" w:space="0" w:color="auto"/>
              <w:left w:val="single" w:sz="4" w:space="0" w:color="auto"/>
              <w:bottom w:val="nil"/>
              <w:right w:val="single" w:sz="4" w:space="0" w:color="auto"/>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lastRenderedPageBreak/>
              <w:t> </w:t>
            </w:r>
          </w:p>
        </w:tc>
        <w:tc>
          <w:tcPr>
            <w:tcW w:w="3544" w:type="dxa"/>
            <w:gridSpan w:val="3"/>
            <w:tcBorders>
              <w:top w:val="single" w:sz="4" w:space="0" w:color="auto"/>
              <w:left w:val="nil"/>
              <w:bottom w:val="single" w:sz="4" w:space="0" w:color="auto"/>
              <w:right w:val="nil"/>
            </w:tcBorders>
            <w:shd w:val="clear" w:color="auto" w:fill="auto"/>
            <w:noWrap/>
            <w:vAlign w:val="bottom"/>
            <w:hideMark/>
          </w:tcPr>
          <w:p w:rsidR="00445B8E" w:rsidRPr="00445B8E" w:rsidRDefault="00445B8E" w:rsidP="00445B8E">
            <w:pPr>
              <w:jc w:val="center"/>
              <w:rPr>
                <w:rFonts w:ascii="Arial CE" w:hAnsi="Arial CE" w:cs="Arial CE"/>
                <w:color w:val="000000"/>
                <w:sz w:val="20"/>
                <w:szCs w:val="20"/>
              </w:rPr>
            </w:pPr>
            <w:r w:rsidRPr="00445B8E">
              <w:rPr>
                <w:rFonts w:ascii="Arial CE" w:hAnsi="Arial CE" w:cs="Arial CE"/>
                <w:color w:val="000000"/>
                <w:sz w:val="20"/>
                <w:szCs w:val="20"/>
              </w:rPr>
              <w:t>Stav k</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Rozdiel (3-1)</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Rozdiel (3-2)</w:t>
            </w:r>
          </w:p>
        </w:tc>
      </w:tr>
      <w:tr w:rsidR="00445B8E" w:rsidRPr="00445B8E" w:rsidTr="009D0C61">
        <w:trPr>
          <w:trHeight w:val="255"/>
        </w:trPr>
        <w:tc>
          <w:tcPr>
            <w:tcW w:w="4116"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Druh dôchodku</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color w:val="000000"/>
                <w:sz w:val="20"/>
                <w:szCs w:val="20"/>
              </w:rPr>
            </w:pPr>
            <w:r w:rsidRPr="00445B8E">
              <w:rPr>
                <w:rFonts w:ascii="Arial CE" w:hAnsi="Arial CE" w:cs="Arial CE"/>
                <w:color w:val="000000"/>
                <w:sz w:val="20"/>
                <w:szCs w:val="20"/>
              </w:rPr>
              <w:t>30.6.2010</w:t>
            </w:r>
          </w:p>
        </w:tc>
        <w:tc>
          <w:tcPr>
            <w:tcW w:w="124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color w:val="000000"/>
                <w:sz w:val="20"/>
                <w:szCs w:val="20"/>
              </w:rPr>
            </w:pPr>
            <w:r w:rsidRPr="00445B8E">
              <w:rPr>
                <w:rFonts w:ascii="Arial CE" w:hAnsi="Arial CE" w:cs="Arial CE"/>
                <w:color w:val="000000"/>
                <w:sz w:val="20"/>
                <w:szCs w:val="20"/>
              </w:rPr>
              <w:t xml:space="preserve"> 31.12.2010</w:t>
            </w:r>
          </w:p>
        </w:tc>
        <w:tc>
          <w:tcPr>
            <w:tcW w:w="1169"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color w:val="000000"/>
                <w:sz w:val="20"/>
                <w:szCs w:val="20"/>
              </w:rPr>
            </w:pPr>
            <w:r w:rsidRPr="00445B8E">
              <w:rPr>
                <w:rFonts w:ascii="Arial CE" w:hAnsi="Arial CE" w:cs="Arial CE"/>
                <w:color w:val="000000"/>
                <w:sz w:val="20"/>
                <w:szCs w:val="20"/>
              </w:rPr>
              <w:t xml:space="preserve"> 30.6.2011</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45B8E" w:rsidRPr="00445B8E" w:rsidRDefault="00445B8E" w:rsidP="00445B8E">
            <w:pPr>
              <w:rPr>
                <w:rFonts w:ascii="Arial CE" w:hAnsi="Arial CE" w:cs="Arial CE"/>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45B8E" w:rsidRPr="00445B8E" w:rsidRDefault="00445B8E" w:rsidP="00445B8E">
            <w:pPr>
              <w:rPr>
                <w:rFonts w:ascii="Arial CE" w:hAnsi="Arial CE" w:cs="Arial CE"/>
                <w:sz w:val="20"/>
                <w:szCs w:val="20"/>
              </w:rPr>
            </w:pPr>
          </w:p>
        </w:tc>
      </w:tr>
      <w:tr w:rsidR="00445B8E" w:rsidRPr="00445B8E" w:rsidTr="009D0C61">
        <w:trPr>
          <w:trHeight w:val="255"/>
        </w:trPr>
        <w:tc>
          <w:tcPr>
            <w:tcW w:w="4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a</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1</w:t>
            </w:r>
          </w:p>
        </w:tc>
        <w:tc>
          <w:tcPr>
            <w:tcW w:w="1241"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2</w:t>
            </w:r>
          </w:p>
        </w:tc>
        <w:tc>
          <w:tcPr>
            <w:tcW w:w="1169"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3</w:t>
            </w:r>
          </w:p>
        </w:tc>
        <w:tc>
          <w:tcPr>
            <w:tcW w:w="85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4</w:t>
            </w:r>
          </w:p>
        </w:tc>
        <w:tc>
          <w:tcPr>
            <w:tcW w:w="851"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5</w:t>
            </w:r>
          </w:p>
        </w:tc>
      </w:tr>
      <w:tr w:rsidR="00445B8E" w:rsidRPr="00445B8E" w:rsidTr="009D0C61">
        <w:trPr>
          <w:trHeight w:val="195"/>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Starobný dôchodok</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937 235</w:t>
            </w:r>
          </w:p>
        </w:tc>
        <w:tc>
          <w:tcPr>
            <w:tcW w:w="124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954 661</w:t>
            </w:r>
          </w:p>
        </w:tc>
        <w:tc>
          <w:tcPr>
            <w:tcW w:w="1169"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953 512</w:t>
            </w:r>
          </w:p>
        </w:tc>
        <w:tc>
          <w:tcPr>
            <w:tcW w:w="850"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16 277</w:t>
            </w:r>
          </w:p>
        </w:tc>
        <w:tc>
          <w:tcPr>
            <w:tcW w:w="851"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-1 149</w:t>
            </w:r>
          </w:p>
        </w:tc>
      </w:tr>
      <w:tr w:rsidR="00445B8E" w:rsidRPr="00445B8E" w:rsidTr="009D0C61">
        <w:trPr>
          <w:trHeight w:val="251"/>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Predčasný starobný dôchodok</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53 081</w:t>
            </w:r>
          </w:p>
        </w:tc>
        <w:tc>
          <w:tcPr>
            <w:tcW w:w="124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47 893</w:t>
            </w:r>
          </w:p>
        </w:tc>
        <w:tc>
          <w:tcPr>
            <w:tcW w:w="1169"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36 596</w:t>
            </w:r>
          </w:p>
        </w:tc>
        <w:tc>
          <w:tcPr>
            <w:tcW w:w="850"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-16 485</w:t>
            </w:r>
          </w:p>
        </w:tc>
        <w:tc>
          <w:tcPr>
            <w:tcW w:w="851"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-11 297</w:t>
            </w:r>
          </w:p>
        </w:tc>
      </w:tr>
      <w:tr w:rsidR="00445B8E" w:rsidRPr="00445B8E" w:rsidTr="009D0C61">
        <w:trPr>
          <w:trHeight w:val="141"/>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Invalidný dôchodok</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207 933</w:t>
            </w:r>
          </w:p>
        </w:tc>
        <w:tc>
          <w:tcPr>
            <w:tcW w:w="124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213 834</w:t>
            </w:r>
          </w:p>
        </w:tc>
        <w:tc>
          <w:tcPr>
            <w:tcW w:w="1169"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218 660</w:t>
            </w:r>
          </w:p>
        </w:tc>
        <w:tc>
          <w:tcPr>
            <w:tcW w:w="850"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10 727</w:t>
            </w:r>
          </w:p>
        </w:tc>
        <w:tc>
          <w:tcPr>
            <w:tcW w:w="851"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4 826</w:t>
            </w:r>
          </w:p>
        </w:tc>
      </w:tr>
      <w:tr w:rsidR="00445B8E" w:rsidRPr="00445B8E" w:rsidTr="009D0C61">
        <w:trPr>
          <w:trHeight w:val="172"/>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Vdovský dôchodok</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301 018</w:t>
            </w:r>
          </w:p>
        </w:tc>
        <w:tc>
          <w:tcPr>
            <w:tcW w:w="124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300 405</w:t>
            </w:r>
          </w:p>
        </w:tc>
        <w:tc>
          <w:tcPr>
            <w:tcW w:w="1169"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299 207</w:t>
            </w:r>
          </w:p>
        </w:tc>
        <w:tc>
          <w:tcPr>
            <w:tcW w:w="850"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-1 811</w:t>
            </w:r>
          </w:p>
        </w:tc>
        <w:tc>
          <w:tcPr>
            <w:tcW w:w="851"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-1 198</w:t>
            </w:r>
          </w:p>
        </w:tc>
      </w:tr>
      <w:tr w:rsidR="00445B8E" w:rsidRPr="00445B8E" w:rsidTr="009D0C61">
        <w:trPr>
          <w:trHeight w:val="9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 xml:space="preserve">Vdovecký dôchodok </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35 882</w:t>
            </w:r>
          </w:p>
        </w:tc>
        <w:tc>
          <w:tcPr>
            <w:tcW w:w="124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36 439</w:t>
            </w:r>
          </w:p>
        </w:tc>
        <w:tc>
          <w:tcPr>
            <w:tcW w:w="1169"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37 214</w:t>
            </w:r>
          </w:p>
        </w:tc>
        <w:tc>
          <w:tcPr>
            <w:tcW w:w="850"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1 332</w:t>
            </w:r>
          </w:p>
        </w:tc>
        <w:tc>
          <w:tcPr>
            <w:tcW w:w="851"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775</w:t>
            </w:r>
          </w:p>
        </w:tc>
      </w:tr>
      <w:tr w:rsidR="00445B8E" w:rsidRPr="00445B8E" w:rsidTr="009D0C61">
        <w:trPr>
          <w:trHeight w:val="8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Sirotský dôchodok</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28 866</w:t>
            </w:r>
          </w:p>
        </w:tc>
        <w:tc>
          <w:tcPr>
            <w:tcW w:w="124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28 043</w:t>
            </w:r>
          </w:p>
        </w:tc>
        <w:tc>
          <w:tcPr>
            <w:tcW w:w="1169"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28 460</w:t>
            </w:r>
          </w:p>
        </w:tc>
        <w:tc>
          <w:tcPr>
            <w:tcW w:w="850"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-406</w:t>
            </w:r>
          </w:p>
        </w:tc>
        <w:tc>
          <w:tcPr>
            <w:tcW w:w="851"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417</w:t>
            </w:r>
          </w:p>
        </w:tc>
      </w:tr>
      <w:tr w:rsidR="00445B8E" w:rsidRPr="00445B8E" w:rsidTr="009D0C61">
        <w:trPr>
          <w:trHeight w:val="196"/>
        </w:trPr>
        <w:tc>
          <w:tcPr>
            <w:tcW w:w="4116" w:type="dxa"/>
            <w:tcBorders>
              <w:top w:val="nil"/>
              <w:left w:val="single" w:sz="4" w:space="0" w:color="auto"/>
              <w:bottom w:val="nil"/>
              <w:right w:val="nil"/>
            </w:tcBorders>
            <w:shd w:val="clear" w:color="auto" w:fill="auto"/>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Dôchodky neprevzaté do automat. evidencie</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178</w:t>
            </w:r>
          </w:p>
        </w:tc>
        <w:tc>
          <w:tcPr>
            <w:tcW w:w="124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188</w:t>
            </w:r>
          </w:p>
        </w:tc>
        <w:tc>
          <w:tcPr>
            <w:tcW w:w="1169"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150</w:t>
            </w:r>
          </w:p>
        </w:tc>
        <w:tc>
          <w:tcPr>
            <w:tcW w:w="850"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-28</w:t>
            </w:r>
          </w:p>
        </w:tc>
        <w:tc>
          <w:tcPr>
            <w:tcW w:w="851"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-38</w:t>
            </w:r>
          </w:p>
        </w:tc>
      </w:tr>
      <w:tr w:rsidR="00445B8E" w:rsidRPr="00445B8E" w:rsidTr="009D0C61">
        <w:trPr>
          <w:trHeight w:val="175"/>
        </w:trPr>
        <w:tc>
          <w:tcPr>
            <w:tcW w:w="4116" w:type="dxa"/>
            <w:tcBorders>
              <w:top w:val="nil"/>
              <w:left w:val="single" w:sz="4" w:space="0" w:color="auto"/>
              <w:bottom w:val="nil"/>
              <w:right w:val="nil"/>
            </w:tcBorders>
            <w:shd w:val="clear" w:color="auto" w:fill="auto"/>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Dôchodky vyplácané do cudziny</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color w:val="000000"/>
                <w:sz w:val="20"/>
                <w:szCs w:val="20"/>
              </w:rPr>
            </w:pPr>
            <w:r w:rsidRPr="00445B8E">
              <w:rPr>
                <w:rFonts w:ascii="Arial CE" w:hAnsi="Arial CE" w:cs="Arial CE"/>
                <w:color w:val="000000"/>
                <w:sz w:val="20"/>
                <w:szCs w:val="20"/>
              </w:rPr>
              <w:t>13 167</w:t>
            </w:r>
          </w:p>
        </w:tc>
        <w:tc>
          <w:tcPr>
            <w:tcW w:w="124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14 309</w:t>
            </w:r>
          </w:p>
        </w:tc>
        <w:tc>
          <w:tcPr>
            <w:tcW w:w="1169"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15 178</w:t>
            </w:r>
          </w:p>
        </w:tc>
        <w:tc>
          <w:tcPr>
            <w:tcW w:w="850"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2 011</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869</w:t>
            </w:r>
          </w:p>
        </w:tc>
      </w:tr>
      <w:tr w:rsidR="00445B8E" w:rsidRPr="00445B8E" w:rsidTr="009D0C61">
        <w:trPr>
          <w:trHeight w:val="345"/>
        </w:trPr>
        <w:tc>
          <w:tcPr>
            <w:tcW w:w="4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Celkom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1 577 360</w:t>
            </w:r>
          </w:p>
        </w:tc>
        <w:tc>
          <w:tcPr>
            <w:tcW w:w="1241" w:type="dxa"/>
            <w:tcBorders>
              <w:top w:val="single" w:sz="4" w:space="0" w:color="auto"/>
              <w:left w:val="nil"/>
              <w:bottom w:val="single" w:sz="4" w:space="0" w:color="auto"/>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1 595 772</w:t>
            </w:r>
          </w:p>
        </w:tc>
        <w:tc>
          <w:tcPr>
            <w:tcW w:w="11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1 588 977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11 617</w:t>
            </w:r>
          </w:p>
        </w:tc>
        <w:tc>
          <w:tcPr>
            <w:tcW w:w="851"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-6 795</w:t>
            </w:r>
          </w:p>
        </w:tc>
      </w:tr>
    </w:tbl>
    <w:p w:rsidR="00445B8E" w:rsidRPr="00445B8E" w:rsidRDefault="00445B8E" w:rsidP="00445B8E">
      <w:pPr>
        <w:spacing w:before="240" w:after="120"/>
        <w:ind w:firstLine="720"/>
        <w:jc w:val="both"/>
        <w:rPr>
          <w:rFonts w:ascii="Arial" w:hAnsi="Arial" w:cs="Arial"/>
          <w:color w:val="000000"/>
          <w:sz w:val="20"/>
          <w:szCs w:val="20"/>
        </w:rPr>
      </w:pPr>
    </w:p>
    <w:p w:rsidR="00445B8E" w:rsidRPr="00445B8E" w:rsidRDefault="00445B8E" w:rsidP="00445B8E">
      <w:pPr>
        <w:tabs>
          <w:tab w:val="left" w:pos="-5103"/>
        </w:tabs>
        <w:ind w:right="-159" w:firstLine="720"/>
        <w:jc w:val="both"/>
        <w:rPr>
          <w:rFonts w:ascii="Arial" w:hAnsi="Arial"/>
          <w:szCs w:val="20"/>
        </w:rPr>
      </w:pPr>
      <w:r w:rsidRPr="00445B8E">
        <w:rPr>
          <w:rFonts w:ascii="Arial" w:hAnsi="Arial"/>
          <w:szCs w:val="20"/>
        </w:rPr>
        <w:t xml:space="preserve">Vývoj počtu vyplácaných dôchodkov podľa jednotlivých mesiacov roka 2010 a 2011 je takýto: </w:t>
      </w:r>
    </w:p>
    <w:p w:rsidR="00445B8E" w:rsidRPr="00445B8E" w:rsidRDefault="00445B8E" w:rsidP="00445B8E">
      <w:pPr>
        <w:spacing w:after="120"/>
        <w:ind w:right="-159"/>
        <w:jc w:val="both"/>
        <w:rPr>
          <w:rFonts w:ascii="Arial" w:hAnsi="Arial"/>
          <w:color w:val="000000"/>
          <w:szCs w:val="20"/>
        </w:rPr>
      </w:pPr>
      <w:r w:rsidRPr="00445B8E">
        <w:rPr>
          <w:rFonts w:ascii="Arial" w:hAnsi="Arial"/>
          <w:noProof/>
          <w:szCs w:val="20"/>
        </w:rPr>
        <w:drawing>
          <wp:inline distT="0" distB="0" distL="0" distR="0" wp14:anchorId="177B1E5B" wp14:editId="69484DEA">
            <wp:extent cx="5760720" cy="3482400"/>
            <wp:effectExtent l="0" t="0" r="0" b="381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45B8E" w:rsidRPr="00445B8E" w:rsidRDefault="00445B8E" w:rsidP="00445B8E">
      <w:pPr>
        <w:spacing w:after="120"/>
        <w:ind w:right="-159" w:firstLine="720"/>
        <w:jc w:val="both"/>
        <w:rPr>
          <w:rFonts w:ascii="Arial" w:hAnsi="Arial" w:cs="Arial"/>
          <w:color w:val="000000"/>
        </w:rPr>
      </w:pPr>
      <w:r w:rsidRPr="00445B8E">
        <w:rPr>
          <w:rFonts w:ascii="Arial" w:hAnsi="Arial"/>
          <w:color w:val="000000"/>
          <w:szCs w:val="20"/>
        </w:rPr>
        <w:t>Prehľad o priemernej mesačnej výške vyplácaného sólo dôchodku podľa druhu dôchodku k 30. 6. 2011, v porovnaní so stavom k 30. 6. </w:t>
      </w:r>
      <w:r w:rsidRPr="00445B8E">
        <w:rPr>
          <w:rFonts w:ascii="Arial" w:hAnsi="Arial" w:cs="Arial"/>
          <w:color w:val="000000"/>
        </w:rPr>
        <w:t>2010 a k 31. 12. 2010 je v nasledujúcej tabuľke:</w:t>
      </w:r>
    </w:p>
    <w:tbl>
      <w:tblPr>
        <w:tblW w:w="8080" w:type="dxa"/>
        <w:tblInd w:w="779" w:type="dxa"/>
        <w:tblCellMar>
          <w:left w:w="70" w:type="dxa"/>
          <w:right w:w="70" w:type="dxa"/>
        </w:tblCellMar>
        <w:tblLook w:val="04A0" w:firstRow="1" w:lastRow="0" w:firstColumn="1" w:lastColumn="0" w:noHBand="0" w:noVBand="1"/>
      </w:tblPr>
      <w:tblGrid>
        <w:gridCol w:w="2977"/>
        <w:gridCol w:w="756"/>
        <w:gridCol w:w="378"/>
        <w:gridCol w:w="1072"/>
        <w:gridCol w:w="106"/>
        <w:gridCol w:w="1127"/>
        <w:gridCol w:w="813"/>
        <w:gridCol w:w="851"/>
      </w:tblGrid>
      <w:tr w:rsidR="00445B8E" w:rsidRPr="00445B8E" w:rsidTr="009D0C61">
        <w:trPr>
          <w:trHeight w:val="255"/>
        </w:trPr>
        <w:tc>
          <w:tcPr>
            <w:tcW w:w="2977" w:type="dxa"/>
            <w:tcBorders>
              <w:top w:val="nil"/>
              <w:left w:val="nil"/>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p>
        </w:tc>
        <w:tc>
          <w:tcPr>
            <w:tcW w:w="756" w:type="dxa"/>
            <w:tcBorders>
              <w:top w:val="nil"/>
              <w:left w:val="nil"/>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p>
        </w:tc>
        <w:tc>
          <w:tcPr>
            <w:tcW w:w="1450" w:type="dxa"/>
            <w:gridSpan w:val="2"/>
            <w:tcBorders>
              <w:top w:val="nil"/>
              <w:left w:val="nil"/>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p>
        </w:tc>
        <w:tc>
          <w:tcPr>
            <w:tcW w:w="1233" w:type="dxa"/>
            <w:gridSpan w:val="2"/>
            <w:tcBorders>
              <w:top w:val="nil"/>
              <w:left w:val="nil"/>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p>
        </w:tc>
        <w:tc>
          <w:tcPr>
            <w:tcW w:w="813"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v Eur</w:t>
            </w:r>
          </w:p>
        </w:tc>
      </w:tr>
      <w:tr w:rsidR="00445B8E" w:rsidRPr="00445B8E" w:rsidTr="009D0C61">
        <w:trPr>
          <w:trHeight w:val="255"/>
        </w:trPr>
        <w:tc>
          <w:tcPr>
            <w:tcW w:w="2977" w:type="dxa"/>
            <w:tcBorders>
              <w:top w:val="single" w:sz="4" w:space="0" w:color="auto"/>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 </w:t>
            </w:r>
          </w:p>
        </w:tc>
        <w:tc>
          <w:tcPr>
            <w:tcW w:w="343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Výška vyplácaného sólo dôchodku k</w:t>
            </w:r>
          </w:p>
        </w:tc>
        <w:tc>
          <w:tcPr>
            <w:tcW w:w="81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Rozdiel    (3-1)</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Rozdiel   (3-2)</w:t>
            </w:r>
          </w:p>
        </w:tc>
      </w:tr>
      <w:tr w:rsidR="00445B8E" w:rsidRPr="00445B8E" w:rsidTr="009D0C61">
        <w:trPr>
          <w:trHeight w:val="255"/>
        </w:trPr>
        <w:tc>
          <w:tcPr>
            <w:tcW w:w="2977"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Druh dôchodku</w:t>
            </w:r>
          </w:p>
        </w:tc>
        <w:tc>
          <w:tcPr>
            <w:tcW w:w="11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 xml:space="preserve"> 30.6.2010</w:t>
            </w:r>
          </w:p>
        </w:tc>
        <w:tc>
          <w:tcPr>
            <w:tcW w:w="1178" w:type="dxa"/>
            <w:gridSpan w:val="2"/>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 xml:space="preserve"> 31.12.2010</w:t>
            </w:r>
          </w:p>
        </w:tc>
        <w:tc>
          <w:tcPr>
            <w:tcW w:w="1127"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 xml:space="preserve"> 30.6.2011</w:t>
            </w:r>
          </w:p>
        </w:tc>
        <w:tc>
          <w:tcPr>
            <w:tcW w:w="813" w:type="dxa"/>
            <w:vMerge/>
            <w:tcBorders>
              <w:top w:val="single" w:sz="4" w:space="0" w:color="auto"/>
              <w:left w:val="single" w:sz="4" w:space="0" w:color="auto"/>
              <w:bottom w:val="single" w:sz="4" w:space="0" w:color="000000"/>
              <w:right w:val="single" w:sz="4" w:space="0" w:color="auto"/>
            </w:tcBorders>
            <w:vAlign w:val="center"/>
            <w:hideMark/>
          </w:tcPr>
          <w:p w:rsidR="00445B8E" w:rsidRPr="00445B8E" w:rsidRDefault="00445B8E" w:rsidP="00445B8E">
            <w:pPr>
              <w:rPr>
                <w:rFonts w:ascii="Arial CE" w:hAnsi="Arial CE" w:cs="Arial CE"/>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45B8E" w:rsidRPr="00445B8E" w:rsidRDefault="00445B8E" w:rsidP="00445B8E">
            <w:pPr>
              <w:rPr>
                <w:rFonts w:ascii="Arial CE" w:hAnsi="Arial CE" w:cs="Arial CE"/>
                <w:sz w:val="20"/>
                <w:szCs w:val="20"/>
              </w:rPr>
            </w:pPr>
          </w:p>
        </w:tc>
      </w:tr>
      <w:tr w:rsidR="00445B8E" w:rsidRPr="00445B8E" w:rsidTr="009D0C61">
        <w:trPr>
          <w:trHeight w:val="255"/>
        </w:trPr>
        <w:tc>
          <w:tcPr>
            <w:tcW w:w="2977" w:type="dxa"/>
            <w:tcBorders>
              <w:top w:val="single" w:sz="4" w:space="0" w:color="auto"/>
              <w:left w:val="single" w:sz="4" w:space="0" w:color="auto"/>
              <w:bottom w:val="single" w:sz="4" w:space="0" w:color="auto"/>
              <w:right w:val="nil"/>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a</w:t>
            </w:r>
          </w:p>
        </w:tc>
        <w:tc>
          <w:tcPr>
            <w:tcW w:w="1134" w:type="dxa"/>
            <w:gridSpan w:val="2"/>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1</w:t>
            </w:r>
          </w:p>
        </w:tc>
        <w:tc>
          <w:tcPr>
            <w:tcW w:w="1178" w:type="dxa"/>
            <w:gridSpan w:val="2"/>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2</w:t>
            </w:r>
          </w:p>
        </w:tc>
        <w:tc>
          <w:tcPr>
            <w:tcW w:w="1127"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3</w:t>
            </w:r>
          </w:p>
        </w:tc>
        <w:tc>
          <w:tcPr>
            <w:tcW w:w="813"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4</w:t>
            </w:r>
          </w:p>
        </w:tc>
        <w:tc>
          <w:tcPr>
            <w:tcW w:w="851"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5</w:t>
            </w:r>
          </w:p>
        </w:tc>
      </w:tr>
      <w:tr w:rsidR="00445B8E" w:rsidRPr="00445B8E" w:rsidTr="009D0C61">
        <w:trPr>
          <w:trHeight w:val="128"/>
        </w:trPr>
        <w:tc>
          <w:tcPr>
            <w:tcW w:w="2977"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starobný dôchodok</w:t>
            </w:r>
          </w:p>
        </w:tc>
        <w:tc>
          <w:tcPr>
            <w:tcW w:w="1134" w:type="dxa"/>
            <w:gridSpan w:val="2"/>
            <w:tcBorders>
              <w:top w:val="single" w:sz="4" w:space="0" w:color="auto"/>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351,72</w:t>
            </w:r>
          </w:p>
        </w:tc>
        <w:tc>
          <w:tcPr>
            <w:tcW w:w="1178" w:type="dxa"/>
            <w:gridSpan w:val="2"/>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352,54</w:t>
            </w:r>
          </w:p>
        </w:tc>
        <w:tc>
          <w:tcPr>
            <w:tcW w:w="1127"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360,66</w:t>
            </w:r>
          </w:p>
        </w:tc>
        <w:tc>
          <w:tcPr>
            <w:tcW w:w="813"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8,94</w:t>
            </w:r>
          </w:p>
        </w:tc>
        <w:tc>
          <w:tcPr>
            <w:tcW w:w="85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8,12</w:t>
            </w:r>
          </w:p>
        </w:tc>
      </w:tr>
      <w:tr w:rsidR="00445B8E" w:rsidRPr="00445B8E" w:rsidTr="009D0C61">
        <w:trPr>
          <w:trHeight w:val="80"/>
        </w:trPr>
        <w:tc>
          <w:tcPr>
            <w:tcW w:w="2977"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predčasný starobný dôchodok</w:t>
            </w:r>
          </w:p>
        </w:tc>
        <w:tc>
          <w:tcPr>
            <w:tcW w:w="1134" w:type="dxa"/>
            <w:gridSpan w:val="2"/>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365,49</w:t>
            </w:r>
          </w:p>
        </w:tc>
        <w:tc>
          <w:tcPr>
            <w:tcW w:w="1178" w:type="dxa"/>
            <w:gridSpan w:val="2"/>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367,05</w:t>
            </w:r>
          </w:p>
        </w:tc>
        <w:tc>
          <w:tcPr>
            <w:tcW w:w="1127"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359,19</w:t>
            </w:r>
          </w:p>
        </w:tc>
        <w:tc>
          <w:tcPr>
            <w:tcW w:w="813"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-6,30</w:t>
            </w:r>
          </w:p>
        </w:tc>
        <w:tc>
          <w:tcPr>
            <w:tcW w:w="85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-7,86</w:t>
            </w:r>
          </w:p>
        </w:tc>
      </w:tr>
      <w:tr w:rsidR="00445B8E" w:rsidRPr="00445B8E" w:rsidTr="009D0C61">
        <w:trPr>
          <w:trHeight w:val="88"/>
        </w:trPr>
        <w:tc>
          <w:tcPr>
            <w:tcW w:w="2977"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invalidný dôchodok</w:t>
            </w:r>
          </w:p>
        </w:tc>
        <w:tc>
          <w:tcPr>
            <w:tcW w:w="1134" w:type="dxa"/>
            <w:gridSpan w:val="2"/>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256,65</w:t>
            </w:r>
          </w:p>
        </w:tc>
        <w:tc>
          <w:tcPr>
            <w:tcW w:w="1178" w:type="dxa"/>
            <w:gridSpan w:val="2"/>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254,79</w:t>
            </w:r>
          </w:p>
        </w:tc>
        <w:tc>
          <w:tcPr>
            <w:tcW w:w="1127"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257,38</w:t>
            </w:r>
          </w:p>
        </w:tc>
        <w:tc>
          <w:tcPr>
            <w:tcW w:w="813"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0,73</w:t>
            </w:r>
          </w:p>
        </w:tc>
        <w:tc>
          <w:tcPr>
            <w:tcW w:w="85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2,59</w:t>
            </w:r>
          </w:p>
        </w:tc>
      </w:tr>
      <w:tr w:rsidR="00445B8E" w:rsidRPr="00445B8E" w:rsidTr="009D0C61">
        <w:trPr>
          <w:trHeight w:val="135"/>
        </w:trPr>
        <w:tc>
          <w:tcPr>
            <w:tcW w:w="2977"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vdovský dôchodok</w:t>
            </w:r>
          </w:p>
        </w:tc>
        <w:tc>
          <w:tcPr>
            <w:tcW w:w="1134" w:type="dxa"/>
            <w:gridSpan w:val="2"/>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216,65</w:t>
            </w:r>
          </w:p>
        </w:tc>
        <w:tc>
          <w:tcPr>
            <w:tcW w:w="1178" w:type="dxa"/>
            <w:gridSpan w:val="2"/>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217,08</w:t>
            </w:r>
          </w:p>
        </w:tc>
        <w:tc>
          <w:tcPr>
            <w:tcW w:w="1127"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221,26</w:t>
            </w:r>
          </w:p>
        </w:tc>
        <w:tc>
          <w:tcPr>
            <w:tcW w:w="813"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4,61</w:t>
            </w:r>
          </w:p>
        </w:tc>
        <w:tc>
          <w:tcPr>
            <w:tcW w:w="85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4,18</w:t>
            </w:r>
          </w:p>
        </w:tc>
      </w:tr>
      <w:tr w:rsidR="00445B8E" w:rsidRPr="00445B8E" w:rsidTr="009D0C61">
        <w:trPr>
          <w:trHeight w:val="80"/>
        </w:trPr>
        <w:tc>
          <w:tcPr>
            <w:tcW w:w="2977"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 xml:space="preserve">vdovecký dôchodok </w:t>
            </w:r>
          </w:p>
        </w:tc>
        <w:tc>
          <w:tcPr>
            <w:tcW w:w="1134" w:type="dxa"/>
            <w:gridSpan w:val="2"/>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164,50</w:t>
            </w:r>
          </w:p>
        </w:tc>
        <w:tc>
          <w:tcPr>
            <w:tcW w:w="1178" w:type="dxa"/>
            <w:gridSpan w:val="2"/>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165,35</w:t>
            </w:r>
          </w:p>
        </w:tc>
        <w:tc>
          <w:tcPr>
            <w:tcW w:w="1127"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168,88</w:t>
            </w:r>
          </w:p>
        </w:tc>
        <w:tc>
          <w:tcPr>
            <w:tcW w:w="813"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4,38</w:t>
            </w:r>
          </w:p>
        </w:tc>
        <w:tc>
          <w:tcPr>
            <w:tcW w:w="851"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3,53</w:t>
            </w:r>
          </w:p>
        </w:tc>
      </w:tr>
      <w:tr w:rsidR="00445B8E" w:rsidRPr="00445B8E" w:rsidTr="009D0C61">
        <w:trPr>
          <w:trHeight w:val="98"/>
        </w:trPr>
        <w:tc>
          <w:tcPr>
            <w:tcW w:w="2977" w:type="dxa"/>
            <w:tcBorders>
              <w:top w:val="nil"/>
              <w:left w:val="single" w:sz="4" w:space="0" w:color="auto"/>
              <w:bottom w:val="single" w:sz="4" w:space="0" w:color="auto"/>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sirotský dôchodok</w:t>
            </w:r>
          </w:p>
        </w:tc>
        <w:tc>
          <w:tcPr>
            <w:tcW w:w="11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125,22</w:t>
            </w:r>
          </w:p>
        </w:tc>
        <w:tc>
          <w:tcPr>
            <w:tcW w:w="1178" w:type="dxa"/>
            <w:gridSpan w:val="2"/>
            <w:tcBorders>
              <w:top w:val="nil"/>
              <w:left w:val="nil"/>
              <w:bottom w:val="single" w:sz="4" w:space="0" w:color="auto"/>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125,28</w:t>
            </w:r>
          </w:p>
        </w:tc>
        <w:tc>
          <w:tcPr>
            <w:tcW w:w="1127"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125,76</w:t>
            </w:r>
          </w:p>
        </w:tc>
        <w:tc>
          <w:tcPr>
            <w:tcW w:w="813"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0,54</w:t>
            </w:r>
          </w:p>
        </w:tc>
        <w:tc>
          <w:tcPr>
            <w:tcW w:w="851"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0,48</w:t>
            </w:r>
          </w:p>
        </w:tc>
      </w:tr>
    </w:tbl>
    <w:p w:rsidR="00445B8E" w:rsidRPr="00445B8E" w:rsidRDefault="00445B8E" w:rsidP="00445B8E">
      <w:pPr>
        <w:spacing w:after="120"/>
        <w:ind w:left="709" w:right="-159"/>
        <w:jc w:val="both"/>
        <w:rPr>
          <w:rFonts w:ascii="Arial" w:hAnsi="Arial" w:cs="Arial"/>
          <w:color w:val="000000"/>
        </w:rPr>
      </w:pPr>
    </w:p>
    <w:p w:rsidR="00445B8E" w:rsidRPr="00445B8E" w:rsidRDefault="00445B8E" w:rsidP="00445B8E">
      <w:pPr>
        <w:spacing w:before="240" w:after="120"/>
        <w:ind w:firstLine="720"/>
        <w:jc w:val="both"/>
        <w:rPr>
          <w:rFonts w:ascii="Arial" w:hAnsi="Arial" w:cs="Arial"/>
          <w:color w:val="000000"/>
        </w:rPr>
      </w:pPr>
      <w:r w:rsidRPr="00445B8E">
        <w:rPr>
          <w:rFonts w:ascii="Arial" w:hAnsi="Arial" w:cs="Arial"/>
          <w:color w:val="000000"/>
        </w:rPr>
        <w:lastRenderedPageBreak/>
        <w:t>Prehľad o priemernej výške vyplácaných sólo dôchodkov podľa druhu dôchodku a pohlavia k 30. 6. 2011 je uvedený v nasledujúcej tabuľke:</w:t>
      </w:r>
    </w:p>
    <w:tbl>
      <w:tblPr>
        <w:tblW w:w="6804" w:type="dxa"/>
        <w:tblInd w:w="779" w:type="dxa"/>
        <w:tblCellMar>
          <w:left w:w="70" w:type="dxa"/>
          <w:right w:w="70" w:type="dxa"/>
        </w:tblCellMar>
        <w:tblLook w:val="04A0" w:firstRow="1" w:lastRow="0" w:firstColumn="1" w:lastColumn="0" w:noHBand="0" w:noVBand="1"/>
      </w:tblPr>
      <w:tblGrid>
        <w:gridCol w:w="3402"/>
        <w:gridCol w:w="1134"/>
        <w:gridCol w:w="1134"/>
        <w:gridCol w:w="1134"/>
      </w:tblGrid>
      <w:tr w:rsidR="00445B8E" w:rsidRPr="00445B8E" w:rsidTr="009D0C61">
        <w:trPr>
          <w:trHeight w:val="255"/>
        </w:trPr>
        <w:tc>
          <w:tcPr>
            <w:tcW w:w="3402" w:type="dxa"/>
            <w:tcBorders>
              <w:top w:val="nil"/>
              <w:left w:val="nil"/>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p>
        </w:tc>
        <w:tc>
          <w:tcPr>
            <w:tcW w:w="1134" w:type="dxa"/>
            <w:tcBorders>
              <w:top w:val="nil"/>
              <w:left w:val="nil"/>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p>
        </w:tc>
        <w:tc>
          <w:tcPr>
            <w:tcW w:w="1134" w:type="dxa"/>
            <w:tcBorders>
              <w:top w:val="nil"/>
              <w:left w:val="nil"/>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p>
        </w:tc>
        <w:tc>
          <w:tcPr>
            <w:tcW w:w="1134"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v Eur</w:t>
            </w:r>
          </w:p>
        </w:tc>
      </w:tr>
      <w:tr w:rsidR="00445B8E" w:rsidRPr="00445B8E" w:rsidTr="009D0C61">
        <w:trPr>
          <w:trHeight w:val="255"/>
        </w:trPr>
        <w:tc>
          <w:tcPr>
            <w:tcW w:w="3402" w:type="dxa"/>
            <w:tcBorders>
              <w:top w:val="single" w:sz="4" w:space="0" w:color="auto"/>
              <w:left w:val="single" w:sz="4" w:space="0" w:color="auto"/>
              <w:bottom w:val="single" w:sz="4" w:space="0" w:color="auto"/>
              <w:right w:val="nil"/>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Druh dôchodku</w:t>
            </w:r>
          </w:p>
        </w:tc>
        <w:tc>
          <w:tcPr>
            <w:tcW w:w="1134" w:type="dxa"/>
            <w:tcBorders>
              <w:top w:val="single" w:sz="4" w:space="0" w:color="auto"/>
              <w:left w:val="single" w:sz="4" w:space="0" w:color="auto"/>
              <w:bottom w:val="single" w:sz="4" w:space="0" w:color="auto"/>
              <w:right w:val="nil"/>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muži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ženy</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spolu</w:t>
            </w:r>
          </w:p>
        </w:tc>
      </w:tr>
      <w:tr w:rsidR="00445B8E" w:rsidRPr="00445B8E" w:rsidTr="009D0C61">
        <w:trPr>
          <w:trHeight w:val="255"/>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a</w:t>
            </w:r>
          </w:p>
        </w:tc>
        <w:tc>
          <w:tcPr>
            <w:tcW w:w="113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2</w:t>
            </w:r>
          </w:p>
        </w:tc>
        <w:tc>
          <w:tcPr>
            <w:tcW w:w="1134"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3</w:t>
            </w:r>
          </w:p>
        </w:tc>
      </w:tr>
      <w:tr w:rsidR="00445B8E" w:rsidRPr="00445B8E" w:rsidTr="009D0C61">
        <w:trPr>
          <w:trHeight w:val="91"/>
        </w:trPr>
        <w:tc>
          <w:tcPr>
            <w:tcW w:w="3402"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Starobný dôchodok</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410,10</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321,59</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360,66</w:t>
            </w:r>
          </w:p>
        </w:tc>
      </w:tr>
      <w:tr w:rsidR="00445B8E" w:rsidRPr="00445B8E" w:rsidTr="009D0C61">
        <w:trPr>
          <w:trHeight w:val="146"/>
        </w:trPr>
        <w:tc>
          <w:tcPr>
            <w:tcW w:w="3402"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Predčasný starobný dôchodok</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380,91</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303,55</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359,19</w:t>
            </w:r>
          </w:p>
        </w:tc>
      </w:tr>
      <w:tr w:rsidR="00445B8E" w:rsidRPr="00445B8E" w:rsidTr="009D0C61">
        <w:trPr>
          <w:trHeight w:val="192"/>
        </w:trPr>
        <w:tc>
          <w:tcPr>
            <w:tcW w:w="3402"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Invalidný dôchodok</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280,23</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230,56</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257,38</w:t>
            </w:r>
          </w:p>
        </w:tc>
      </w:tr>
      <w:tr w:rsidR="00445B8E" w:rsidRPr="00445B8E" w:rsidTr="009D0C61">
        <w:trPr>
          <w:trHeight w:val="80"/>
        </w:trPr>
        <w:tc>
          <w:tcPr>
            <w:tcW w:w="3402"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Vdovský dôchodok</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x</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221,26</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221,26</w:t>
            </w:r>
          </w:p>
        </w:tc>
      </w:tr>
      <w:tr w:rsidR="00445B8E" w:rsidRPr="00445B8E" w:rsidTr="009D0C61">
        <w:trPr>
          <w:trHeight w:val="156"/>
        </w:trPr>
        <w:tc>
          <w:tcPr>
            <w:tcW w:w="3402"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 xml:space="preserve">Vdovecký dôchodok </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168,88</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20"/>
                <w:szCs w:val="20"/>
              </w:rPr>
            </w:pPr>
            <w:r w:rsidRPr="00445B8E">
              <w:rPr>
                <w:rFonts w:ascii="Arial CE" w:hAnsi="Arial CE" w:cs="Arial CE"/>
                <w:sz w:val="20"/>
                <w:szCs w:val="20"/>
              </w:rPr>
              <w:t>x</w:t>
            </w:r>
          </w:p>
        </w:tc>
        <w:tc>
          <w:tcPr>
            <w:tcW w:w="1134" w:type="dxa"/>
            <w:tcBorders>
              <w:top w:val="nil"/>
              <w:left w:val="nil"/>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166,88</w:t>
            </w:r>
          </w:p>
        </w:tc>
      </w:tr>
      <w:tr w:rsidR="00445B8E" w:rsidRPr="00445B8E" w:rsidTr="009D0C61">
        <w:trPr>
          <w:trHeight w:val="80"/>
        </w:trPr>
        <w:tc>
          <w:tcPr>
            <w:tcW w:w="3402" w:type="dxa"/>
            <w:tcBorders>
              <w:top w:val="nil"/>
              <w:left w:val="single" w:sz="4" w:space="0" w:color="auto"/>
              <w:bottom w:val="single" w:sz="4" w:space="0" w:color="auto"/>
              <w:right w:val="nil"/>
            </w:tcBorders>
            <w:shd w:val="clear" w:color="auto" w:fill="auto"/>
            <w:noWrap/>
            <w:vAlign w:val="bottom"/>
            <w:hideMark/>
          </w:tcPr>
          <w:p w:rsidR="00445B8E" w:rsidRPr="00445B8E" w:rsidRDefault="00445B8E" w:rsidP="00445B8E">
            <w:pPr>
              <w:rPr>
                <w:rFonts w:ascii="Arial CE" w:hAnsi="Arial CE" w:cs="Arial CE"/>
                <w:sz w:val="20"/>
                <w:szCs w:val="20"/>
              </w:rPr>
            </w:pPr>
            <w:r w:rsidRPr="00445B8E">
              <w:rPr>
                <w:rFonts w:ascii="Arial CE" w:hAnsi="Arial CE" w:cs="Arial CE"/>
                <w:sz w:val="20"/>
                <w:szCs w:val="20"/>
              </w:rPr>
              <w:t>Sirotský dôchodok</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119,64</w:t>
            </w:r>
          </w:p>
        </w:tc>
        <w:tc>
          <w:tcPr>
            <w:tcW w:w="113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128,02</w:t>
            </w:r>
          </w:p>
        </w:tc>
        <w:tc>
          <w:tcPr>
            <w:tcW w:w="113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20"/>
                <w:szCs w:val="20"/>
              </w:rPr>
            </w:pPr>
            <w:r w:rsidRPr="00445B8E">
              <w:rPr>
                <w:rFonts w:ascii="Arial CE" w:hAnsi="Arial CE" w:cs="Arial CE"/>
                <w:sz w:val="20"/>
                <w:szCs w:val="20"/>
              </w:rPr>
              <w:t>125,76</w:t>
            </w:r>
          </w:p>
        </w:tc>
      </w:tr>
    </w:tbl>
    <w:p w:rsidR="00445B8E" w:rsidRPr="00445B8E" w:rsidRDefault="00445B8E" w:rsidP="00445B8E">
      <w:pPr>
        <w:tabs>
          <w:tab w:val="decimal" w:pos="8222"/>
        </w:tabs>
        <w:spacing w:before="240" w:after="120"/>
        <w:ind w:right="-110" w:firstLine="709"/>
        <w:jc w:val="both"/>
        <w:rPr>
          <w:rFonts w:ascii="Arial" w:hAnsi="Arial"/>
          <w:color w:val="000000"/>
          <w:szCs w:val="20"/>
        </w:rPr>
      </w:pPr>
      <w:r w:rsidRPr="00445B8E">
        <w:rPr>
          <w:rFonts w:ascii="Arial" w:hAnsi="Arial"/>
          <w:color w:val="000000"/>
        </w:rPr>
        <w:t>Priemerná mesačná výška vyplácaných dôchodkov vzrástla, oproti rovnakému obdobiu minulého roka, najmä v dôsledku realizovaného zvýšenia dôchodkov s účinnosťou od 1. 1. 2011.</w:t>
      </w:r>
    </w:p>
    <w:p w:rsidR="00445B8E" w:rsidRPr="00445B8E" w:rsidRDefault="00445B8E" w:rsidP="00445B8E">
      <w:pPr>
        <w:tabs>
          <w:tab w:val="decimal" w:pos="8222"/>
        </w:tabs>
        <w:spacing w:before="240" w:after="240"/>
        <w:ind w:right="-108" w:firstLine="720"/>
        <w:jc w:val="both"/>
        <w:rPr>
          <w:rFonts w:ascii="Arial" w:hAnsi="Arial"/>
          <w:color w:val="000000"/>
          <w:szCs w:val="20"/>
        </w:rPr>
      </w:pPr>
      <w:r w:rsidRPr="00445B8E">
        <w:rPr>
          <w:rFonts w:ascii="Arial" w:hAnsi="Arial"/>
          <w:szCs w:val="20"/>
        </w:rPr>
        <w:t xml:space="preserve">Sociálna poisťovňa k 30. 6. 2011 poukazovala dôchodky na osobné účty v peňažných ústavoch celkom 627 256 dôchodcom, čo predstavuje oproti stavu k 31. 12. 2010 nárast o 29 783. Výdavky na dôchodkové dávky poukázané na osobné účty dôchodcom k 30. 6. 2011 predstavovali 1 319 928 tis. Eur, čo je </w:t>
      </w:r>
      <w:r w:rsidRPr="00445B8E">
        <w:rPr>
          <w:rFonts w:ascii="Arial" w:hAnsi="Arial"/>
          <w:color w:val="000000" w:themeColor="text1"/>
          <w:szCs w:val="20"/>
        </w:rPr>
        <w:t xml:space="preserve">49,18 % </w:t>
      </w:r>
      <w:r w:rsidRPr="00445B8E">
        <w:rPr>
          <w:rFonts w:ascii="Arial" w:hAnsi="Arial"/>
          <w:szCs w:val="20"/>
        </w:rPr>
        <w:t xml:space="preserve">z celkových výdavkov. </w:t>
      </w:r>
      <w:r w:rsidRPr="00445B8E">
        <w:rPr>
          <w:rFonts w:ascii="Arial" w:hAnsi="Arial"/>
          <w:color w:val="000000"/>
          <w:szCs w:val="20"/>
        </w:rPr>
        <w:t>V nasledujúcej tabuľke je prehľad vývoja počtu osobných účtov v peňažných ústavoch, na ktoré boli poukazované dôchodkové dávky k 31. 3. 2011 a k 30. 6. 2011 v porovnaní so stavom k 31. 12. 2010:</w:t>
      </w:r>
    </w:p>
    <w:tbl>
      <w:tblPr>
        <w:tblW w:w="8621" w:type="dxa"/>
        <w:tblInd w:w="65" w:type="dxa"/>
        <w:tblLayout w:type="fixed"/>
        <w:tblCellMar>
          <w:left w:w="70" w:type="dxa"/>
          <w:right w:w="70" w:type="dxa"/>
        </w:tblCellMar>
        <w:tblLook w:val="04A0" w:firstRow="1" w:lastRow="0" w:firstColumn="1" w:lastColumn="0" w:noHBand="0" w:noVBand="1"/>
      </w:tblPr>
      <w:tblGrid>
        <w:gridCol w:w="4116"/>
        <w:gridCol w:w="1134"/>
        <w:gridCol w:w="851"/>
        <w:gridCol w:w="850"/>
        <w:gridCol w:w="851"/>
        <w:gridCol w:w="819"/>
      </w:tblGrid>
      <w:tr w:rsidR="00445B8E" w:rsidRPr="00445B8E" w:rsidTr="009D0C61">
        <w:trPr>
          <w:trHeight w:val="255"/>
        </w:trPr>
        <w:tc>
          <w:tcPr>
            <w:tcW w:w="4116" w:type="dxa"/>
            <w:vMerge w:val="restart"/>
            <w:tcBorders>
              <w:top w:val="single" w:sz="4" w:space="0" w:color="auto"/>
              <w:left w:val="single" w:sz="4" w:space="0" w:color="auto"/>
              <w:bottom w:val="nil"/>
              <w:right w:val="nil"/>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Peňažný ústav</w:t>
            </w:r>
          </w:p>
        </w:tc>
        <w:tc>
          <w:tcPr>
            <w:tcW w:w="1134" w:type="dxa"/>
            <w:vMerge w:val="restart"/>
            <w:tcBorders>
              <w:top w:val="single" w:sz="4" w:space="0" w:color="auto"/>
              <w:left w:val="single" w:sz="4" w:space="0" w:color="auto"/>
              <w:bottom w:val="nil"/>
              <w:right w:val="single" w:sz="4" w:space="0" w:color="auto"/>
            </w:tcBorders>
            <w:shd w:val="clear" w:color="auto" w:fill="auto"/>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Stav k 31.12.2010</w:t>
            </w:r>
          </w:p>
        </w:tc>
        <w:tc>
          <w:tcPr>
            <w:tcW w:w="1701" w:type="dxa"/>
            <w:gridSpan w:val="2"/>
            <w:tcBorders>
              <w:top w:val="single" w:sz="4" w:space="0" w:color="auto"/>
              <w:left w:val="nil"/>
              <w:bottom w:val="nil"/>
              <w:right w:val="nil"/>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Stav k</w:t>
            </w:r>
          </w:p>
        </w:tc>
        <w:tc>
          <w:tcPr>
            <w:tcW w:w="1670" w:type="dxa"/>
            <w:gridSpan w:val="2"/>
            <w:tcBorders>
              <w:top w:val="single" w:sz="4" w:space="0" w:color="auto"/>
              <w:left w:val="single" w:sz="4" w:space="0" w:color="auto"/>
              <w:bottom w:val="nil"/>
              <w:right w:val="single" w:sz="4" w:space="0" w:color="000000"/>
            </w:tcBorders>
            <w:shd w:val="clear" w:color="auto" w:fill="auto"/>
            <w:noWrap/>
            <w:vAlign w:val="bottom"/>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Rozdiel</w:t>
            </w:r>
          </w:p>
        </w:tc>
      </w:tr>
      <w:tr w:rsidR="00445B8E" w:rsidRPr="00445B8E" w:rsidTr="009D0C61">
        <w:trPr>
          <w:trHeight w:val="345"/>
        </w:trPr>
        <w:tc>
          <w:tcPr>
            <w:tcW w:w="4116" w:type="dxa"/>
            <w:vMerge/>
            <w:tcBorders>
              <w:top w:val="single" w:sz="4" w:space="0" w:color="auto"/>
              <w:left w:val="single" w:sz="4" w:space="0" w:color="auto"/>
              <w:bottom w:val="nil"/>
              <w:right w:val="nil"/>
            </w:tcBorders>
            <w:vAlign w:val="center"/>
            <w:hideMark/>
          </w:tcPr>
          <w:p w:rsidR="00445B8E" w:rsidRPr="00445B8E" w:rsidRDefault="00445B8E" w:rsidP="00445B8E">
            <w:pPr>
              <w:rPr>
                <w:rFonts w:ascii="Arial CE" w:hAnsi="Arial CE" w:cs="Arial CE"/>
                <w:sz w:val="18"/>
                <w:szCs w:val="18"/>
              </w:rPr>
            </w:pPr>
          </w:p>
        </w:tc>
        <w:tc>
          <w:tcPr>
            <w:tcW w:w="1134" w:type="dxa"/>
            <w:vMerge/>
            <w:tcBorders>
              <w:top w:val="single" w:sz="4" w:space="0" w:color="auto"/>
              <w:left w:val="single" w:sz="4" w:space="0" w:color="auto"/>
              <w:bottom w:val="nil"/>
              <w:right w:val="single" w:sz="4" w:space="0" w:color="auto"/>
            </w:tcBorders>
            <w:vAlign w:val="center"/>
            <w:hideMark/>
          </w:tcPr>
          <w:p w:rsidR="00445B8E" w:rsidRPr="00445B8E" w:rsidRDefault="00445B8E" w:rsidP="00445B8E">
            <w:pPr>
              <w:rPr>
                <w:rFonts w:ascii="Arial CE" w:hAnsi="Arial CE" w:cs="Arial CE"/>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31.3.</w:t>
            </w:r>
          </w:p>
        </w:tc>
        <w:tc>
          <w:tcPr>
            <w:tcW w:w="850" w:type="dxa"/>
            <w:tcBorders>
              <w:top w:val="single" w:sz="4" w:space="0" w:color="auto"/>
              <w:left w:val="nil"/>
              <w:bottom w:val="nil"/>
              <w:right w:val="nil"/>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30.6.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(2-1)</w:t>
            </w:r>
          </w:p>
        </w:tc>
        <w:tc>
          <w:tcPr>
            <w:tcW w:w="819" w:type="dxa"/>
            <w:tcBorders>
              <w:top w:val="single" w:sz="4" w:space="0" w:color="auto"/>
              <w:left w:val="nil"/>
              <w:bottom w:val="nil"/>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(3-1)</w:t>
            </w:r>
          </w:p>
        </w:tc>
      </w:tr>
      <w:tr w:rsidR="00445B8E" w:rsidRPr="00445B8E" w:rsidTr="009D0C61">
        <w:trPr>
          <w:trHeight w:val="240"/>
        </w:trPr>
        <w:tc>
          <w:tcPr>
            <w:tcW w:w="4116" w:type="dxa"/>
            <w:tcBorders>
              <w:top w:val="single" w:sz="4" w:space="0" w:color="auto"/>
              <w:left w:val="single" w:sz="4" w:space="0" w:color="auto"/>
              <w:bottom w:val="single" w:sz="4" w:space="0" w:color="auto"/>
              <w:right w:val="nil"/>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1</w:t>
            </w:r>
          </w:p>
        </w:tc>
        <w:tc>
          <w:tcPr>
            <w:tcW w:w="851" w:type="dxa"/>
            <w:tcBorders>
              <w:top w:val="nil"/>
              <w:left w:val="nil"/>
              <w:bottom w:val="single" w:sz="4" w:space="0" w:color="auto"/>
              <w:right w:val="nil"/>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2</w:t>
            </w:r>
          </w:p>
        </w:tc>
        <w:tc>
          <w:tcPr>
            <w:tcW w:w="850" w:type="dxa"/>
            <w:tcBorders>
              <w:top w:val="single" w:sz="4" w:space="0" w:color="auto"/>
              <w:left w:val="single" w:sz="4" w:space="0" w:color="auto"/>
              <w:bottom w:val="single" w:sz="4" w:space="0" w:color="auto"/>
              <w:right w:val="nil"/>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3</w:t>
            </w:r>
          </w:p>
        </w:tc>
        <w:tc>
          <w:tcPr>
            <w:tcW w:w="851" w:type="dxa"/>
            <w:tcBorders>
              <w:top w:val="nil"/>
              <w:left w:val="single" w:sz="4" w:space="0" w:color="auto"/>
              <w:bottom w:val="single" w:sz="4" w:space="0" w:color="auto"/>
              <w:right w:val="nil"/>
            </w:tcBorders>
            <w:shd w:val="clear" w:color="auto" w:fill="auto"/>
            <w:noWrap/>
            <w:vAlign w:val="bottom"/>
            <w:hideMark/>
          </w:tcPr>
          <w:p w:rsidR="00445B8E" w:rsidRPr="00445B8E" w:rsidRDefault="00445B8E" w:rsidP="00445B8E">
            <w:pPr>
              <w:jc w:val="center"/>
              <w:rPr>
                <w:rFonts w:ascii="Arial CE" w:hAnsi="Arial CE" w:cs="Arial CE"/>
                <w:sz w:val="18"/>
                <w:szCs w:val="18"/>
              </w:rPr>
            </w:pPr>
            <w:r w:rsidRPr="00445B8E">
              <w:rPr>
                <w:rFonts w:ascii="Arial CE" w:hAnsi="Arial CE" w:cs="Arial CE"/>
                <w:sz w:val="18"/>
                <w:szCs w:val="18"/>
              </w:rPr>
              <w:t>4</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18"/>
                <w:szCs w:val="18"/>
              </w:rPr>
            </w:pPr>
            <w:r w:rsidRPr="00445B8E">
              <w:rPr>
                <w:rFonts w:ascii="Arial" w:hAnsi="Arial" w:cs="Arial"/>
                <w:sz w:val="18"/>
                <w:szCs w:val="18"/>
              </w:rPr>
              <w:t>5</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Slovenská sporiteľňa, a.s.</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213 586</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213 409</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216 032</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-177</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2 446</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Poštová banka, a.s.</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188 594</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186 341</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210 350</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-2 253</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21 756</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Všeobecná úverová banka, a.s.</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107 868</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108 507</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110 961</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639</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3 093</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Tatra banka, a.s.</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32 095</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32 192</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32 996</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97</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901</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DEXIA banka Slovensko, a.s.</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11 955</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11 863</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12 021</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-92</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66</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Československá obchodná banka, a.s.</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18 232</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18 498</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19 084</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266</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852</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OTP banka Slovensko, a.s.,</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11 084</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11 103</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11 265</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19</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181</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proofErr w:type="spellStart"/>
            <w:r w:rsidRPr="00445B8E">
              <w:rPr>
                <w:rFonts w:ascii="Arial CE" w:hAnsi="Arial CE" w:cs="Arial CE"/>
                <w:sz w:val="18"/>
                <w:szCs w:val="18"/>
              </w:rPr>
              <w:t>Unicredit</w:t>
            </w:r>
            <w:proofErr w:type="spellEnd"/>
            <w:r w:rsidRPr="00445B8E">
              <w:rPr>
                <w:rFonts w:ascii="Arial CE" w:hAnsi="Arial CE" w:cs="Arial CE"/>
                <w:sz w:val="18"/>
                <w:szCs w:val="18"/>
              </w:rPr>
              <w:t xml:space="preserve"> bank Slovakia, a.s.</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6 218</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6 204</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6 392</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-14</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174</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proofErr w:type="spellStart"/>
            <w:r w:rsidRPr="00445B8E">
              <w:rPr>
                <w:rFonts w:ascii="Arial CE" w:hAnsi="Arial CE" w:cs="Arial CE"/>
                <w:sz w:val="18"/>
                <w:szCs w:val="18"/>
              </w:rPr>
              <w:t>Volksbank</w:t>
            </w:r>
            <w:proofErr w:type="spellEnd"/>
            <w:r w:rsidRPr="00445B8E">
              <w:rPr>
                <w:rFonts w:ascii="Arial CE" w:hAnsi="Arial CE" w:cs="Arial CE"/>
                <w:sz w:val="18"/>
                <w:szCs w:val="18"/>
              </w:rPr>
              <w:t xml:space="preserve"> Slovensko, a.s.</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5 694</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5 703</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5 745</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9</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51</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BRE BANK SA, pobočka zahraničnej banky v SR</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1 889</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1 995</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2 161</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106</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272</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Národná banka Slovenska</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211</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204</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204</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-7</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-7</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proofErr w:type="spellStart"/>
            <w:r w:rsidRPr="00445B8E">
              <w:rPr>
                <w:rFonts w:ascii="Arial CE" w:hAnsi="Arial CE" w:cs="Arial CE"/>
                <w:sz w:val="18"/>
                <w:szCs w:val="18"/>
              </w:rPr>
              <w:t>Privatbanka</w:t>
            </w:r>
            <w:proofErr w:type="spellEnd"/>
            <w:r w:rsidRPr="00445B8E">
              <w:rPr>
                <w:rFonts w:ascii="Arial CE" w:hAnsi="Arial CE" w:cs="Arial CE"/>
                <w:sz w:val="18"/>
                <w:szCs w:val="18"/>
              </w:rPr>
              <w:t xml:space="preserve">, a.s.  </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46</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44</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45</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w:t>
            </w:r>
          </w:p>
        </w:tc>
      </w:tr>
      <w:tr w:rsidR="00445B8E" w:rsidRPr="00445B8E" w:rsidTr="009D0C61">
        <w:trPr>
          <w:trHeight w:val="240"/>
        </w:trPr>
        <w:tc>
          <w:tcPr>
            <w:tcW w:w="4116" w:type="dxa"/>
            <w:tcBorders>
              <w:top w:val="nil"/>
              <w:left w:val="single" w:sz="4" w:space="0" w:color="auto"/>
              <w:bottom w:val="nil"/>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Komerční banka Bratislava, a.s.</w:t>
            </w:r>
          </w:p>
        </w:tc>
        <w:tc>
          <w:tcPr>
            <w:tcW w:w="1134"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w:t>
            </w:r>
          </w:p>
        </w:tc>
        <w:tc>
          <w:tcPr>
            <w:tcW w:w="851"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0</w:t>
            </w:r>
          </w:p>
        </w:tc>
        <w:tc>
          <w:tcPr>
            <w:tcW w:w="850"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0</w:t>
            </w:r>
          </w:p>
        </w:tc>
        <w:tc>
          <w:tcPr>
            <w:tcW w:w="851" w:type="dxa"/>
            <w:tcBorders>
              <w:top w:val="nil"/>
              <w:left w:val="single" w:sz="4" w:space="0" w:color="auto"/>
              <w:bottom w:val="nil"/>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w:t>
            </w:r>
          </w:p>
        </w:tc>
        <w:tc>
          <w:tcPr>
            <w:tcW w:w="81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w:t>
            </w:r>
          </w:p>
        </w:tc>
      </w:tr>
      <w:tr w:rsidR="00445B8E" w:rsidRPr="00445B8E" w:rsidTr="009D0C61">
        <w:trPr>
          <w:trHeight w:val="330"/>
        </w:trPr>
        <w:tc>
          <w:tcPr>
            <w:tcW w:w="4116" w:type="dxa"/>
            <w:tcBorders>
              <w:top w:val="single" w:sz="4" w:space="0" w:color="auto"/>
              <w:left w:val="single" w:sz="4" w:space="0" w:color="auto"/>
              <w:bottom w:val="single" w:sz="4" w:space="0" w:color="auto"/>
              <w:right w:val="nil"/>
            </w:tcBorders>
            <w:shd w:val="clear" w:color="auto" w:fill="auto"/>
            <w:noWrap/>
            <w:vAlign w:val="bottom"/>
            <w:hideMark/>
          </w:tcPr>
          <w:p w:rsidR="00445B8E" w:rsidRPr="00445B8E" w:rsidRDefault="00445B8E" w:rsidP="00445B8E">
            <w:pPr>
              <w:rPr>
                <w:rFonts w:ascii="Arial CE" w:hAnsi="Arial CE" w:cs="Arial CE"/>
                <w:sz w:val="18"/>
                <w:szCs w:val="18"/>
              </w:rPr>
            </w:pPr>
            <w:r w:rsidRPr="00445B8E">
              <w:rPr>
                <w:rFonts w:ascii="Arial CE" w:hAnsi="Arial CE" w:cs="Arial CE"/>
                <w:sz w:val="18"/>
                <w:szCs w:val="18"/>
              </w:rPr>
              <w:t>S p o l 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597 473</w:t>
            </w:r>
          </w:p>
        </w:tc>
        <w:tc>
          <w:tcPr>
            <w:tcW w:w="851" w:type="dxa"/>
            <w:tcBorders>
              <w:top w:val="single" w:sz="4" w:space="0" w:color="auto"/>
              <w:left w:val="nil"/>
              <w:bottom w:val="single" w:sz="4" w:space="0" w:color="auto"/>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596 063</w:t>
            </w:r>
          </w:p>
        </w:tc>
        <w:tc>
          <w:tcPr>
            <w:tcW w:w="850" w:type="dxa"/>
            <w:tcBorders>
              <w:top w:val="single" w:sz="4" w:space="0" w:color="auto"/>
              <w:left w:val="single" w:sz="4" w:space="0" w:color="auto"/>
              <w:bottom w:val="single" w:sz="4" w:space="0" w:color="auto"/>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627 256</w:t>
            </w:r>
          </w:p>
        </w:tc>
        <w:tc>
          <w:tcPr>
            <w:tcW w:w="851" w:type="dxa"/>
            <w:tcBorders>
              <w:top w:val="single" w:sz="4" w:space="0" w:color="auto"/>
              <w:left w:val="single" w:sz="4" w:space="0" w:color="auto"/>
              <w:bottom w:val="single" w:sz="4" w:space="0" w:color="auto"/>
              <w:right w:val="nil"/>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-1 410</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CE" w:hAnsi="Arial CE" w:cs="Arial CE"/>
                <w:sz w:val="18"/>
                <w:szCs w:val="18"/>
              </w:rPr>
            </w:pPr>
            <w:r w:rsidRPr="00445B8E">
              <w:rPr>
                <w:rFonts w:ascii="Arial CE" w:hAnsi="Arial CE" w:cs="Arial CE"/>
                <w:sz w:val="18"/>
                <w:szCs w:val="18"/>
              </w:rPr>
              <w:t>29 783</w:t>
            </w:r>
          </w:p>
        </w:tc>
      </w:tr>
    </w:tbl>
    <w:p w:rsidR="00445B8E" w:rsidRPr="00445B8E" w:rsidRDefault="00445B8E" w:rsidP="00445B8E">
      <w:pPr>
        <w:spacing w:before="240"/>
        <w:ind w:firstLine="709"/>
        <w:jc w:val="both"/>
        <w:rPr>
          <w:rFonts w:ascii="Arial" w:hAnsi="Arial"/>
          <w:color w:val="000000"/>
        </w:rPr>
      </w:pPr>
    </w:p>
    <w:p w:rsidR="00445B8E" w:rsidRPr="00445B8E" w:rsidRDefault="00445B8E" w:rsidP="00445B8E">
      <w:pPr>
        <w:numPr>
          <w:ilvl w:val="1"/>
          <w:numId w:val="16"/>
        </w:numPr>
        <w:tabs>
          <w:tab w:val="left" w:pos="709"/>
          <w:tab w:val="decimal" w:pos="8222"/>
        </w:tabs>
        <w:spacing w:before="240" w:after="120"/>
        <w:ind w:left="0" w:firstLine="0"/>
        <w:contextualSpacing/>
        <w:rPr>
          <w:rFonts w:ascii="Arial" w:hAnsi="Arial"/>
          <w:szCs w:val="20"/>
        </w:rPr>
      </w:pPr>
      <w:r w:rsidRPr="00445B8E">
        <w:rPr>
          <w:rFonts w:ascii="Arial" w:hAnsi="Arial"/>
          <w:b/>
          <w:color w:val="000000"/>
          <w:szCs w:val="20"/>
        </w:rPr>
        <w:t xml:space="preserve">Výdavky základného fondu úrazového poistenia </w:t>
      </w:r>
      <w:r w:rsidRPr="00445B8E">
        <w:rPr>
          <w:rFonts w:ascii="Arial" w:hAnsi="Arial"/>
          <w:b/>
          <w:color w:val="000000"/>
          <w:szCs w:val="20"/>
        </w:rPr>
        <w:tab/>
        <w:t>22 227 tis. Eur</w:t>
      </w:r>
      <w:r w:rsidRPr="00445B8E">
        <w:rPr>
          <w:rFonts w:ascii="Arial" w:hAnsi="Arial"/>
          <w:color w:val="000000"/>
          <w:szCs w:val="20"/>
        </w:rPr>
        <w:t>,</w:t>
      </w:r>
      <w:r w:rsidRPr="00445B8E">
        <w:rPr>
          <w:rFonts w:ascii="Arial" w:hAnsi="Arial"/>
          <w:color w:val="000000"/>
          <w:szCs w:val="20"/>
        </w:rPr>
        <w:br/>
        <w:t xml:space="preserve">čo je 50,49 % </w:t>
      </w:r>
      <w:r w:rsidRPr="00445B8E">
        <w:rPr>
          <w:rFonts w:ascii="Arial" w:hAnsi="Arial"/>
          <w:szCs w:val="20"/>
        </w:rPr>
        <w:t xml:space="preserve">rozpočtu </w:t>
      </w:r>
      <w:r w:rsidRPr="00445B8E">
        <w:rPr>
          <w:rFonts w:ascii="Arial" w:hAnsi="Arial"/>
          <w:color w:val="000000"/>
          <w:szCs w:val="20"/>
        </w:rPr>
        <w:t>vo výške</w:t>
      </w:r>
      <w:r w:rsidRPr="00445B8E">
        <w:rPr>
          <w:rFonts w:ascii="Arial" w:hAnsi="Arial"/>
          <w:color w:val="000000"/>
          <w:szCs w:val="20"/>
        </w:rPr>
        <w:tab/>
        <w:t>44 024 tis. Eur</w:t>
      </w:r>
      <w:r w:rsidRPr="00445B8E">
        <w:rPr>
          <w:rFonts w:ascii="Arial" w:hAnsi="Arial"/>
          <w:szCs w:val="20"/>
        </w:rPr>
        <w:br/>
        <w:t>a 104,13 % časového rozpisu vo výške</w:t>
      </w:r>
      <w:r w:rsidRPr="00445B8E">
        <w:rPr>
          <w:rFonts w:ascii="Arial" w:hAnsi="Arial"/>
          <w:szCs w:val="20"/>
        </w:rPr>
        <w:tab/>
        <w:t xml:space="preserve">21 345 tis. Eur. </w:t>
      </w:r>
    </w:p>
    <w:p w:rsidR="00445B8E" w:rsidRPr="00445B8E" w:rsidRDefault="00445B8E" w:rsidP="00445B8E">
      <w:pPr>
        <w:tabs>
          <w:tab w:val="decimal" w:pos="8222"/>
        </w:tabs>
        <w:ind w:firstLine="720"/>
        <w:rPr>
          <w:rFonts w:ascii="Arial" w:hAnsi="Arial"/>
          <w:szCs w:val="20"/>
        </w:rPr>
      </w:pPr>
      <w:r w:rsidRPr="00445B8E">
        <w:rPr>
          <w:rFonts w:ascii="Arial" w:hAnsi="Arial"/>
          <w:szCs w:val="20"/>
        </w:rPr>
        <w:t>V uvedenej sume výdavkov sú zahrnuté:</w:t>
      </w:r>
    </w:p>
    <w:p w:rsidR="00445B8E" w:rsidRPr="00445B8E" w:rsidRDefault="00445B8E" w:rsidP="00445B8E">
      <w:pPr>
        <w:numPr>
          <w:ilvl w:val="0"/>
          <w:numId w:val="4"/>
        </w:numPr>
        <w:tabs>
          <w:tab w:val="decimal" w:pos="8222"/>
        </w:tabs>
        <w:ind w:left="0" w:firstLine="0"/>
        <w:rPr>
          <w:rFonts w:ascii="Arial" w:hAnsi="Arial"/>
          <w:szCs w:val="20"/>
        </w:rPr>
      </w:pPr>
      <w:r w:rsidRPr="00445B8E">
        <w:rPr>
          <w:rFonts w:ascii="Arial" w:hAnsi="Arial"/>
          <w:szCs w:val="20"/>
        </w:rPr>
        <w:t>výdavky na úrazové dávky</w:t>
      </w:r>
      <w:r w:rsidRPr="00445B8E">
        <w:rPr>
          <w:rFonts w:ascii="Arial" w:hAnsi="Arial"/>
          <w:szCs w:val="20"/>
        </w:rPr>
        <w:tab/>
        <w:t>21 177 tis. Eur,</w:t>
      </w:r>
    </w:p>
    <w:p w:rsidR="00445B8E" w:rsidRPr="00445B8E" w:rsidRDefault="00445B8E" w:rsidP="00445B8E">
      <w:pPr>
        <w:numPr>
          <w:ilvl w:val="0"/>
          <w:numId w:val="4"/>
        </w:numPr>
        <w:tabs>
          <w:tab w:val="decimal" w:pos="8222"/>
        </w:tabs>
        <w:ind w:left="0" w:firstLine="0"/>
        <w:rPr>
          <w:rFonts w:ascii="Arial" w:hAnsi="Arial"/>
          <w:snapToGrid w:val="0"/>
          <w:szCs w:val="20"/>
        </w:rPr>
      </w:pPr>
      <w:r w:rsidRPr="00445B8E">
        <w:rPr>
          <w:rFonts w:ascii="Arial" w:hAnsi="Arial"/>
          <w:snapToGrid w:val="0"/>
          <w:szCs w:val="20"/>
        </w:rPr>
        <w:t>zúčtovanie dôchodkových dávok</w:t>
      </w:r>
      <w:r w:rsidRPr="00445B8E">
        <w:rPr>
          <w:rFonts w:ascii="Arial" w:hAnsi="Arial"/>
          <w:snapToGrid w:val="0"/>
          <w:szCs w:val="20"/>
        </w:rPr>
        <w:tab/>
        <w:t>-45 tis. Eur.</w:t>
      </w:r>
    </w:p>
    <w:p w:rsidR="00445B8E" w:rsidRPr="00445B8E" w:rsidRDefault="00445B8E" w:rsidP="00445B8E">
      <w:pPr>
        <w:numPr>
          <w:ilvl w:val="0"/>
          <w:numId w:val="4"/>
        </w:numPr>
        <w:tabs>
          <w:tab w:val="decimal" w:pos="8222"/>
        </w:tabs>
        <w:spacing w:after="120"/>
        <w:ind w:left="709" w:hanging="709"/>
        <w:rPr>
          <w:rFonts w:ascii="Arial" w:hAnsi="Arial"/>
          <w:snapToGrid w:val="0"/>
          <w:szCs w:val="20"/>
        </w:rPr>
      </w:pPr>
      <w:r w:rsidRPr="00445B8E">
        <w:rPr>
          <w:rFonts w:ascii="Arial" w:hAnsi="Arial"/>
          <w:szCs w:val="20"/>
        </w:rPr>
        <w:t>poistné do základného fondu starobného poistenia  a príspevky</w:t>
      </w:r>
      <w:r w:rsidRPr="00445B8E">
        <w:rPr>
          <w:rFonts w:ascii="Arial" w:hAnsi="Arial"/>
          <w:szCs w:val="20"/>
        </w:rPr>
        <w:br/>
        <w:t>na SDS platené do základného fondu príspevkov na SDS</w:t>
      </w:r>
      <w:r w:rsidRPr="00445B8E">
        <w:rPr>
          <w:rFonts w:ascii="Arial" w:hAnsi="Arial"/>
          <w:szCs w:val="20"/>
        </w:rPr>
        <w:tab/>
        <w:t>1 095 tis. Eur.</w:t>
      </w:r>
    </w:p>
    <w:p w:rsidR="00445B8E" w:rsidRPr="00445B8E" w:rsidRDefault="00445B8E" w:rsidP="00445B8E">
      <w:pPr>
        <w:spacing w:before="240" w:after="120"/>
        <w:ind w:firstLine="709"/>
        <w:jc w:val="both"/>
        <w:rPr>
          <w:rFonts w:ascii="Arial" w:hAnsi="Arial"/>
          <w:snapToGrid w:val="0"/>
          <w:szCs w:val="20"/>
        </w:rPr>
      </w:pPr>
      <w:r w:rsidRPr="00445B8E">
        <w:rPr>
          <w:rFonts w:ascii="Arial" w:hAnsi="Arial"/>
          <w:szCs w:val="20"/>
        </w:rPr>
        <w:lastRenderedPageBreak/>
        <w:t xml:space="preserve">V porovnaní s časovým rozpisom sú skutočné výdavky základného fondu úrazového poistenia vyššie o 882 tis. Eur. V porovnaní s rovnakým obdobím roka 2010 sú výdavky základného fondu úrazového poistenia vyššie o 2 118 tis. Eur (index rastu 110,53 %). </w:t>
      </w:r>
    </w:p>
    <w:p w:rsidR="00445B8E" w:rsidRPr="00445B8E" w:rsidRDefault="00445B8E" w:rsidP="00445B8E">
      <w:pPr>
        <w:spacing w:before="240" w:after="120"/>
        <w:ind w:firstLine="720"/>
        <w:jc w:val="both"/>
        <w:rPr>
          <w:rFonts w:ascii="Arial" w:hAnsi="Arial"/>
          <w:szCs w:val="20"/>
        </w:rPr>
      </w:pPr>
      <w:r w:rsidRPr="00445B8E">
        <w:rPr>
          <w:rFonts w:ascii="Arial" w:hAnsi="Arial"/>
          <w:szCs w:val="20"/>
        </w:rPr>
        <w:t>N</w:t>
      </w:r>
      <w:r w:rsidRPr="00445B8E">
        <w:rPr>
          <w:rFonts w:ascii="Arial" w:hAnsi="Arial"/>
          <w:snapToGrid w:val="0"/>
          <w:szCs w:val="20"/>
        </w:rPr>
        <w:t>ajvyšší podiel na vyplatených úrazových dávkach má úrazová renta v sume 10 913 tis. Eur</w:t>
      </w:r>
      <w:r w:rsidRPr="00445B8E">
        <w:rPr>
          <w:rFonts w:ascii="Arial" w:hAnsi="Arial"/>
          <w:szCs w:val="20"/>
        </w:rPr>
        <w:t xml:space="preserve">. </w:t>
      </w:r>
      <w:r w:rsidRPr="00445B8E">
        <w:rPr>
          <w:rFonts w:ascii="Arial" w:hAnsi="Arial"/>
          <w:snapToGrid w:val="0"/>
          <w:szCs w:val="20"/>
        </w:rPr>
        <w:t xml:space="preserve">V mesiacoch január až jún 2011 bolo ústredím Sociálnej poisťovne (ďalej len „ústredie“) vyplatených priemerne mesačne 6 362 úrazových rent a 241 pozostalostných úrazových rent spolu v sume 10 675 tis. Eur. Pobočky vyplatili úrazové dávky v sume 10 505 tis. </w:t>
      </w:r>
      <w:r w:rsidRPr="00445B8E">
        <w:rPr>
          <w:rFonts w:ascii="Arial" w:hAnsi="Arial"/>
          <w:szCs w:val="20"/>
        </w:rPr>
        <w:t xml:space="preserve">Eur. </w:t>
      </w:r>
    </w:p>
    <w:p w:rsidR="00445B8E" w:rsidRPr="00445B8E" w:rsidRDefault="00445B8E" w:rsidP="00445B8E">
      <w:pPr>
        <w:numPr>
          <w:ilvl w:val="1"/>
          <w:numId w:val="7"/>
        </w:numPr>
        <w:tabs>
          <w:tab w:val="left" w:pos="720"/>
          <w:tab w:val="decimal" w:pos="8222"/>
          <w:tab w:val="num" w:pos="9072"/>
        </w:tabs>
        <w:spacing w:before="240" w:after="120"/>
        <w:ind w:left="0" w:firstLine="0"/>
        <w:rPr>
          <w:rFonts w:ascii="Arial" w:hAnsi="Arial"/>
          <w:color w:val="000000"/>
          <w:szCs w:val="20"/>
        </w:rPr>
      </w:pPr>
      <w:r w:rsidRPr="00445B8E">
        <w:rPr>
          <w:rFonts w:ascii="Arial" w:hAnsi="Arial"/>
          <w:b/>
          <w:color w:val="000000"/>
        </w:rPr>
        <w:t xml:space="preserve">Výdavky základného fondu garančného poistenia </w:t>
      </w:r>
      <w:r w:rsidRPr="00445B8E">
        <w:rPr>
          <w:rFonts w:ascii="Arial" w:hAnsi="Arial"/>
          <w:b/>
          <w:color w:val="000000"/>
        </w:rPr>
        <w:tab/>
        <w:t>16 604 tis. Eur,</w:t>
      </w:r>
      <w:r w:rsidRPr="00445B8E">
        <w:rPr>
          <w:rFonts w:ascii="Arial" w:hAnsi="Arial"/>
          <w:b/>
          <w:color w:val="000000"/>
        </w:rPr>
        <w:br/>
      </w:r>
      <w:r w:rsidRPr="00445B8E">
        <w:rPr>
          <w:rFonts w:ascii="Arial" w:hAnsi="Arial"/>
          <w:color w:val="000000"/>
          <w:szCs w:val="20"/>
        </w:rPr>
        <w:t xml:space="preserve">čo je 33,15 % </w:t>
      </w:r>
      <w:r w:rsidRPr="00445B8E">
        <w:rPr>
          <w:rFonts w:ascii="Arial" w:hAnsi="Arial"/>
          <w:szCs w:val="20"/>
        </w:rPr>
        <w:t xml:space="preserve">rozpočtu </w:t>
      </w:r>
      <w:r w:rsidRPr="00445B8E">
        <w:rPr>
          <w:rFonts w:ascii="Arial" w:hAnsi="Arial"/>
          <w:color w:val="000000"/>
          <w:szCs w:val="20"/>
        </w:rPr>
        <w:t>vo výške</w:t>
      </w:r>
      <w:r w:rsidRPr="00445B8E">
        <w:rPr>
          <w:rFonts w:ascii="Arial" w:hAnsi="Arial"/>
          <w:color w:val="000000"/>
          <w:szCs w:val="20"/>
        </w:rPr>
        <w:tab/>
        <w:t>50 082 tis. Eur</w:t>
      </w:r>
      <w:r w:rsidRPr="00445B8E">
        <w:rPr>
          <w:rFonts w:ascii="Arial" w:hAnsi="Arial"/>
          <w:szCs w:val="20"/>
        </w:rPr>
        <w:br/>
        <w:t>a 70,30 % časového rozpisu vo výške</w:t>
      </w:r>
      <w:r w:rsidRPr="00445B8E">
        <w:rPr>
          <w:rFonts w:ascii="Arial" w:hAnsi="Arial"/>
          <w:szCs w:val="20"/>
        </w:rPr>
        <w:tab/>
        <w:t>23 619 tis. Eur.</w:t>
      </w:r>
    </w:p>
    <w:p w:rsidR="00445B8E" w:rsidRPr="00445B8E" w:rsidRDefault="00445B8E" w:rsidP="00445B8E">
      <w:pPr>
        <w:tabs>
          <w:tab w:val="num" w:pos="1068"/>
          <w:tab w:val="left" w:pos="3960"/>
        </w:tabs>
        <w:spacing w:before="120"/>
        <w:ind w:firstLine="720"/>
        <w:jc w:val="both"/>
        <w:rPr>
          <w:rFonts w:ascii="Arial" w:hAnsi="Arial"/>
          <w:szCs w:val="20"/>
        </w:rPr>
      </w:pPr>
      <w:r w:rsidRPr="00445B8E">
        <w:rPr>
          <w:rFonts w:ascii="Arial" w:hAnsi="Arial"/>
          <w:szCs w:val="20"/>
        </w:rPr>
        <w:t>V uvedenej sume výdavkov sú zahrnuté:</w:t>
      </w:r>
    </w:p>
    <w:p w:rsidR="00445B8E" w:rsidRPr="00445B8E" w:rsidRDefault="00445B8E" w:rsidP="00445B8E">
      <w:pPr>
        <w:numPr>
          <w:ilvl w:val="0"/>
          <w:numId w:val="5"/>
        </w:numPr>
        <w:tabs>
          <w:tab w:val="decimal" w:pos="8280"/>
        </w:tabs>
        <w:ind w:left="0" w:firstLine="0"/>
        <w:jc w:val="both"/>
        <w:rPr>
          <w:rFonts w:ascii="Arial" w:hAnsi="Arial"/>
          <w:szCs w:val="20"/>
        </w:rPr>
      </w:pPr>
      <w:r w:rsidRPr="00445B8E">
        <w:rPr>
          <w:rFonts w:ascii="Arial" w:hAnsi="Arial"/>
          <w:szCs w:val="20"/>
        </w:rPr>
        <w:t xml:space="preserve">výdavky na dávku garančného poistenia </w:t>
      </w:r>
      <w:r w:rsidRPr="00445B8E">
        <w:rPr>
          <w:rFonts w:ascii="Arial" w:hAnsi="Arial"/>
          <w:szCs w:val="20"/>
        </w:rPr>
        <w:tab/>
        <w:t>2 379 tis. Eur,</w:t>
      </w:r>
    </w:p>
    <w:p w:rsidR="00445B8E" w:rsidRPr="00445B8E" w:rsidRDefault="00445B8E" w:rsidP="00445B8E">
      <w:pPr>
        <w:numPr>
          <w:ilvl w:val="0"/>
          <w:numId w:val="5"/>
        </w:numPr>
        <w:tabs>
          <w:tab w:val="decimal" w:pos="8280"/>
        </w:tabs>
        <w:spacing w:after="120"/>
        <w:ind w:left="720" w:hanging="720"/>
        <w:rPr>
          <w:rFonts w:ascii="Arial" w:hAnsi="Arial"/>
          <w:szCs w:val="20"/>
        </w:rPr>
      </w:pPr>
      <w:r w:rsidRPr="00445B8E">
        <w:rPr>
          <w:rFonts w:ascii="Arial" w:hAnsi="Arial"/>
          <w:szCs w:val="20"/>
        </w:rPr>
        <w:t xml:space="preserve">výdavky na úhradu príspevkov na SDS, ktoré nezaplatil </w:t>
      </w:r>
      <w:r w:rsidRPr="00445B8E">
        <w:rPr>
          <w:rFonts w:ascii="Arial" w:hAnsi="Arial"/>
          <w:szCs w:val="20"/>
        </w:rPr>
        <w:br/>
        <w:t xml:space="preserve">zamestnávateľ do základného fondu príspevkov na SDS </w:t>
      </w:r>
      <w:r w:rsidRPr="00445B8E">
        <w:rPr>
          <w:rFonts w:ascii="Arial" w:hAnsi="Arial"/>
          <w:szCs w:val="20"/>
        </w:rPr>
        <w:br/>
        <w:t xml:space="preserve">do 60 dní odo dňa ich splatnosti  </w:t>
      </w:r>
      <w:r w:rsidRPr="00445B8E">
        <w:rPr>
          <w:rFonts w:ascii="Arial" w:hAnsi="Arial"/>
          <w:szCs w:val="20"/>
        </w:rPr>
        <w:tab/>
        <w:t xml:space="preserve">14 225 tis. Eur. </w:t>
      </w:r>
    </w:p>
    <w:p w:rsidR="00445B8E" w:rsidRPr="00445B8E" w:rsidRDefault="00445B8E" w:rsidP="00445B8E">
      <w:pPr>
        <w:tabs>
          <w:tab w:val="left" w:pos="3960"/>
          <w:tab w:val="left" w:pos="5040"/>
          <w:tab w:val="left" w:pos="7380"/>
          <w:tab w:val="left" w:pos="9072"/>
        </w:tabs>
        <w:spacing w:before="240" w:after="120"/>
        <w:ind w:firstLine="720"/>
        <w:jc w:val="both"/>
        <w:rPr>
          <w:rFonts w:ascii="Arial" w:hAnsi="Arial"/>
          <w:szCs w:val="20"/>
        </w:rPr>
      </w:pPr>
      <w:r w:rsidRPr="00445B8E">
        <w:rPr>
          <w:rFonts w:ascii="Arial" w:hAnsi="Arial"/>
          <w:szCs w:val="20"/>
        </w:rPr>
        <w:t>Výdavky základného fondu garančného poistenia boli v mesiacoch január až jún 2011 nižšie v porovnaní s časovým rozpisom o 7 015 tis. Eur a v porovnaní s rovnakým obdobím roka 2010 o 4 655 tis. Eur.</w:t>
      </w:r>
    </w:p>
    <w:p w:rsidR="00445B8E" w:rsidRPr="00445B8E" w:rsidRDefault="00445B8E" w:rsidP="00445B8E">
      <w:pPr>
        <w:spacing w:before="240" w:after="120"/>
        <w:ind w:firstLine="720"/>
        <w:jc w:val="both"/>
        <w:rPr>
          <w:rFonts w:ascii="Arial" w:hAnsi="Arial"/>
          <w:szCs w:val="20"/>
        </w:rPr>
      </w:pPr>
      <w:r w:rsidRPr="00445B8E">
        <w:rPr>
          <w:rFonts w:ascii="Arial" w:hAnsi="Arial"/>
          <w:szCs w:val="20"/>
        </w:rPr>
        <w:t>V sledovanom období roka 2011 bola priemerná mesačná výška dávky garančného poistenia 872,19 Eur a priemerný mesačný počet prípadov vyplatenej dávky bol 455 prípadov.</w:t>
      </w:r>
    </w:p>
    <w:p w:rsidR="00445B8E" w:rsidRPr="00445B8E" w:rsidRDefault="00445B8E" w:rsidP="00445B8E">
      <w:pPr>
        <w:tabs>
          <w:tab w:val="left" w:pos="720"/>
          <w:tab w:val="num" w:pos="1440"/>
          <w:tab w:val="decimal" w:pos="8100"/>
        </w:tabs>
        <w:spacing w:before="240" w:after="120"/>
        <w:rPr>
          <w:rFonts w:ascii="Arial" w:hAnsi="Arial"/>
          <w:szCs w:val="20"/>
        </w:rPr>
      </w:pPr>
      <w:r w:rsidRPr="00445B8E">
        <w:rPr>
          <w:rFonts w:ascii="Arial" w:hAnsi="Arial"/>
          <w:b/>
          <w:szCs w:val="20"/>
        </w:rPr>
        <w:t>3.5.</w:t>
      </w:r>
      <w:r w:rsidRPr="00445B8E">
        <w:rPr>
          <w:rFonts w:ascii="Arial" w:hAnsi="Arial"/>
          <w:b/>
          <w:szCs w:val="20"/>
        </w:rPr>
        <w:tab/>
        <w:t>Výdavky základného fondu poistenia v nezamestnanosti</w:t>
      </w:r>
      <w:r w:rsidRPr="00445B8E">
        <w:rPr>
          <w:rFonts w:ascii="Arial" w:hAnsi="Arial"/>
          <w:b/>
          <w:szCs w:val="20"/>
        </w:rPr>
        <w:tab/>
        <w:t>80 307 tis. Eur,</w:t>
      </w:r>
      <w:r w:rsidRPr="00445B8E">
        <w:rPr>
          <w:rFonts w:ascii="Arial" w:hAnsi="Arial"/>
          <w:b/>
          <w:szCs w:val="20"/>
        </w:rPr>
        <w:br/>
      </w:r>
      <w:r w:rsidRPr="00445B8E">
        <w:rPr>
          <w:rFonts w:ascii="Arial" w:hAnsi="Arial"/>
          <w:color w:val="000000"/>
          <w:szCs w:val="20"/>
        </w:rPr>
        <w:t xml:space="preserve">čo je 40,16 % upraveného </w:t>
      </w:r>
      <w:r w:rsidRPr="00445B8E">
        <w:rPr>
          <w:rFonts w:ascii="Arial" w:hAnsi="Arial"/>
          <w:szCs w:val="20"/>
        </w:rPr>
        <w:t xml:space="preserve">rozpočtu </w:t>
      </w:r>
      <w:r w:rsidRPr="00445B8E">
        <w:rPr>
          <w:rFonts w:ascii="Arial" w:hAnsi="Arial"/>
          <w:color w:val="000000"/>
          <w:szCs w:val="20"/>
        </w:rPr>
        <w:t>vo výške</w:t>
      </w:r>
      <w:r w:rsidRPr="00445B8E">
        <w:rPr>
          <w:rFonts w:ascii="Arial" w:hAnsi="Arial"/>
          <w:color w:val="000000"/>
          <w:szCs w:val="20"/>
        </w:rPr>
        <w:tab/>
        <w:t>199 953 tis. Eur</w:t>
      </w:r>
      <w:r w:rsidRPr="00445B8E">
        <w:rPr>
          <w:rFonts w:ascii="Arial" w:hAnsi="Arial"/>
          <w:szCs w:val="20"/>
        </w:rPr>
        <w:br/>
        <w:t>a 84,36 % časového rozpisu vo výške</w:t>
      </w:r>
      <w:r w:rsidRPr="00445B8E">
        <w:rPr>
          <w:rFonts w:ascii="Arial" w:hAnsi="Arial"/>
          <w:szCs w:val="20"/>
        </w:rPr>
        <w:tab/>
        <w:t>95 198 tis. Eur.</w:t>
      </w:r>
    </w:p>
    <w:p w:rsidR="00445B8E" w:rsidRPr="00445B8E" w:rsidRDefault="00445B8E" w:rsidP="00445B8E">
      <w:pPr>
        <w:tabs>
          <w:tab w:val="decimal" w:pos="8222"/>
        </w:tabs>
        <w:spacing w:before="120"/>
        <w:ind w:firstLine="720"/>
        <w:rPr>
          <w:rFonts w:ascii="Arial" w:hAnsi="Arial"/>
          <w:szCs w:val="20"/>
        </w:rPr>
      </w:pPr>
      <w:r w:rsidRPr="00445B8E">
        <w:rPr>
          <w:rFonts w:ascii="Arial" w:hAnsi="Arial"/>
          <w:szCs w:val="20"/>
        </w:rPr>
        <w:t>V uvedenej sume výdavkov sú zahrnuté:</w:t>
      </w:r>
    </w:p>
    <w:p w:rsidR="00445B8E" w:rsidRPr="00445B8E" w:rsidRDefault="00445B8E" w:rsidP="00445B8E">
      <w:pPr>
        <w:numPr>
          <w:ilvl w:val="0"/>
          <w:numId w:val="4"/>
        </w:numPr>
        <w:tabs>
          <w:tab w:val="decimal" w:pos="8222"/>
        </w:tabs>
        <w:ind w:hanging="720"/>
        <w:rPr>
          <w:rFonts w:ascii="Arial" w:hAnsi="Arial"/>
          <w:szCs w:val="20"/>
        </w:rPr>
      </w:pPr>
      <w:r w:rsidRPr="00445B8E">
        <w:rPr>
          <w:rFonts w:ascii="Arial" w:hAnsi="Arial"/>
          <w:szCs w:val="20"/>
        </w:rPr>
        <w:t>výdavky na dávku v nezamestnanosti</w:t>
      </w:r>
      <w:r w:rsidRPr="00445B8E">
        <w:rPr>
          <w:rFonts w:ascii="Arial" w:hAnsi="Arial"/>
          <w:szCs w:val="20"/>
        </w:rPr>
        <w:tab/>
        <w:t>80 393 tis. Eur,</w:t>
      </w:r>
    </w:p>
    <w:p w:rsidR="00445B8E" w:rsidRPr="00445B8E" w:rsidRDefault="00445B8E" w:rsidP="00445B8E">
      <w:pPr>
        <w:numPr>
          <w:ilvl w:val="0"/>
          <w:numId w:val="4"/>
        </w:numPr>
        <w:tabs>
          <w:tab w:val="decimal" w:pos="8222"/>
        </w:tabs>
        <w:ind w:hanging="720"/>
        <w:rPr>
          <w:rFonts w:ascii="Arial" w:hAnsi="Arial"/>
          <w:szCs w:val="20"/>
        </w:rPr>
      </w:pPr>
      <w:r w:rsidRPr="00445B8E">
        <w:rPr>
          <w:rFonts w:ascii="Arial" w:hAnsi="Arial"/>
          <w:szCs w:val="20"/>
        </w:rPr>
        <w:t>refundácia dávky v nezamestnanosti štátom v EÚ</w:t>
      </w:r>
      <w:r w:rsidRPr="00445B8E">
        <w:rPr>
          <w:rFonts w:ascii="Arial" w:hAnsi="Arial"/>
          <w:szCs w:val="20"/>
        </w:rPr>
        <w:tab/>
        <w:t>6 tis. Eur,</w:t>
      </w:r>
    </w:p>
    <w:p w:rsidR="00445B8E" w:rsidRPr="00445B8E" w:rsidRDefault="00445B8E" w:rsidP="00445B8E">
      <w:pPr>
        <w:numPr>
          <w:ilvl w:val="0"/>
          <w:numId w:val="4"/>
        </w:numPr>
        <w:tabs>
          <w:tab w:val="decimal" w:pos="8222"/>
        </w:tabs>
        <w:spacing w:after="120"/>
        <w:ind w:hanging="720"/>
        <w:rPr>
          <w:rFonts w:ascii="Arial" w:hAnsi="Arial"/>
          <w:snapToGrid w:val="0"/>
          <w:szCs w:val="20"/>
        </w:rPr>
      </w:pPr>
      <w:r w:rsidRPr="00445B8E">
        <w:rPr>
          <w:rFonts w:ascii="Arial" w:hAnsi="Arial"/>
          <w:snapToGrid w:val="0"/>
          <w:szCs w:val="20"/>
        </w:rPr>
        <w:t>zúčtovanie dôchodkových dávok</w:t>
      </w:r>
      <w:r w:rsidRPr="00445B8E">
        <w:rPr>
          <w:rFonts w:ascii="Arial" w:hAnsi="Arial"/>
          <w:snapToGrid w:val="0"/>
          <w:szCs w:val="20"/>
        </w:rPr>
        <w:tab/>
        <w:t>-92 tis. Eur.</w:t>
      </w:r>
    </w:p>
    <w:p w:rsidR="00445B8E" w:rsidRPr="00445B8E" w:rsidRDefault="00445B8E" w:rsidP="00445B8E">
      <w:pPr>
        <w:spacing w:before="240" w:after="120"/>
        <w:ind w:firstLine="709"/>
        <w:jc w:val="both"/>
        <w:rPr>
          <w:rFonts w:ascii="Arial" w:hAnsi="Arial"/>
          <w:szCs w:val="20"/>
        </w:rPr>
      </w:pPr>
      <w:r w:rsidRPr="00445B8E">
        <w:rPr>
          <w:rFonts w:ascii="Arial" w:hAnsi="Arial"/>
          <w:szCs w:val="20"/>
        </w:rPr>
        <w:t>V porovnaní s časovým rozpisom sú výdavky základného fondu poistenia v nezamestnanosti nižšie o 14 891 tis. Eur. V porovnaní s rovnakým obdobím roka 2010 boli výdavky základného fondu poistenia v nezamestnanosti vyššie o 742 tis. Eur (index 100,93 %).</w:t>
      </w:r>
    </w:p>
    <w:p w:rsidR="00445B8E" w:rsidRPr="00445B8E" w:rsidRDefault="00445B8E" w:rsidP="00445B8E">
      <w:pPr>
        <w:spacing w:before="240" w:after="120"/>
        <w:ind w:firstLine="709"/>
        <w:jc w:val="both"/>
        <w:rPr>
          <w:rFonts w:ascii="Arial" w:hAnsi="Arial"/>
          <w:szCs w:val="20"/>
        </w:rPr>
      </w:pPr>
      <w:r w:rsidRPr="00445B8E">
        <w:rPr>
          <w:rFonts w:ascii="Arial" w:hAnsi="Arial"/>
          <w:szCs w:val="20"/>
        </w:rPr>
        <w:t xml:space="preserve">V mesiacoch január až jún 2011 bola priemerná  mesačná výška dávky v nezamestnanosti na 1 poberateľa 311,08 Eur (nárast výšky dávky oproti predpokladu zapracovanom v rozpočte o 7,08 Eur a oproti rovnakému obdobiu roka 2010 o 28,61 Eur) a priemerný mesačný počet poberateľov vyplatenej dávky bol 43 072 (pokles poberateľov oproti predpokladu zapracovanom v rozpočte o 11 740 a oproti rovnakému obdobiu roka 2010 o 3 980).  </w:t>
      </w:r>
    </w:p>
    <w:p w:rsidR="00445B8E" w:rsidRPr="00445B8E" w:rsidRDefault="00445B8E" w:rsidP="00445B8E">
      <w:pPr>
        <w:spacing w:before="240" w:after="120"/>
        <w:ind w:firstLine="709"/>
        <w:jc w:val="both"/>
        <w:rPr>
          <w:rFonts w:ascii="Arial" w:hAnsi="Arial"/>
          <w:szCs w:val="20"/>
        </w:rPr>
      </w:pPr>
    </w:p>
    <w:p w:rsidR="00445B8E" w:rsidRPr="00445B8E" w:rsidRDefault="00445B8E" w:rsidP="00445B8E">
      <w:pPr>
        <w:spacing w:before="240" w:after="120"/>
        <w:ind w:firstLine="709"/>
        <w:jc w:val="both"/>
        <w:rPr>
          <w:rFonts w:ascii="Arial" w:hAnsi="Arial"/>
          <w:szCs w:val="20"/>
        </w:rPr>
      </w:pPr>
    </w:p>
    <w:p w:rsidR="00445B8E" w:rsidRPr="00445B8E" w:rsidRDefault="00445B8E" w:rsidP="00445B8E">
      <w:pPr>
        <w:numPr>
          <w:ilvl w:val="1"/>
          <w:numId w:val="8"/>
        </w:numPr>
        <w:tabs>
          <w:tab w:val="decimal" w:pos="8222"/>
        </w:tabs>
        <w:spacing w:before="240" w:after="120"/>
        <w:rPr>
          <w:rFonts w:ascii="Arial" w:hAnsi="Arial" w:cs="Arial"/>
          <w:b/>
          <w:szCs w:val="20"/>
        </w:rPr>
      </w:pPr>
      <w:r w:rsidRPr="00445B8E">
        <w:rPr>
          <w:rFonts w:ascii="Arial" w:hAnsi="Arial" w:cs="Arial"/>
          <w:b/>
          <w:szCs w:val="20"/>
        </w:rPr>
        <w:lastRenderedPageBreak/>
        <w:t>Výdavky (náklady) správneho fondu</w:t>
      </w:r>
    </w:p>
    <w:p w:rsidR="00445B8E" w:rsidRPr="00445B8E" w:rsidRDefault="00445B8E" w:rsidP="00445B8E">
      <w:pPr>
        <w:spacing w:before="240" w:after="120"/>
        <w:ind w:firstLine="680"/>
        <w:jc w:val="both"/>
        <w:rPr>
          <w:rFonts w:ascii="Arial" w:hAnsi="Arial" w:cs="Arial"/>
          <w:szCs w:val="20"/>
        </w:rPr>
      </w:pPr>
      <w:r w:rsidRPr="00445B8E">
        <w:rPr>
          <w:rFonts w:ascii="Arial" w:hAnsi="Arial" w:cs="Arial"/>
          <w:szCs w:val="20"/>
        </w:rPr>
        <w:t xml:space="preserve">V schválenom rozpočte na rok 2011 sa predpokladá použitie správneho fondu v sume </w:t>
      </w:r>
      <w:r w:rsidRPr="00445B8E">
        <w:rPr>
          <w:rFonts w:ascii="Arial" w:hAnsi="Arial" w:cs="Arial"/>
          <w:b/>
          <w:szCs w:val="20"/>
        </w:rPr>
        <w:t>135 470 tis. Eur.</w:t>
      </w:r>
      <w:r w:rsidRPr="00445B8E">
        <w:rPr>
          <w:rFonts w:ascii="Arial" w:hAnsi="Arial" w:cs="Arial"/>
          <w:szCs w:val="20"/>
        </w:rPr>
        <w:t xml:space="preserve"> </w:t>
      </w:r>
    </w:p>
    <w:p w:rsidR="00445B8E" w:rsidRPr="00445B8E" w:rsidRDefault="00445B8E" w:rsidP="00445B8E">
      <w:pPr>
        <w:spacing w:before="240" w:after="120"/>
        <w:ind w:firstLine="680"/>
        <w:jc w:val="both"/>
        <w:rPr>
          <w:rFonts w:ascii="Arial" w:hAnsi="Arial" w:cs="Arial"/>
          <w:szCs w:val="20"/>
        </w:rPr>
      </w:pPr>
      <w:r w:rsidRPr="00445B8E">
        <w:rPr>
          <w:rFonts w:ascii="Arial" w:hAnsi="Arial" w:cs="Arial"/>
          <w:szCs w:val="20"/>
        </w:rPr>
        <w:t xml:space="preserve">Zámerom Sociálnej poisťovne v roku 2011 je zefektívnenie činnosti a procesov vo všetkých oblastiach výkonu tak, aby náklady správneho fondu boli vo výške tvorby správneho fondu v roku 2011. Tento zámer bol schválený v cieľovom rozpise rozpočtu správneho fondu, ktorý je stanovený vo výške </w:t>
      </w:r>
      <w:r w:rsidRPr="00445B8E">
        <w:rPr>
          <w:rFonts w:ascii="Arial" w:hAnsi="Arial" w:cs="Arial"/>
          <w:b/>
          <w:szCs w:val="20"/>
        </w:rPr>
        <w:t>119 303 tis. Eur</w:t>
      </w:r>
      <w:r w:rsidRPr="00445B8E">
        <w:rPr>
          <w:rFonts w:ascii="Arial" w:hAnsi="Arial" w:cs="Arial"/>
          <w:szCs w:val="20"/>
        </w:rPr>
        <w:t>, čo predstavuje 88 % zo schváleného rozpočtu a zodpovedá v rozpočte kvantifikovanej tvorbe správneho fondu v bežnom roku.</w:t>
      </w:r>
    </w:p>
    <w:p w:rsidR="00445B8E" w:rsidRPr="00445B8E" w:rsidRDefault="00445B8E" w:rsidP="00445B8E">
      <w:pPr>
        <w:tabs>
          <w:tab w:val="right" w:pos="8931"/>
        </w:tabs>
        <w:spacing w:before="240" w:after="120"/>
        <w:ind w:firstLine="720"/>
        <w:jc w:val="both"/>
        <w:rPr>
          <w:rFonts w:ascii="Arial" w:hAnsi="Arial" w:cs="Arial"/>
        </w:rPr>
      </w:pPr>
      <w:r w:rsidRPr="00445B8E">
        <w:rPr>
          <w:rFonts w:ascii="Arial" w:hAnsi="Arial" w:cs="Arial"/>
        </w:rPr>
        <w:t>Použitie finančných prostriedkov správneho fondu za I. polrok 2011 je uvedené v nasledujúcom prehľade:</w:t>
      </w:r>
    </w:p>
    <w:p w:rsidR="00445B8E" w:rsidRPr="00445B8E" w:rsidRDefault="00445B8E" w:rsidP="00445B8E">
      <w:pPr>
        <w:tabs>
          <w:tab w:val="right" w:pos="8931"/>
        </w:tabs>
        <w:spacing w:before="240" w:line="360" w:lineRule="auto"/>
        <w:ind w:firstLine="709"/>
        <w:jc w:val="right"/>
        <w:rPr>
          <w:rFonts w:ascii="Arial" w:hAnsi="Arial" w:cs="Arial"/>
          <w:sz w:val="20"/>
          <w:szCs w:val="20"/>
        </w:rPr>
      </w:pPr>
      <w:r w:rsidRPr="00445B8E">
        <w:rPr>
          <w:rFonts w:ascii="Arial" w:hAnsi="Arial" w:cs="Arial"/>
          <w:sz w:val="20"/>
          <w:szCs w:val="20"/>
        </w:rPr>
        <w:t>v tis. Eur</w:t>
      </w:r>
    </w:p>
    <w:tbl>
      <w:tblPr>
        <w:tblW w:w="9900" w:type="dxa"/>
        <w:tblInd w:w="-470" w:type="dxa"/>
        <w:tblCellMar>
          <w:left w:w="70" w:type="dxa"/>
          <w:right w:w="70" w:type="dxa"/>
        </w:tblCellMar>
        <w:tblLook w:val="0000" w:firstRow="0" w:lastRow="0" w:firstColumn="0" w:lastColumn="0" w:noHBand="0" w:noVBand="0"/>
      </w:tblPr>
      <w:tblGrid>
        <w:gridCol w:w="2355"/>
        <w:gridCol w:w="1031"/>
        <w:gridCol w:w="949"/>
        <w:gridCol w:w="1260"/>
        <w:gridCol w:w="1065"/>
        <w:gridCol w:w="1080"/>
        <w:gridCol w:w="721"/>
        <w:gridCol w:w="721"/>
        <w:gridCol w:w="721"/>
      </w:tblGrid>
      <w:tr w:rsidR="00445B8E" w:rsidRPr="00445B8E" w:rsidTr="009D0C61">
        <w:trPr>
          <w:trHeight w:val="375"/>
        </w:trPr>
        <w:tc>
          <w:tcPr>
            <w:tcW w:w="2355"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w:t>
            </w:r>
          </w:p>
        </w:tc>
        <w:tc>
          <w:tcPr>
            <w:tcW w:w="1031"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Schválený</w:t>
            </w:r>
          </w:p>
        </w:tc>
        <w:tc>
          <w:tcPr>
            <w:tcW w:w="949"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Cieľový</w:t>
            </w:r>
          </w:p>
        </w:tc>
        <w:tc>
          <w:tcPr>
            <w:tcW w:w="1260"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Cieľový</w:t>
            </w:r>
          </w:p>
        </w:tc>
        <w:tc>
          <w:tcPr>
            <w:tcW w:w="1065"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Skutočnosť</w:t>
            </w:r>
          </w:p>
        </w:tc>
        <w:tc>
          <w:tcPr>
            <w:tcW w:w="1080"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Skutočnosť</w:t>
            </w:r>
          </w:p>
        </w:tc>
        <w:tc>
          <w:tcPr>
            <w:tcW w:w="721"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w:t>
            </w:r>
          </w:p>
        </w:tc>
        <w:tc>
          <w:tcPr>
            <w:tcW w:w="721"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w:t>
            </w:r>
          </w:p>
        </w:tc>
        <w:tc>
          <w:tcPr>
            <w:tcW w:w="718"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w:t>
            </w:r>
          </w:p>
        </w:tc>
      </w:tr>
      <w:tr w:rsidR="00445B8E" w:rsidRPr="00445B8E" w:rsidTr="009D0C61">
        <w:trPr>
          <w:trHeight w:val="255"/>
        </w:trPr>
        <w:tc>
          <w:tcPr>
            <w:tcW w:w="2355"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Ukazovateľ</w:t>
            </w:r>
          </w:p>
        </w:tc>
        <w:tc>
          <w:tcPr>
            <w:tcW w:w="103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rozpočet</w:t>
            </w:r>
          </w:p>
        </w:tc>
        <w:tc>
          <w:tcPr>
            <w:tcW w:w="949"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rozpis</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rozpis</w:t>
            </w:r>
          </w:p>
        </w:tc>
        <w:tc>
          <w:tcPr>
            <w:tcW w:w="1065"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za mesiac</w:t>
            </w:r>
          </w:p>
        </w:tc>
        <w:tc>
          <w:tcPr>
            <w:tcW w:w="108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za I. polrok</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plnenia</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plnenia</w:t>
            </w:r>
          </w:p>
        </w:tc>
        <w:tc>
          <w:tcPr>
            <w:tcW w:w="718"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plnenia</w:t>
            </w:r>
          </w:p>
        </w:tc>
      </w:tr>
      <w:tr w:rsidR="00445B8E" w:rsidRPr="00445B8E" w:rsidTr="009D0C61">
        <w:trPr>
          <w:trHeight w:val="246"/>
        </w:trPr>
        <w:tc>
          <w:tcPr>
            <w:tcW w:w="2355"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03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na rok</w:t>
            </w:r>
          </w:p>
        </w:tc>
        <w:tc>
          <w:tcPr>
            <w:tcW w:w="949"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rozpočtu</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rozpočtu</w:t>
            </w:r>
          </w:p>
        </w:tc>
        <w:tc>
          <w:tcPr>
            <w:tcW w:w="1065"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xml:space="preserve"> jún </w:t>
            </w:r>
          </w:p>
        </w:tc>
        <w:tc>
          <w:tcPr>
            <w:tcW w:w="108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xml:space="preserve">     2011</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(5/1)</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(5/2)</w:t>
            </w:r>
          </w:p>
        </w:tc>
        <w:tc>
          <w:tcPr>
            <w:tcW w:w="718"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(5/3)</w:t>
            </w:r>
          </w:p>
        </w:tc>
      </w:tr>
      <w:tr w:rsidR="00445B8E" w:rsidRPr="00445B8E" w:rsidTr="009D0C61">
        <w:trPr>
          <w:trHeight w:val="255"/>
        </w:trPr>
        <w:tc>
          <w:tcPr>
            <w:tcW w:w="2355"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03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xml:space="preserve">2011 </w:t>
            </w:r>
          </w:p>
        </w:tc>
        <w:tc>
          <w:tcPr>
            <w:tcW w:w="949"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xml:space="preserve">na rok </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na I. polrok</w:t>
            </w:r>
          </w:p>
        </w:tc>
        <w:tc>
          <w:tcPr>
            <w:tcW w:w="1065"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2011</w:t>
            </w:r>
          </w:p>
        </w:tc>
        <w:tc>
          <w:tcPr>
            <w:tcW w:w="108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xml:space="preserve">  </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c>
          <w:tcPr>
            <w:tcW w:w="718"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r>
      <w:tr w:rsidR="00445B8E" w:rsidRPr="00445B8E" w:rsidTr="009D0C61">
        <w:trPr>
          <w:trHeight w:val="255"/>
        </w:trPr>
        <w:tc>
          <w:tcPr>
            <w:tcW w:w="2355"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031"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w:t>
            </w:r>
          </w:p>
        </w:tc>
        <w:tc>
          <w:tcPr>
            <w:tcW w:w="949"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2011</w:t>
            </w:r>
          </w:p>
        </w:tc>
        <w:tc>
          <w:tcPr>
            <w:tcW w:w="1260"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xml:space="preserve"> 2011</w:t>
            </w:r>
          </w:p>
        </w:tc>
        <w:tc>
          <w:tcPr>
            <w:tcW w:w="1065"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c>
          <w:tcPr>
            <w:tcW w:w="1080"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p>
        </w:tc>
        <w:tc>
          <w:tcPr>
            <w:tcW w:w="721"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c>
          <w:tcPr>
            <w:tcW w:w="721"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c>
          <w:tcPr>
            <w:tcW w:w="718"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r>
      <w:tr w:rsidR="00445B8E" w:rsidRPr="00445B8E" w:rsidTr="009D0C61">
        <w:trPr>
          <w:trHeight w:val="270"/>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1</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2</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3</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5</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6</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7</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8</w:t>
            </w:r>
          </w:p>
        </w:tc>
      </w:tr>
      <w:tr w:rsidR="00445B8E" w:rsidRPr="00445B8E" w:rsidTr="009D0C61">
        <w:trPr>
          <w:trHeight w:val="360"/>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
                <w:bCs/>
                <w:sz w:val="18"/>
                <w:szCs w:val="18"/>
              </w:rPr>
            </w:pPr>
            <w:r w:rsidRPr="00445B8E">
              <w:rPr>
                <w:rFonts w:ascii="Arial" w:hAnsi="Arial" w:cs="Arial"/>
                <w:b/>
                <w:bCs/>
                <w:sz w:val="18"/>
                <w:szCs w:val="18"/>
              </w:rPr>
              <w:t xml:space="preserve"> Bežné výdavky</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129 879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116 212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60 537 </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8 102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54 480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41,95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46,88 </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89,99 </w:t>
            </w:r>
          </w:p>
        </w:tc>
      </w:tr>
      <w:tr w:rsidR="00445B8E" w:rsidRPr="00445B8E" w:rsidTr="009D0C61">
        <w:trPr>
          <w:trHeight w:val="255"/>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v tom : </w:t>
            </w:r>
          </w:p>
          <w:p w:rsidR="00445B8E" w:rsidRPr="00445B8E" w:rsidRDefault="00445B8E" w:rsidP="00445B8E">
            <w:pPr>
              <w:rPr>
                <w:rFonts w:ascii="Arial" w:hAnsi="Arial" w:cs="Arial"/>
                <w:sz w:val="18"/>
                <w:szCs w:val="18"/>
              </w:rPr>
            </w:pPr>
            <w:r w:rsidRPr="00445B8E">
              <w:rPr>
                <w:rFonts w:ascii="Arial" w:hAnsi="Arial" w:cs="Arial"/>
                <w:sz w:val="18"/>
                <w:szCs w:val="18"/>
              </w:rPr>
              <w:t xml:space="preserve"> - mzdy</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2F18A7">
            <w:pPr>
              <w:jc w:val="right"/>
              <w:rPr>
                <w:rFonts w:ascii="Arial" w:hAnsi="Arial" w:cs="Arial"/>
                <w:sz w:val="18"/>
                <w:szCs w:val="18"/>
              </w:rPr>
            </w:pPr>
            <w:r w:rsidRPr="00445B8E">
              <w:rPr>
                <w:rFonts w:ascii="Arial" w:hAnsi="Arial" w:cs="Arial"/>
                <w:sz w:val="18"/>
                <w:szCs w:val="18"/>
              </w:rPr>
              <w:t>5</w:t>
            </w:r>
            <w:r w:rsidR="002F18A7">
              <w:rPr>
                <w:rFonts w:ascii="Arial" w:hAnsi="Arial" w:cs="Arial"/>
                <w:sz w:val="18"/>
                <w:szCs w:val="18"/>
              </w:rPr>
              <w:t>5</w:t>
            </w:r>
            <w:r w:rsidRPr="00445B8E">
              <w:rPr>
                <w:rFonts w:ascii="Arial" w:hAnsi="Arial" w:cs="Arial"/>
                <w:sz w:val="18"/>
                <w:szCs w:val="18"/>
              </w:rPr>
              <w:t xml:space="preserve"> </w:t>
            </w:r>
            <w:r w:rsidR="002F18A7">
              <w:rPr>
                <w:rFonts w:ascii="Arial" w:hAnsi="Arial" w:cs="Arial"/>
                <w:sz w:val="18"/>
                <w:szCs w:val="18"/>
              </w:rPr>
              <w:t>688</w:t>
            </w:r>
            <w:r w:rsidRPr="00445B8E">
              <w:rPr>
                <w:rFonts w:ascii="Arial" w:hAnsi="Arial" w:cs="Arial"/>
                <w:sz w:val="18"/>
                <w:szCs w:val="18"/>
              </w:rPr>
              <w:t xml:space="preserve">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51 317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26 018 </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3 979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24 071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2F18A7">
            <w:pPr>
              <w:jc w:val="right"/>
              <w:rPr>
                <w:rFonts w:ascii="Arial" w:hAnsi="Arial" w:cs="Arial"/>
                <w:sz w:val="18"/>
                <w:szCs w:val="18"/>
              </w:rPr>
            </w:pPr>
            <w:r w:rsidRPr="00445B8E">
              <w:rPr>
                <w:rFonts w:ascii="Arial" w:hAnsi="Arial" w:cs="Arial"/>
                <w:sz w:val="18"/>
                <w:szCs w:val="18"/>
              </w:rPr>
              <w:t>43,</w:t>
            </w:r>
            <w:r w:rsidR="002F18A7">
              <w:rPr>
                <w:rFonts w:ascii="Arial" w:hAnsi="Arial" w:cs="Arial"/>
                <w:sz w:val="18"/>
                <w:szCs w:val="18"/>
              </w:rPr>
              <w:t>2</w:t>
            </w:r>
            <w:r w:rsidRPr="00445B8E">
              <w:rPr>
                <w:rFonts w:ascii="Arial" w:hAnsi="Arial" w:cs="Arial"/>
                <w:sz w:val="18"/>
                <w:szCs w:val="18"/>
              </w:rPr>
              <w:t xml:space="preserve">2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46,91 </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92,52 </w:t>
            </w:r>
          </w:p>
        </w:tc>
      </w:tr>
      <w:tr w:rsidR="00445B8E" w:rsidRPr="00445B8E" w:rsidTr="009D0C61">
        <w:trPr>
          <w:trHeight w:val="255"/>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 poistné a príspevok </w:t>
            </w:r>
          </w:p>
          <w:p w:rsidR="00445B8E" w:rsidRPr="00445B8E" w:rsidRDefault="00445B8E" w:rsidP="00445B8E">
            <w:pPr>
              <w:rPr>
                <w:rFonts w:ascii="Arial" w:hAnsi="Arial" w:cs="Arial"/>
                <w:sz w:val="18"/>
                <w:szCs w:val="18"/>
              </w:rPr>
            </w:pPr>
            <w:r w:rsidRPr="00445B8E">
              <w:rPr>
                <w:rFonts w:ascii="Arial" w:hAnsi="Arial" w:cs="Arial"/>
                <w:sz w:val="18"/>
                <w:szCs w:val="18"/>
              </w:rPr>
              <w:t xml:space="preserve">    do poisťovní </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20 883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19 773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10 184 </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1 528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9 399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45,01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47,54 </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92,29 </w:t>
            </w:r>
          </w:p>
        </w:tc>
      </w:tr>
      <w:tr w:rsidR="00445B8E" w:rsidRPr="00445B8E" w:rsidTr="009D0C61">
        <w:trPr>
          <w:trHeight w:val="255"/>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 tovary a služby</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49 318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42 476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21 956 </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2 362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18 727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37,97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44,09 </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85,29 </w:t>
            </w:r>
          </w:p>
        </w:tc>
      </w:tr>
      <w:tr w:rsidR="00445B8E" w:rsidRPr="00445B8E" w:rsidTr="009D0C61">
        <w:trPr>
          <w:trHeight w:val="255"/>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 bežné transfery</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3 990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2 646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2 379 </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233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2 283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57,21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86,28 </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95,96 </w:t>
            </w:r>
          </w:p>
        </w:tc>
      </w:tr>
      <w:tr w:rsidR="00445B8E" w:rsidRPr="00445B8E" w:rsidTr="009D0C61">
        <w:trPr>
          <w:trHeight w:val="300"/>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
                <w:bCs/>
                <w:sz w:val="18"/>
                <w:szCs w:val="18"/>
              </w:rPr>
            </w:pPr>
            <w:r w:rsidRPr="00445B8E">
              <w:rPr>
                <w:rFonts w:ascii="Arial" w:hAnsi="Arial" w:cs="Arial"/>
                <w:b/>
                <w:bCs/>
                <w:sz w:val="18"/>
                <w:szCs w:val="18"/>
              </w:rPr>
              <w:t xml:space="preserve"> Kapitálové výdavky</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5 591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3 091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871 </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4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203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3,63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6,57 </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23,31 </w:t>
            </w:r>
          </w:p>
        </w:tc>
      </w:tr>
      <w:tr w:rsidR="00445B8E" w:rsidRPr="00445B8E" w:rsidTr="009D0C61">
        <w:trPr>
          <w:trHeight w:val="255"/>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v tom : </w:t>
            </w:r>
          </w:p>
          <w:p w:rsidR="00445B8E" w:rsidRPr="00445B8E" w:rsidRDefault="00445B8E" w:rsidP="00445B8E">
            <w:pPr>
              <w:rPr>
                <w:rFonts w:ascii="Arial" w:hAnsi="Arial" w:cs="Arial"/>
                <w:sz w:val="18"/>
                <w:szCs w:val="18"/>
              </w:rPr>
            </w:pPr>
            <w:r w:rsidRPr="00445B8E">
              <w:rPr>
                <w:rFonts w:ascii="Arial" w:hAnsi="Arial" w:cs="Arial"/>
                <w:sz w:val="18"/>
                <w:szCs w:val="18"/>
              </w:rPr>
              <w:t>- všeobecné investície</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2 591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1 654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871 </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4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203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7,83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12,27 </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23,31 </w:t>
            </w:r>
          </w:p>
        </w:tc>
      </w:tr>
      <w:tr w:rsidR="00445B8E" w:rsidRPr="00445B8E" w:rsidTr="009D0C61">
        <w:trPr>
          <w:trHeight w:val="255"/>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výdavky na </w:t>
            </w:r>
            <w:proofErr w:type="spellStart"/>
            <w:r w:rsidRPr="00445B8E">
              <w:rPr>
                <w:rFonts w:ascii="Arial" w:hAnsi="Arial" w:cs="Arial"/>
                <w:sz w:val="18"/>
                <w:szCs w:val="18"/>
              </w:rPr>
              <w:t>informačno</w:t>
            </w:r>
            <w:proofErr w:type="spellEnd"/>
            <w:r w:rsidRPr="00445B8E">
              <w:rPr>
                <w:rFonts w:ascii="Arial" w:hAnsi="Arial" w:cs="Arial"/>
                <w:sz w:val="18"/>
                <w:szCs w:val="18"/>
              </w:rPr>
              <w:t>-</w:t>
            </w:r>
          </w:p>
          <w:p w:rsidR="00445B8E" w:rsidRPr="00445B8E" w:rsidRDefault="00445B8E" w:rsidP="00445B8E">
            <w:pPr>
              <w:rPr>
                <w:rFonts w:ascii="Arial" w:hAnsi="Arial" w:cs="Arial"/>
                <w:sz w:val="18"/>
                <w:szCs w:val="18"/>
              </w:rPr>
            </w:pPr>
            <w:r w:rsidRPr="00445B8E">
              <w:rPr>
                <w:rFonts w:ascii="Arial" w:hAnsi="Arial" w:cs="Arial"/>
                <w:sz w:val="18"/>
                <w:szCs w:val="18"/>
              </w:rPr>
              <w:t xml:space="preserve">  komunikačné technológie </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3 000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1 437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   -</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0,00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0,00 </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0,00 </w:t>
            </w:r>
          </w:p>
        </w:tc>
      </w:tr>
      <w:tr w:rsidR="00445B8E" w:rsidRPr="00445B8E" w:rsidTr="009D0C61">
        <w:trPr>
          <w:trHeight w:val="120"/>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w:t>
            </w:r>
          </w:p>
        </w:tc>
      </w:tr>
      <w:tr w:rsidR="00445B8E" w:rsidRPr="00445B8E" w:rsidTr="009D0C61">
        <w:trPr>
          <w:trHeight w:val="300"/>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
                <w:bCs/>
                <w:sz w:val="18"/>
                <w:szCs w:val="18"/>
              </w:rPr>
            </w:pPr>
            <w:r w:rsidRPr="00445B8E">
              <w:rPr>
                <w:rFonts w:ascii="Arial" w:hAnsi="Arial" w:cs="Arial"/>
                <w:b/>
                <w:bCs/>
                <w:sz w:val="18"/>
                <w:szCs w:val="18"/>
              </w:rPr>
              <w:t xml:space="preserve"> Spolu použitie správneho fondu</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135 470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119 303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61 408 </w:t>
            </w:r>
          </w:p>
        </w:tc>
        <w:tc>
          <w:tcPr>
            <w:tcW w:w="10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8 106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54 683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40,37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45,84 </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89,05 </w:t>
            </w:r>
          </w:p>
        </w:tc>
      </w:tr>
    </w:tbl>
    <w:p w:rsidR="00445B8E" w:rsidRPr="00445B8E" w:rsidRDefault="00445B8E" w:rsidP="00445B8E">
      <w:pPr>
        <w:tabs>
          <w:tab w:val="right" w:pos="8931"/>
        </w:tabs>
        <w:spacing w:before="240" w:after="120"/>
        <w:outlineLvl w:val="0"/>
        <w:rPr>
          <w:rFonts w:ascii="Arial" w:hAnsi="Arial" w:cs="Arial"/>
          <w:b/>
          <w:szCs w:val="20"/>
        </w:rPr>
      </w:pPr>
    </w:p>
    <w:p w:rsidR="00445B8E" w:rsidRPr="00445B8E" w:rsidRDefault="00445B8E" w:rsidP="00445B8E">
      <w:pPr>
        <w:tabs>
          <w:tab w:val="right" w:pos="8931"/>
        </w:tabs>
        <w:spacing w:before="240" w:after="120"/>
        <w:outlineLvl w:val="0"/>
        <w:rPr>
          <w:rFonts w:ascii="Arial" w:hAnsi="Arial" w:cs="Arial"/>
          <w:szCs w:val="20"/>
        </w:rPr>
      </w:pPr>
      <w:r w:rsidRPr="00445B8E">
        <w:rPr>
          <w:rFonts w:ascii="Arial" w:hAnsi="Arial" w:cs="Arial"/>
          <w:b/>
          <w:szCs w:val="20"/>
        </w:rPr>
        <w:t>3.6.1     Bežné  výdavky (náklady)</w:t>
      </w:r>
    </w:p>
    <w:p w:rsidR="00445B8E" w:rsidRPr="00445B8E" w:rsidRDefault="00445B8E" w:rsidP="00445B8E">
      <w:pPr>
        <w:tabs>
          <w:tab w:val="decimal" w:pos="8100"/>
        </w:tabs>
        <w:ind w:firstLine="709"/>
        <w:rPr>
          <w:rFonts w:ascii="Arial" w:hAnsi="Arial" w:cs="Arial"/>
          <w:szCs w:val="20"/>
        </w:rPr>
      </w:pPr>
      <w:r w:rsidRPr="00445B8E">
        <w:rPr>
          <w:rFonts w:ascii="Arial" w:hAnsi="Arial" w:cs="Arial"/>
          <w:szCs w:val="20"/>
        </w:rPr>
        <w:t xml:space="preserve">Vynaložené finančné prostriedky správneho fondu súvisiace s krytím </w:t>
      </w:r>
      <w:r w:rsidRPr="00445B8E">
        <w:rPr>
          <w:rFonts w:ascii="Arial" w:hAnsi="Arial" w:cs="Arial"/>
          <w:b/>
          <w:szCs w:val="20"/>
        </w:rPr>
        <w:t xml:space="preserve">bežných výdavkov (nákladov) </w:t>
      </w:r>
      <w:r w:rsidRPr="00445B8E">
        <w:rPr>
          <w:rFonts w:ascii="Arial" w:hAnsi="Arial" w:cs="Arial"/>
          <w:szCs w:val="20"/>
        </w:rPr>
        <w:t xml:space="preserve"> boli v sume :</w:t>
      </w:r>
      <w:r w:rsidRPr="00445B8E">
        <w:rPr>
          <w:rFonts w:ascii="Arial" w:hAnsi="Arial" w:cs="Arial"/>
          <w:szCs w:val="20"/>
        </w:rPr>
        <w:tab/>
      </w:r>
      <w:r w:rsidRPr="00445B8E">
        <w:rPr>
          <w:rFonts w:ascii="Arial" w:hAnsi="Arial" w:cs="Arial"/>
          <w:b/>
          <w:szCs w:val="20"/>
        </w:rPr>
        <w:t xml:space="preserve"> 54 480 tis. Eur</w:t>
      </w:r>
      <w:r w:rsidRPr="00445B8E">
        <w:rPr>
          <w:rFonts w:ascii="Arial" w:hAnsi="Arial" w:cs="Arial"/>
          <w:szCs w:val="20"/>
        </w:rPr>
        <w:t>,</w:t>
      </w:r>
      <w:r w:rsidRPr="00445B8E">
        <w:rPr>
          <w:rFonts w:ascii="Arial" w:hAnsi="Arial" w:cs="Arial"/>
          <w:b/>
          <w:szCs w:val="20"/>
        </w:rPr>
        <w:br/>
      </w:r>
      <w:r w:rsidRPr="00445B8E">
        <w:rPr>
          <w:rFonts w:ascii="Arial" w:hAnsi="Arial" w:cs="Arial"/>
          <w:szCs w:val="20"/>
        </w:rPr>
        <w:t>v tom:</w:t>
      </w:r>
    </w:p>
    <w:p w:rsidR="00445B8E" w:rsidRPr="00445B8E" w:rsidRDefault="00445B8E" w:rsidP="00445B8E">
      <w:pPr>
        <w:numPr>
          <w:ilvl w:val="0"/>
          <w:numId w:val="10"/>
        </w:numPr>
        <w:tabs>
          <w:tab w:val="decimal" w:pos="8100"/>
        </w:tabs>
        <w:ind w:left="646" w:hanging="646"/>
        <w:jc w:val="both"/>
        <w:rPr>
          <w:rFonts w:ascii="Arial" w:hAnsi="Arial" w:cs="Arial"/>
          <w:szCs w:val="20"/>
        </w:rPr>
      </w:pPr>
      <w:r w:rsidRPr="00445B8E">
        <w:rPr>
          <w:rFonts w:ascii="Arial" w:hAnsi="Arial" w:cs="Arial"/>
          <w:szCs w:val="20"/>
        </w:rPr>
        <w:t xml:space="preserve">ústredie  </w:t>
      </w:r>
      <w:r w:rsidRPr="00445B8E">
        <w:rPr>
          <w:rFonts w:ascii="Arial" w:hAnsi="Arial" w:cs="Arial"/>
          <w:szCs w:val="20"/>
        </w:rPr>
        <w:tab/>
        <w:t xml:space="preserve">  23 311 tis. Eur,  </w:t>
      </w:r>
    </w:p>
    <w:p w:rsidR="00445B8E" w:rsidRPr="00445B8E" w:rsidRDefault="00445B8E" w:rsidP="00445B8E">
      <w:pPr>
        <w:numPr>
          <w:ilvl w:val="0"/>
          <w:numId w:val="10"/>
        </w:numPr>
        <w:tabs>
          <w:tab w:val="decimal" w:pos="8100"/>
        </w:tabs>
        <w:ind w:hanging="644"/>
        <w:jc w:val="both"/>
        <w:rPr>
          <w:rFonts w:ascii="Arial" w:hAnsi="Arial" w:cs="Arial"/>
          <w:szCs w:val="20"/>
        </w:rPr>
      </w:pPr>
      <w:r w:rsidRPr="00445B8E">
        <w:rPr>
          <w:rFonts w:ascii="Arial" w:hAnsi="Arial" w:cs="Arial"/>
          <w:szCs w:val="20"/>
        </w:rPr>
        <w:t xml:space="preserve">pobočky   </w:t>
      </w:r>
      <w:r w:rsidRPr="00445B8E">
        <w:rPr>
          <w:rFonts w:ascii="Arial" w:hAnsi="Arial" w:cs="Arial"/>
          <w:szCs w:val="20"/>
        </w:rPr>
        <w:tab/>
        <w:t xml:space="preserve">  31 169 tis. Eur.</w:t>
      </w:r>
    </w:p>
    <w:p w:rsidR="00445B8E" w:rsidRPr="00445B8E" w:rsidRDefault="00445B8E" w:rsidP="00445B8E">
      <w:pPr>
        <w:tabs>
          <w:tab w:val="right" w:pos="8640"/>
        </w:tabs>
        <w:spacing w:before="240" w:after="120"/>
        <w:ind w:left="284" w:firstLine="709"/>
        <w:jc w:val="both"/>
        <w:rPr>
          <w:rFonts w:ascii="Arial" w:hAnsi="Arial" w:cs="Arial"/>
          <w:szCs w:val="20"/>
        </w:rPr>
      </w:pPr>
      <w:r w:rsidRPr="00445B8E">
        <w:rPr>
          <w:rFonts w:ascii="Arial" w:hAnsi="Arial" w:cs="Arial"/>
          <w:szCs w:val="20"/>
        </w:rPr>
        <w:t>Bežné výdavky (náklady) v sume  54</w:t>
      </w:r>
      <w:r w:rsidRPr="00445B8E">
        <w:rPr>
          <w:rFonts w:ascii="Arial" w:hAnsi="Arial" w:cs="Arial"/>
          <w:color w:val="FF0000"/>
          <w:szCs w:val="20"/>
        </w:rPr>
        <w:t> </w:t>
      </w:r>
      <w:r w:rsidRPr="00445B8E">
        <w:rPr>
          <w:rFonts w:ascii="Arial" w:hAnsi="Arial" w:cs="Arial"/>
          <w:szCs w:val="20"/>
        </w:rPr>
        <w:t xml:space="preserve">480 tis. Eur tvorili z celkových použitých prostriedkov  správneho fondu   54 683 tis. Eur za I. polrok 2011 podiel  </w:t>
      </w:r>
      <w:r w:rsidRPr="00445B8E">
        <w:rPr>
          <w:rFonts w:ascii="Arial" w:hAnsi="Arial" w:cs="Arial"/>
          <w:b/>
          <w:szCs w:val="20"/>
        </w:rPr>
        <w:t>99,63 %</w:t>
      </w:r>
      <w:r w:rsidRPr="00445B8E">
        <w:rPr>
          <w:rFonts w:ascii="Arial" w:hAnsi="Arial" w:cs="Arial"/>
          <w:szCs w:val="20"/>
        </w:rPr>
        <w:t>.</w:t>
      </w:r>
    </w:p>
    <w:p w:rsidR="00445B8E" w:rsidRPr="00445B8E" w:rsidRDefault="00445B8E" w:rsidP="00445B8E">
      <w:pPr>
        <w:tabs>
          <w:tab w:val="right" w:pos="8640"/>
        </w:tabs>
        <w:spacing w:before="240" w:after="120"/>
        <w:ind w:left="284" w:firstLine="709"/>
        <w:jc w:val="both"/>
        <w:rPr>
          <w:rFonts w:ascii="Arial" w:hAnsi="Arial" w:cs="Arial"/>
          <w:szCs w:val="20"/>
        </w:rPr>
      </w:pPr>
    </w:p>
    <w:p w:rsidR="00445B8E" w:rsidRPr="00445B8E" w:rsidRDefault="00445B8E" w:rsidP="00445B8E">
      <w:pPr>
        <w:tabs>
          <w:tab w:val="left" w:pos="426"/>
        </w:tabs>
        <w:spacing w:after="120"/>
        <w:jc w:val="right"/>
        <w:rPr>
          <w:rFonts w:ascii="Arial" w:hAnsi="Arial" w:cs="Arial"/>
          <w:sz w:val="20"/>
          <w:szCs w:val="20"/>
        </w:rPr>
      </w:pPr>
      <w:r w:rsidRPr="00445B8E">
        <w:rPr>
          <w:rFonts w:ascii="Arial" w:hAnsi="Arial" w:cs="Arial"/>
          <w:sz w:val="20"/>
          <w:szCs w:val="20"/>
        </w:rPr>
        <w:lastRenderedPageBreak/>
        <w:t>v tis. Eur</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771"/>
        <w:gridCol w:w="1843"/>
        <w:gridCol w:w="1843"/>
        <w:gridCol w:w="1203"/>
      </w:tblGrid>
      <w:tr w:rsidR="00445B8E" w:rsidRPr="00445B8E" w:rsidTr="009D0C61">
        <w:tc>
          <w:tcPr>
            <w:tcW w:w="2410" w:type="dxa"/>
            <w:vAlign w:val="center"/>
          </w:tcPr>
          <w:p w:rsidR="00445B8E" w:rsidRPr="00445B8E" w:rsidRDefault="00445B8E" w:rsidP="00445B8E">
            <w:pPr>
              <w:tabs>
                <w:tab w:val="left" w:pos="426"/>
                <w:tab w:val="right" w:pos="9072"/>
              </w:tabs>
              <w:spacing w:after="120"/>
              <w:rPr>
                <w:rFonts w:ascii="Arial" w:hAnsi="Arial" w:cs="Arial"/>
                <w:sz w:val="16"/>
                <w:szCs w:val="16"/>
              </w:rPr>
            </w:pPr>
            <w:r w:rsidRPr="00445B8E">
              <w:rPr>
                <w:rFonts w:ascii="Arial" w:hAnsi="Arial" w:cs="Arial"/>
                <w:sz w:val="16"/>
                <w:szCs w:val="16"/>
              </w:rPr>
              <w:t xml:space="preserve">                 Ukazovateľ</w:t>
            </w:r>
          </w:p>
        </w:tc>
        <w:tc>
          <w:tcPr>
            <w:tcW w:w="1771" w:type="dxa"/>
            <w:vAlign w:val="center"/>
          </w:tcPr>
          <w:p w:rsidR="00445B8E" w:rsidRPr="00445B8E" w:rsidRDefault="00445B8E" w:rsidP="00445B8E">
            <w:pPr>
              <w:tabs>
                <w:tab w:val="right" w:pos="8931"/>
              </w:tabs>
              <w:rPr>
                <w:rFonts w:ascii="Arial" w:hAnsi="Arial" w:cs="Arial"/>
                <w:sz w:val="16"/>
                <w:szCs w:val="16"/>
              </w:rPr>
            </w:pPr>
            <w:r w:rsidRPr="00445B8E">
              <w:rPr>
                <w:rFonts w:ascii="Arial" w:hAnsi="Arial" w:cs="Arial"/>
                <w:sz w:val="16"/>
                <w:szCs w:val="16"/>
              </w:rPr>
              <w:t xml:space="preserve">Ústredie, skutočnosť </w:t>
            </w:r>
          </w:p>
          <w:p w:rsidR="00445B8E" w:rsidRPr="00445B8E" w:rsidRDefault="00445B8E" w:rsidP="00445B8E">
            <w:pPr>
              <w:tabs>
                <w:tab w:val="right" w:pos="8931"/>
              </w:tabs>
              <w:jc w:val="center"/>
              <w:rPr>
                <w:rFonts w:ascii="Arial" w:hAnsi="Arial" w:cs="Arial"/>
                <w:sz w:val="16"/>
                <w:szCs w:val="16"/>
              </w:rPr>
            </w:pPr>
            <w:r w:rsidRPr="00445B8E">
              <w:rPr>
                <w:rFonts w:ascii="Arial" w:hAnsi="Arial" w:cs="Arial"/>
                <w:sz w:val="16"/>
                <w:szCs w:val="16"/>
              </w:rPr>
              <w:t>za I. polrok 2011</w:t>
            </w:r>
          </w:p>
        </w:tc>
        <w:tc>
          <w:tcPr>
            <w:tcW w:w="1843" w:type="dxa"/>
            <w:vAlign w:val="center"/>
          </w:tcPr>
          <w:p w:rsidR="00445B8E" w:rsidRPr="00445B8E" w:rsidRDefault="00445B8E" w:rsidP="00445B8E">
            <w:pPr>
              <w:tabs>
                <w:tab w:val="right" w:pos="8931"/>
              </w:tabs>
              <w:rPr>
                <w:rFonts w:ascii="Arial" w:hAnsi="Arial" w:cs="Arial"/>
                <w:sz w:val="16"/>
                <w:szCs w:val="16"/>
              </w:rPr>
            </w:pPr>
            <w:r w:rsidRPr="00445B8E">
              <w:rPr>
                <w:rFonts w:ascii="Arial" w:hAnsi="Arial" w:cs="Arial"/>
                <w:sz w:val="16"/>
                <w:szCs w:val="16"/>
              </w:rPr>
              <w:t xml:space="preserve"> Pobočky, skutočnosť</w:t>
            </w:r>
          </w:p>
          <w:p w:rsidR="00445B8E" w:rsidRPr="00445B8E" w:rsidRDefault="00445B8E" w:rsidP="00445B8E">
            <w:pPr>
              <w:tabs>
                <w:tab w:val="right" w:pos="8931"/>
              </w:tabs>
              <w:jc w:val="center"/>
              <w:rPr>
                <w:rFonts w:ascii="Arial" w:hAnsi="Arial" w:cs="Arial"/>
                <w:sz w:val="16"/>
                <w:szCs w:val="16"/>
              </w:rPr>
            </w:pPr>
            <w:r w:rsidRPr="00445B8E">
              <w:rPr>
                <w:rFonts w:ascii="Arial" w:hAnsi="Arial" w:cs="Arial"/>
                <w:sz w:val="16"/>
                <w:szCs w:val="16"/>
              </w:rPr>
              <w:t>za I. polrok 2011</w:t>
            </w:r>
          </w:p>
        </w:tc>
        <w:tc>
          <w:tcPr>
            <w:tcW w:w="1843" w:type="dxa"/>
            <w:vAlign w:val="center"/>
          </w:tcPr>
          <w:p w:rsidR="00445B8E" w:rsidRPr="00445B8E" w:rsidRDefault="00445B8E" w:rsidP="00445B8E">
            <w:pPr>
              <w:tabs>
                <w:tab w:val="right" w:pos="8931"/>
              </w:tabs>
              <w:jc w:val="center"/>
              <w:rPr>
                <w:rFonts w:ascii="Arial" w:hAnsi="Arial" w:cs="Arial"/>
                <w:sz w:val="16"/>
                <w:szCs w:val="16"/>
              </w:rPr>
            </w:pPr>
            <w:r w:rsidRPr="00445B8E">
              <w:rPr>
                <w:rFonts w:ascii="Arial" w:hAnsi="Arial" w:cs="Arial"/>
                <w:sz w:val="16"/>
                <w:szCs w:val="16"/>
              </w:rPr>
              <w:t xml:space="preserve">Spolu skutočnosť </w:t>
            </w:r>
          </w:p>
          <w:p w:rsidR="00445B8E" w:rsidRPr="00445B8E" w:rsidRDefault="00445B8E" w:rsidP="00445B8E">
            <w:pPr>
              <w:tabs>
                <w:tab w:val="right" w:pos="8931"/>
              </w:tabs>
              <w:jc w:val="center"/>
              <w:rPr>
                <w:rFonts w:ascii="Arial" w:hAnsi="Arial" w:cs="Arial"/>
                <w:sz w:val="16"/>
                <w:szCs w:val="16"/>
              </w:rPr>
            </w:pPr>
            <w:r w:rsidRPr="00445B8E">
              <w:rPr>
                <w:rFonts w:ascii="Arial" w:hAnsi="Arial" w:cs="Arial"/>
                <w:sz w:val="16"/>
                <w:szCs w:val="16"/>
              </w:rPr>
              <w:t>za I. polrok 2011</w:t>
            </w:r>
          </w:p>
        </w:tc>
        <w:tc>
          <w:tcPr>
            <w:tcW w:w="1203" w:type="dxa"/>
            <w:vAlign w:val="center"/>
          </w:tcPr>
          <w:p w:rsidR="00445B8E" w:rsidRPr="00445B8E" w:rsidRDefault="00445B8E" w:rsidP="00445B8E">
            <w:pPr>
              <w:tabs>
                <w:tab w:val="left" w:pos="426"/>
                <w:tab w:val="right" w:pos="9072"/>
              </w:tabs>
              <w:spacing w:after="120"/>
              <w:ind w:left="283"/>
              <w:jc w:val="center"/>
              <w:rPr>
                <w:rFonts w:ascii="Arial" w:hAnsi="Arial" w:cs="Arial"/>
                <w:sz w:val="18"/>
                <w:szCs w:val="18"/>
              </w:rPr>
            </w:pPr>
            <w:r w:rsidRPr="00445B8E">
              <w:rPr>
                <w:rFonts w:ascii="Arial" w:hAnsi="Arial" w:cs="Arial"/>
                <w:sz w:val="16"/>
                <w:szCs w:val="16"/>
              </w:rPr>
              <w:t>Podiel v %</w:t>
            </w:r>
          </w:p>
        </w:tc>
      </w:tr>
      <w:tr w:rsidR="00445B8E" w:rsidRPr="00445B8E" w:rsidTr="009D0C61">
        <w:tc>
          <w:tcPr>
            <w:tcW w:w="2410" w:type="dxa"/>
            <w:tcBorders>
              <w:bottom w:val="single" w:sz="4" w:space="0" w:color="auto"/>
            </w:tcBorders>
            <w:vAlign w:val="center"/>
          </w:tcPr>
          <w:p w:rsidR="00445B8E" w:rsidRPr="00445B8E" w:rsidRDefault="00445B8E" w:rsidP="00445B8E">
            <w:pPr>
              <w:tabs>
                <w:tab w:val="left" w:pos="426"/>
                <w:tab w:val="right" w:pos="9072"/>
              </w:tabs>
              <w:ind w:left="284"/>
              <w:jc w:val="center"/>
              <w:rPr>
                <w:rFonts w:ascii="Arial" w:hAnsi="Arial" w:cs="Arial"/>
                <w:sz w:val="18"/>
                <w:szCs w:val="18"/>
              </w:rPr>
            </w:pPr>
            <w:r w:rsidRPr="00445B8E">
              <w:rPr>
                <w:rFonts w:ascii="Arial" w:hAnsi="Arial" w:cs="Arial"/>
                <w:sz w:val="18"/>
                <w:szCs w:val="18"/>
              </w:rPr>
              <w:t>a</w:t>
            </w:r>
          </w:p>
        </w:tc>
        <w:tc>
          <w:tcPr>
            <w:tcW w:w="1771" w:type="dxa"/>
            <w:tcBorders>
              <w:bottom w:val="single" w:sz="4" w:space="0" w:color="auto"/>
            </w:tcBorders>
            <w:vAlign w:val="center"/>
          </w:tcPr>
          <w:p w:rsidR="00445B8E" w:rsidRPr="00445B8E" w:rsidRDefault="00445B8E" w:rsidP="00445B8E">
            <w:pPr>
              <w:tabs>
                <w:tab w:val="left" w:pos="426"/>
                <w:tab w:val="right" w:pos="9072"/>
              </w:tabs>
              <w:ind w:left="284"/>
              <w:jc w:val="center"/>
              <w:rPr>
                <w:rFonts w:ascii="Arial" w:hAnsi="Arial" w:cs="Arial"/>
                <w:sz w:val="18"/>
                <w:szCs w:val="18"/>
              </w:rPr>
            </w:pPr>
            <w:r w:rsidRPr="00445B8E">
              <w:rPr>
                <w:rFonts w:ascii="Arial" w:hAnsi="Arial" w:cs="Arial"/>
                <w:sz w:val="18"/>
                <w:szCs w:val="18"/>
              </w:rPr>
              <w:t>1</w:t>
            </w:r>
          </w:p>
        </w:tc>
        <w:tc>
          <w:tcPr>
            <w:tcW w:w="1843" w:type="dxa"/>
            <w:tcBorders>
              <w:bottom w:val="single" w:sz="4" w:space="0" w:color="auto"/>
            </w:tcBorders>
            <w:vAlign w:val="center"/>
          </w:tcPr>
          <w:p w:rsidR="00445B8E" w:rsidRPr="00445B8E" w:rsidRDefault="00445B8E" w:rsidP="00445B8E">
            <w:pPr>
              <w:tabs>
                <w:tab w:val="left" w:pos="426"/>
                <w:tab w:val="right" w:pos="9072"/>
              </w:tabs>
              <w:ind w:left="284"/>
              <w:jc w:val="center"/>
              <w:rPr>
                <w:rFonts w:ascii="Arial" w:hAnsi="Arial" w:cs="Arial"/>
                <w:sz w:val="18"/>
                <w:szCs w:val="18"/>
              </w:rPr>
            </w:pPr>
            <w:r w:rsidRPr="00445B8E">
              <w:rPr>
                <w:rFonts w:ascii="Arial" w:hAnsi="Arial" w:cs="Arial"/>
                <w:sz w:val="18"/>
                <w:szCs w:val="18"/>
              </w:rPr>
              <w:t>2</w:t>
            </w:r>
          </w:p>
        </w:tc>
        <w:tc>
          <w:tcPr>
            <w:tcW w:w="1843" w:type="dxa"/>
            <w:tcBorders>
              <w:bottom w:val="single" w:sz="4" w:space="0" w:color="auto"/>
            </w:tcBorders>
            <w:vAlign w:val="center"/>
          </w:tcPr>
          <w:p w:rsidR="00445B8E" w:rsidRPr="00445B8E" w:rsidRDefault="00445B8E" w:rsidP="00445B8E">
            <w:pPr>
              <w:tabs>
                <w:tab w:val="left" w:pos="426"/>
                <w:tab w:val="right" w:pos="9072"/>
              </w:tabs>
              <w:ind w:left="284"/>
              <w:jc w:val="center"/>
              <w:rPr>
                <w:rFonts w:ascii="Arial" w:hAnsi="Arial" w:cs="Arial"/>
                <w:sz w:val="18"/>
                <w:szCs w:val="18"/>
              </w:rPr>
            </w:pPr>
            <w:r w:rsidRPr="00445B8E">
              <w:rPr>
                <w:rFonts w:ascii="Arial" w:hAnsi="Arial" w:cs="Arial"/>
                <w:sz w:val="18"/>
                <w:szCs w:val="18"/>
              </w:rPr>
              <w:t>3</w:t>
            </w:r>
          </w:p>
        </w:tc>
        <w:tc>
          <w:tcPr>
            <w:tcW w:w="1203" w:type="dxa"/>
            <w:tcBorders>
              <w:bottom w:val="single" w:sz="4" w:space="0" w:color="auto"/>
            </w:tcBorders>
            <w:vAlign w:val="center"/>
          </w:tcPr>
          <w:p w:rsidR="00445B8E" w:rsidRPr="00445B8E" w:rsidRDefault="00445B8E" w:rsidP="00445B8E">
            <w:pPr>
              <w:tabs>
                <w:tab w:val="left" w:pos="426"/>
                <w:tab w:val="right" w:pos="9072"/>
              </w:tabs>
              <w:ind w:left="284"/>
              <w:jc w:val="center"/>
              <w:rPr>
                <w:rFonts w:ascii="Arial" w:hAnsi="Arial" w:cs="Arial"/>
                <w:sz w:val="18"/>
                <w:szCs w:val="18"/>
              </w:rPr>
            </w:pPr>
            <w:r w:rsidRPr="00445B8E">
              <w:rPr>
                <w:rFonts w:ascii="Arial" w:hAnsi="Arial" w:cs="Arial"/>
                <w:sz w:val="18"/>
                <w:szCs w:val="18"/>
              </w:rPr>
              <w:t>4</w:t>
            </w:r>
          </w:p>
        </w:tc>
      </w:tr>
      <w:tr w:rsidR="00445B8E" w:rsidRPr="00445B8E" w:rsidTr="009D0C61">
        <w:trPr>
          <w:trHeight w:val="206"/>
        </w:trPr>
        <w:tc>
          <w:tcPr>
            <w:tcW w:w="2410" w:type="dxa"/>
            <w:tcBorders>
              <w:top w:val="nil"/>
              <w:bottom w:val="nil"/>
            </w:tcBorders>
            <w:vAlign w:val="bottom"/>
          </w:tcPr>
          <w:p w:rsidR="00445B8E" w:rsidRPr="00445B8E" w:rsidRDefault="00445B8E" w:rsidP="00445B8E">
            <w:pPr>
              <w:tabs>
                <w:tab w:val="left" w:pos="426"/>
                <w:tab w:val="right" w:pos="9072"/>
              </w:tabs>
              <w:spacing w:after="120"/>
              <w:rPr>
                <w:rFonts w:ascii="Arial" w:hAnsi="Arial" w:cs="Arial"/>
                <w:sz w:val="20"/>
                <w:szCs w:val="20"/>
              </w:rPr>
            </w:pPr>
            <w:r w:rsidRPr="00445B8E">
              <w:rPr>
                <w:rFonts w:ascii="Arial" w:hAnsi="Arial" w:cs="Arial"/>
                <w:sz w:val="20"/>
                <w:szCs w:val="20"/>
              </w:rPr>
              <w:t>Bežné výdavky (náklady)</w:t>
            </w:r>
          </w:p>
        </w:tc>
        <w:tc>
          <w:tcPr>
            <w:tcW w:w="1771" w:type="dxa"/>
            <w:tcBorders>
              <w:top w:val="nil"/>
              <w:bottom w:val="nil"/>
            </w:tcBorders>
            <w:vAlign w:val="bottom"/>
          </w:tcPr>
          <w:p w:rsidR="00445B8E" w:rsidRPr="00445B8E" w:rsidRDefault="00445B8E" w:rsidP="00445B8E">
            <w:pPr>
              <w:tabs>
                <w:tab w:val="right" w:pos="9072"/>
              </w:tabs>
              <w:spacing w:before="60" w:after="60"/>
              <w:jc w:val="right"/>
              <w:rPr>
                <w:rFonts w:ascii="Arial" w:hAnsi="Arial" w:cs="Arial"/>
                <w:sz w:val="20"/>
                <w:szCs w:val="20"/>
              </w:rPr>
            </w:pPr>
            <w:r w:rsidRPr="00445B8E">
              <w:rPr>
                <w:rFonts w:ascii="Arial" w:hAnsi="Arial" w:cs="Arial"/>
                <w:sz w:val="20"/>
                <w:szCs w:val="20"/>
              </w:rPr>
              <w:t>23 311</w:t>
            </w:r>
          </w:p>
        </w:tc>
        <w:tc>
          <w:tcPr>
            <w:tcW w:w="1843" w:type="dxa"/>
            <w:tcBorders>
              <w:top w:val="nil"/>
              <w:bottom w:val="nil"/>
            </w:tcBorders>
            <w:vAlign w:val="bottom"/>
          </w:tcPr>
          <w:p w:rsidR="00445B8E" w:rsidRPr="00445B8E" w:rsidRDefault="00445B8E" w:rsidP="00445B8E">
            <w:pPr>
              <w:tabs>
                <w:tab w:val="right" w:pos="9072"/>
              </w:tabs>
              <w:spacing w:before="60" w:after="60"/>
              <w:jc w:val="right"/>
              <w:rPr>
                <w:rFonts w:ascii="Arial" w:hAnsi="Arial" w:cs="Arial"/>
                <w:sz w:val="20"/>
                <w:szCs w:val="20"/>
              </w:rPr>
            </w:pPr>
            <w:r w:rsidRPr="00445B8E">
              <w:rPr>
                <w:rFonts w:ascii="Arial" w:hAnsi="Arial" w:cs="Arial"/>
                <w:sz w:val="20"/>
                <w:szCs w:val="20"/>
              </w:rPr>
              <w:t>31 169</w:t>
            </w:r>
          </w:p>
        </w:tc>
        <w:tc>
          <w:tcPr>
            <w:tcW w:w="1843" w:type="dxa"/>
            <w:tcBorders>
              <w:top w:val="nil"/>
              <w:bottom w:val="nil"/>
            </w:tcBorders>
            <w:vAlign w:val="bottom"/>
          </w:tcPr>
          <w:p w:rsidR="00445B8E" w:rsidRPr="00445B8E" w:rsidRDefault="00445B8E" w:rsidP="00445B8E">
            <w:pPr>
              <w:tabs>
                <w:tab w:val="right" w:pos="9072"/>
              </w:tabs>
              <w:spacing w:before="60" w:after="60"/>
              <w:jc w:val="right"/>
              <w:rPr>
                <w:rFonts w:ascii="Arial" w:hAnsi="Arial" w:cs="Arial"/>
                <w:sz w:val="20"/>
                <w:szCs w:val="20"/>
              </w:rPr>
            </w:pPr>
            <w:r w:rsidRPr="00445B8E">
              <w:rPr>
                <w:rFonts w:ascii="Arial" w:hAnsi="Arial" w:cs="Arial"/>
                <w:sz w:val="20"/>
                <w:szCs w:val="20"/>
              </w:rPr>
              <w:t>54 480</w:t>
            </w:r>
          </w:p>
        </w:tc>
        <w:tc>
          <w:tcPr>
            <w:tcW w:w="1203" w:type="dxa"/>
            <w:tcBorders>
              <w:top w:val="nil"/>
              <w:bottom w:val="nil"/>
            </w:tcBorders>
            <w:vAlign w:val="bottom"/>
          </w:tcPr>
          <w:p w:rsidR="00445B8E" w:rsidRPr="00445B8E" w:rsidRDefault="00445B8E" w:rsidP="00445B8E">
            <w:pPr>
              <w:tabs>
                <w:tab w:val="right" w:pos="9072"/>
              </w:tabs>
              <w:spacing w:before="60" w:after="60"/>
              <w:jc w:val="right"/>
              <w:rPr>
                <w:rFonts w:ascii="Arial" w:hAnsi="Arial" w:cs="Arial"/>
                <w:sz w:val="20"/>
                <w:szCs w:val="20"/>
              </w:rPr>
            </w:pPr>
            <w:r w:rsidRPr="00445B8E">
              <w:rPr>
                <w:rFonts w:ascii="Arial" w:hAnsi="Arial" w:cs="Arial"/>
                <w:sz w:val="20"/>
                <w:szCs w:val="20"/>
              </w:rPr>
              <w:t>99,63</w:t>
            </w:r>
          </w:p>
        </w:tc>
      </w:tr>
      <w:tr w:rsidR="00445B8E" w:rsidRPr="00445B8E" w:rsidTr="009D0C61">
        <w:trPr>
          <w:trHeight w:val="80"/>
        </w:trPr>
        <w:tc>
          <w:tcPr>
            <w:tcW w:w="2410" w:type="dxa"/>
            <w:tcBorders>
              <w:top w:val="nil"/>
              <w:bottom w:val="nil"/>
            </w:tcBorders>
            <w:vAlign w:val="bottom"/>
          </w:tcPr>
          <w:p w:rsidR="00445B8E" w:rsidRPr="00445B8E" w:rsidRDefault="00445B8E" w:rsidP="00445B8E">
            <w:pPr>
              <w:tabs>
                <w:tab w:val="left" w:pos="426"/>
                <w:tab w:val="right" w:pos="9072"/>
              </w:tabs>
              <w:spacing w:after="120"/>
              <w:rPr>
                <w:rFonts w:ascii="Arial" w:hAnsi="Arial" w:cs="Arial"/>
                <w:sz w:val="20"/>
                <w:szCs w:val="20"/>
              </w:rPr>
            </w:pPr>
            <w:r w:rsidRPr="00445B8E">
              <w:rPr>
                <w:rFonts w:ascii="Arial" w:hAnsi="Arial" w:cs="Arial"/>
                <w:sz w:val="20"/>
                <w:szCs w:val="20"/>
              </w:rPr>
              <w:t>Kapitálové výdavky</w:t>
            </w:r>
          </w:p>
        </w:tc>
        <w:tc>
          <w:tcPr>
            <w:tcW w:w="1771" w:type="dxa"/>
            <w:tcBorders>
              <w:top w:val="nil"/>
              <w:bottom w:val="nil"/>
            </w:tcBorders>
            <w:vAlign w:val="bottom"/>
          </w:tcPr>
          <w:p w:rsidR="00445B8E" w:rsidRPr="00445B8E" w:rsidRDefault="00445B8E" w:rsidP="00445B8E">
            <w:pPr>
              <w:tabs>
                <w:tab w:val="right" w:pos="9072"/>
              </w:tabs>
              <w:spacing w:before="60" w:after="60"/>
              <w:jc w:val="right"/>
              <w:rPr>
                <w:rFonts w:ascii="Arial" w:hAnsi="Arial" w:cs="Arial"/>
                <w:sz w:val="20"/>
                <w:szCs w:val="20"/>
              </w:rPr>
            </w:pPr>
            <w:r w:rsidRPr="00445B8E">
              <w:rPr>
                <w:rFonts w:ascii="Arial" w:hAnsi="Arial" w:cs="Arial"/>
                <w:sz w:val="20"/>
                <w:szCs w:val="20"/>
              </w:rPr>
              <w:t xml:space="preserve">203  </w:t>
            </w:r>
          </w:p>
        </w:tc>
        <w:tc>
          <w:tcPr>
            <w:tcW w:w="1843" w:type="dxa"/>
            <w:tcBorders>
              <w:top w:val="nil"/>
              <w:bottom w:val="nil"/>
            </w:tcBorders>
            <w:vAlign w:val="bottom"/>
          </w:tcPr>
          <w:p w:rsidR="00445B8E" w:rsidRPr="00445B8E" w:rsidRDefault="00445B8E" w:rsidP="00445B8E">
            <w:pPr>
              <w:tabs>
                <w:tab w:val="right" w:pos="9072"/>
              </w:tabs>
              <w:spacing w:before="60" w:after="60"/>
              <w:jc w:val="right"/>
              <w:rPr>
                <w:rFonts w:ascii="Arial" w:hAnsi="Arial" w:cs="Arial"/>
                <w:sz w:val="20"/>
                <w:szCs w:val="20"/>
              </w:rPr>
            </w:pPr>
            <w:r w:rsidRPr="00445B8E">
              <w:rPr>
                <w:rFonts w:ascii="Arial" w:hAnsi="Arial" w:cs="Arial"/>
                <w:sz w:val="20"/>
                <w:szCs w:val="20"/>
              </w:rPr>
              <w:t xml:space="preserve">       - </w:t>
            </w:r>
          </w:p>
        </w:tc>
        <w:tc>
          <w:tcPr>
            <w:tcW w:w="1843" w:type="dxa"/>
            <w:tcBorders>
              <w:top w:val="nil"/>
              <w:bottom w:val="nil"/>
            </w:tcBorders>
            <w:vAlign w:val="bottom"/>
          </w:tcPr>
          <w:p w:rsidR="00445B8E" w:rsidRPr="00445B8E" w:rsidRDefault="00445B8E" w:rsidP="00445B8E">
            <w:pPr>
              <w:tabs>
                <w:tab w:val="right" w:pos="9072"/>
              </w:tabs>
              <w:spacing w:before="60" w:after="60"/>
              <w:jc w:val="right"/>
              <w:rPr>
                <w:rFonts w:ascii="Arial" w:hAnsi="Arial" w:cs="Arial"/>
                <w:sz w:val="20"/>
                <w:szCs w:val="20"/>
              </w:rPr>
            </w:pPr>
            <w:r w:rsidRPr="00445B8E">
              <w:rPr>
                <w:rFonts w:ascii="Arial" w:hAnsi="Arial" w:cs="Arial"/>
                <w:sz w:val="20"/>
                <w:szCs w:val="20"/>
              </w:rPr>
              <w:t xml:space="preserve">   203</w:t>
            </w:r>
          </w:p>
        </w:tc>
        <w:tc>
          <w:tcPr>
            <w:tcW w:w="1203" w:type="dxa"/>
            <w:tcBorders>
              <w:top w:val="nil"/>
              <w:bottom w:val="nil"/>
            </w:tcBorders>
            <w:vAlign w:val="bottom"/>
          </w:tcPr>
          <w:p w:rsidR="00445B8E" w:rsidRPr="00445B8E" w:rsidRDefault="00445B8E" w:rsidP="00445B8E">
            <w:pPr>
              <w:tabs>
                <w:tab w:val="right" w:pos="9072"/>
              </w:tabs>
              <w:spacing w:before="60" w:after="60"/>
              <w:jc w:val="right"/>
              <w:rPr>
                <w:rFonts w:ascii="Arial" w:hAnsi="Arial" w:cs="Arial"/>
                <w:sz w:val="20"/>
                <w:szCs w:val="20"/>
              </w:rPr>
            </w:pPr>
            <w:r w:rsidRPr="00445B8E">
              <w:rPr>
                <w:rFonts w:ascii="Arial" w:hAnsi="Arial" w:cs="Arial"/>
                <w:sz w:val="20"/>
                <w:szCs w:val="20"/>
              </w:rPr>
              <w:t xml:space="preserve">    0,37</w:t>
            </w:r>
          </w:p>
        </w:tc>
      </w:tr>
      <w:tr w:rsidR="00445B8E" w:rsidRPr="00445B8E" w:rsidTr="009D0C61">
        <w:tc>
          <w:tcPr>
            <w:tcW w:w="2410" w:type="dxa"/>
            <w:tcBorders>
              <w:top w:val="nil"/>
            </w:tcBorders>
            <w:vAlign w:val="bottom"/>
          </w:tcPr>
          <w:p w:rsidR="00445B8E" w:rsidRPr="00445B8E" w:rsidRDefault="00445B8E" w:rsidP="00445B8E">
            <w:pPr>
              <w:tabs>
                <w:tab w:val="left" w:pos="426"/>
                <w:tab w:val="right" w:pos="9072"/>
              </w:tabs>
              <w:spacing w:after="120"/>
              <w:rPr>
                <w:rFonts w:ascii="Arial" w:hAnsi="Arial" w:cs="Arial"/>
                <w:b/>
                <w:sz w:val="20"/>
                <w:szCs w:val="20"/>
              </w:rPr>
            </w:pPr>
            <w:r w:rsidRPr="00445B8E">
              <w:rPr>
                <w:rFonts w:ascii="Arial" w:hAnsi="Arial" w:cs="Arial"/>
                <w:b/>
                <w:sz w:val="20"/>
                <w:szCs w:val="20"/>
              </w:rPr>
              <w:t>Správny fond spolu</w:t>
            </w:r>
          </w:p>
        </w:tc>
        <w:tc>
          <w:tcPr>
            <w:tcW w:w="1771" w:type="dxa"/>
            <w:tcBorders>
              <w:top w:val="nil"/>
            </w:tcBorders>
            <w:vAlign w:val="bottom"/>
          </w:tcPr>
          <w:p w:rsidR="00445B8E" w:rsidRPr="00445B8E" w:rsidRDefault="00445B8E" w:rsidP="00445B8E">
            <w:pPr>
              <w:tabs>
                <w:tab w:val="right" w:pos="9072"/>
              </w:tabs>
              <w:spacing w:before="60" w:after="60"/>
              <w:jc w:val="right"/>
              <w:rPr>
                <w:rFonts w:ascii="Arial" w:hAnsi="Arial" w:cs="Arial"/>
                <w:b/>
                <w:sz w:val="20"/>
                <w:szCs w:val="20"/>
              </w:rPr>
            </w:pPr>
            <w:r w:rsidRPr="00445B8E">
              <w:rPr>
                <w:rFonts w:ascii="Arial" w:hAnsi="Arial" w:cs="Arial"/>
                <w:b/>
                <w:sz w:val="20"/>
                <w:szCs w:val="20"/>
              </w:rPr>
              <w:t xml:space="preserve">23 514 </w:t>
            </w:r>
          </w:p>
        </w:tc>
        <w:tc>
          <w:tcPr>
            <w:tcW w:w="1843" w:type="dxa"/>
            <w:tcBorders>
              <w:top w:val="nil"/>
            </w:tcBorders>
            <w:vAlign w:val="bottom"/>
          </w:tcPr>
          <w:p w:rsidR="00445B8E" w:rsidRPr="00445B8E" w:rsidRDefault="00445B8E" w:rsidP="00445B8E">
            <w:pPr>
              <w:tabs>
                <w:tab w:val="right" w:pos="9072"/>
              </w:tabs>
              <w:spacing w:before="60" w:after="60"/>
              <w:jc w:val="right"/>
              <w:rPr>
                <w:rFonts w:ascii="Arial" w:hAnsi="Arial" w:cs="Arial"/>
                <w:b/>
                <w:sz w:val="20"/>
                <w:szCs w:val="20"/>
              </w:rPr>
            </w:pPr>
            <w:r w:rsidRPr="00445B8E">
              <w:rPr>
                <w:rFonts w:ascii="Arial" w:hAnsi="Arial" w:cs="Arial"/>
                <w:b/>
                <w:sz w:val="20"/>
                <w:szCs w:val="20"/>
              </w:rPr>
              <w:t>31 169</w:t>
            </w:r>
          </w:p>
        </w:tc>
        <w:tc>
          <w:tcPr>
            <w:tcW w:w="1843" w:type="dxa"/>
            <w:tcBorders>
              <w:top w:val="nil"/>
            </w:tcBorders>
            <w:vAlign w:val="bottom"/>
          </w:tcPr>
          <w:p w:rsidR="00445B8E" w:rsidRPr="00445B8E" w:rsidRDefault="00445B8E" w:rsidP="00445B8E">
            <w:pPr>
              <w:tabs>
                <w:tab w:val="right" w:pos="9072"/>
              </w:tabs>
              <w:spacing w:before="60" w:after="60"/>
              <w:jc w:val="right"/>
              <w:rPr>
                <w:rFonts w:ascii="Arial" w:hAnsi="Arial" w:cs="Arial"/>
                <w:b/>
                <w:sz w:val="20"/>
                <w:szCs w:val="20"/>
              </w:rPr>
            </w:pPr>
            <w:r w:rsidRPr="00445B8E">
              <w:rPr>
                <w:rFonts w:ascii="Arial" w:hAnsi="Arial" w:cs="Arial"/>
                <w:b/>
                <w:sz w:val="20"/>
                <w:szCs w:val="20"/>
              </w:rPr>
              <w:t>54 683</w:t>
            </w:r>
          </w:p>
        </w:tc>
        <w:tc>
          <w:tcPr>
            <w:tcW w:w="1203" w:type="dxa"/>
            <w:tcBorders>
              <w:top w:val="nil"/>
            </w:tcBorders>
            <w:vAlign w:val="bottom"/>
          </w:tcPr>
          <w:p w:rsidR="00445B8E" w:rsidRPr="00445B8E" w:rsidRDefault="00445B8E" w:rsidP="00445B8E">
            <w:pPr>
              <w:tabs>
                <w:tab w:val="right" w:pos="9072"/>
              </w:tabs>
              <w:spacing w:before="60" w:after="60"/>
              <w:jc w:val="right"/>
              <w:rPr>
                <w:rFonts w:ascii="Arial" w:hAnsi="Arial" w:cs="Arial"/>
                <w:b/>
                <w:sz w:val="20"/>
                <w:szCs w:val="20"/>
              </w:rPr>
            </w:pPr>
            <w:r w:rsidRPr="00445B8E">
              <w:rPr>
                <w:rFonts w:ascii="Arial" w:hAnsi="Arial" w:cs="Arial"/>
                <w:b/>
                <w:sz w:val="20"/>
                <w:szCs w:val="20"/>
              </w:rPr>
              <w:t>100,00</w:t>
            </w:r>
          </w:p>
        </w:tc>
      </w:tr>
    </w:tbl>
    <w:p w:rsidR="00445B8E" w:rsidRPr="00445B8E" w:rsidRDefault="00445B8E" w:rsidP="00445B8E">
      <w:pPr>
        <w:tabs>
          <w:tab w:val="right" w:pos="709"/>
          <w:tab w:val="right" w:pos="5670"/>
          <w:tab w:val="right" w:pos="8931"/>
        </w:tabs>
        <w:spacing w:after="120"/>
        <w:rPr>
          <w:rFonts w:ascii="Arial" w:hAnsi="Arial" w:cs="Arial"/>
          <w:sz w:val="20"/>
          <w:szCs w:val="20"/>
        </w:rPr>
      </w:pPr>
    </w:p>
    <w:p w:rsidR="00445B8E" w:rsidRPr="00445B8E" w:rsidRDefault="00445B8E" w:rsidP="00445B8E">
      <w:pPr>
        <w:tabs>
          <w:tab w:val="left" w:pos="709"/>
          <w:tab w:val="right" w:pos="5670"/>
          <w:tab w:val="right" w:pos="9072"/>
        </w:tabs>
        <w:spacing w:before="240" w:after="120"/>
        <w:ind w:firstLine="720"/>
        <w:jc w:val="both"/>
        <w:rPr>
          <w:rFonts w:ascii="Arial" w:hAnsi="Arial" w:cs="Arial"/>
          <w:szCs w:val="20"/>
        </w:rPr>
      </w:pPr>
      <w:r w:rsidRPr="00445B8E">
        <w:rPr>
          <w:rFonts w:ascii="Arial" w:hAnsi="Arial" w:cs="Arial"/>
          <w:szCs w:val="20"/>
        </w:rPr>
        <w:t xml:space="preserve">Na celkovom plnení rozpočtu správneho fondu za I. polrok 2011 sa podieľali </w:t>
      </w:r>
      <w:r w:rsidRPr="00445B8E">
        <w:rPr>
          <w:rFonts w:ascii="Arial" w:hAnsi="Arial" w:cs="Arial"/>
          <w:b/>
          <w:szCs w:val="20"/>
        </w:rPr>
        <w:t>osobné  náklady vo</w:t>
      </w:r>
      <w:r w:rsidRPr="00445B8E">
        <w:rPr>
          <w:rFonts w:ascii="Arial" w:hAnsi="Arial" w:cs="Arial"/>
          <w:szCs w:val="20"/>
        </w:rPr>
        <w:t xml:space="preserve"> </w:t>
      </w:r>
      <w:r w:rsidRPr="00445B8E">
        <w:rPr>
          <w:rFonts w:ascii="Arial" w:hAnsi="Arial" w:cs="Arial"/>
          <w:b/>
          <w:szCs w:val="20"/>
        </w:rPr>
        <w:t>výške 37 063</w:t>
      </w:r>
      <w:r w:rsidRPr="00445B8E">
        <w:rPr>
          <w:rFonts w:ascii="Arial" w:hAnsi="Arial" w:cs="Arial"/>
          <w:b/>
          <w:color w:val="FF0000"/>
          <w:szCs w:val="20"/>
        </w:rPr>
        <w:t xml:space="preserve"> </w:t>
      </w:r>
      <w:r w:rsidRPr="00445B8E">
        <w:rPr>
          <w:rFonts w:ascii="Arial" w:hAnsi="Arial" w:cs="Arial"/>
          <w:b/>
          <w:szCs w:val="20"/>
        </w:rPr>
        <w:t xml:space="preserve">tis. Eur, </w:t>
      </w:r>
      <w:r w:rsidRPr="00445B8E">
        <w:rPr>
          <w:rFonts w:ascii="Arial" w:hAnsi="Arial" w:cs="Arial"/>
          <w:szCs w:val="20"/>
        </w:rPr>
        <w:t>z toho mzdové prostriedky, poistné a príspevok do poisťovní podľa organizačných zložiek Sociálnej poisťovne boli nasledovné:</w:t>
      </w:r>
    </w:p>
    <w:p w:rsidR="00445B8E" w:rsidRPr="00445B8E" w:rsidRDefault="00445B8E" w:rsidP="00445B8E">
      <w:pPr>
        <w:tabs>
          <w:tab w:val="left" w:pos="426"/>
          <w:tab w:val="left" w:pos="709"/>
          <w:tab w:val="right" w:pos="5670"/>
          <w:tab w:val="right" w:pos="9072"/>
        </w:tabs>
        <w:spacing w:after="120"/>
        <w:ind w:left="284"/>
        <w:jc w:val="center"/>
        <w:rPr>
          <w:rFonts w:ascii="Arial" w:hAnsi="Arial" w:cs="Arial"/>
          <w:sz w:val="20"/>
          <w:szCs w:val="20"/>
        </w:rPr>
      </w:pPr>
      <w:r w:rsidRPr="00445B8E">
        <w:rPr>
          <w:rFonts w:ascii="Arial" w:hAnsi="Arial" w:cs="Arial"/>
          <w:sz w:val="20"/>
          <w:szCs w:val="20"/>
        </w:rPr>
        <w:t xml:space="preserve">                                                                                                                                         v tis. Eur</w:t>
      </w:r>
    </w:p>
    <w:tbl>
      <w:tblPr>
        <w:tblW w:w="9375" w:type="dxa"/>
        <w:tblInd w:w="55" w:type="dxa"/>
        <w:tblCellMar>
          <w:left w:w="70" w:type="dxa"/>
          <w:right w:w="70" w:type="dxa"/>
        </w:tblCellMar>
        <w:tblLook w:val="0000" w:firstRow="0" w:lastRow="0" w:firstColumn="0" w:lastColumn="0" w:noHBand="0" w:noVBand="0"/>
      </w:tblPr>
      <w:tblGrid>
        <w:gridCol w:w="3075"/>
        <w:gridCol w:w="1260"/>
        <w:gridCol w:w="1260"/>
        <w:gridCol w:w="1078"/>
        <w:gridCol w:w="1260"/>
        <w:gridCol w:w="721"/>
        <w:gridCol w:w="721"/>
      </w:tblGrid>
      <w:tr w:rsidR="00445B8E" w:rsidRPr="00445B8E" w:rsidTr="009D0C61">
        <w:trPr>
          <w:trHeight w:val="300"/>
        </w:trPr>
        <w:tc>
          <w:tcPr>
            <w:tcW w:w="3075"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w:t>
            </w:r>
          </w:p>
        </w:tc>
        <w:tc>
          <w:tcPr>
            <w:tcW w:w="1260"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Cieľový</w:t>
            </w:r>
          </w:p>
        </w:tc>
        <w:tc>
          <w:tcPr>
            <w:tcW w:w="1260"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Cieľový</w:t>
            </w:r>
          </w:p>
        </w:tc>
        <w:tc>
          <w:tcPr>
            <w:tcW w:w="1079" w:type="dxa"/>
            <w:tcBorders>
              <w:top w:val="single" w:sz="4" w:space="0" w:color="auto"/>
              <w:left w:val="single" w:sz="4" w:space="0" w:color="auto"/>
              <w:bottom w:val="nil"/>
              <w:right w:val="single" w:sz="4" w:space="0" w:color="auto"/>
            </w:tcBorders>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Skutočnosť</w:t>
            </w:r>
          </w:p>
        </w:tc>
        <w:tc>
          <w:tcPr>
            <w:tcW w:w="1260"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Skutočnosť</w:t>
            </w:r>
          </w:p>
        </w:tc>
        <w:tc>
          <w:tcPr>
            <w:tcW w:w="721"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w:t>
            </w:r>
          </w:p>
        </w:tc>
        <w:tc>
          <w:tcPr>
            <w:tcW w:w="720"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w:t>
            </w:r>
          </w:p>
        </w:tc>
      </w:tr>
      <w:tr w:rsidR="00445B8E" w:rsidRPr="00445B8E" w:rsidTr="009D0C61">
        <w:trPr>
          <w:trHeight w:val="300"/>
        </w:trPr>
        <w:tc>
          <w:tcPr>
            <w:tcW w:w="3075"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Ukazovateľ</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rozpis</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rozpis</w:t>
            </w:r>
          </w:p>
        </w:tc>
        <w:tc>
          <w:tcPr>
            <w:tcW w:w="1079" w:type="dxa"/>
            <w:tcBorders>
              <w:top w:val="nil"/>
              <w:left w:val="single" w:sz="4" w:space="0" w:color="auto"/>
              <w:bottom w:val="nil"/>
              <w:right w:val="single" w:sz="4" w:space="0" w:color="auto"/>
            </w:tcBorders>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za mesiac</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za I. polrok</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plnenia</w:t>
            </w:r>
          </w:p>
        </w:tc>
        <w:tc>
          <w:tcPr>
            <w:tcW w:w="72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plnenia</w:t>
            </w:r>
          </w:p>
        </w:tc>
      </w:tr>
      <w:tr w:rsidR="00445B8E" w:rsidRPr="00445B8E" w:rsidTr="009D0C61">
        <w:trPr>
          <w:trHeight w:val="285"/>
        </w:trPr>
        <w:tc>
          <w:tcPr>
            <w:tcW w:w="3075"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rozpočtu</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rozpočtu</w:t>
            </w:r>
          </w:p>
        </w:tc>
        <w:tc>
          <w:tcPr>
            <w:tcW w:w="1079" w:type="dxa"/>
            <w:tcBorders>
              <w:top w:val="nil"/>
              <w:left w:val="single" w:sz="4" w:space="0" w:color="auto"/>
              <w:bottom w:val="nil"/>
              <w:right w:val="single" w:sz="4" w:space="0" w:color="auto"/>
            </w:tcBorders>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xml:space="preserve">jún </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2011</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(4/1)</w:t>
            </w:r>
          </w:p>
        </w:tc>
        <w:tc>
          <w:tcPr>
            <w:tcW w:w="72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(4/2)</w:t>
            </w:r>
          </w:p>
        </w:tc>
      </w:tr>
      <w:tr w:rsidR="00445B8E" w:rsidRPr="00445B8E" w:rsidTr="009D0C61">
        <w:trPr>
          <w:trHeight w:val="255"/>
        </w:trPr>
        <w:tc>
          <w:tcPr>
            <w:tcW w:w="3075"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na rok 2011</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na I. polrok</w:t>
            </w:r>
          </w:p>
        </w:tc>
        <w:tc>
          <w:tcPr>
            <w:tcW w:w="1079" w:type="dxa"/>
            <w:tcBorders>
              <w:top w:val="nil"/>
              <w:left w:val="single" w:sz="4" w:space="0" w:color="auto"/>
              <w:bottom w:val="nil"/>
              <w:right w:val="single" w:sz="4" w:space="0" w:color="auto"/>
            </w:tcBorders>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xml:space="preserve"> 2011</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c>
          <w:tcPr>
            <w:tcW w:w="72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r>
      <w:tr w:rsidR="00445B8E" w:rsidRPr="00445B8E" w:rsidTr="009D0C6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260"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w:t>
            </w:r>
          </w:p>
        </w:tc>
        <w:tc>
          <w:tcPr>
            <w:tcW w:w="1260"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xml:space="preserve"> 2011</w:t>
            </w:r>
          </w:p>
        </w:tc>
        <w:tc>
          <w:tcPr>
            <w:tcW w:w="1079" w:type="dxa"/>
            <w:tcBorders>
              <w:top w:val="nil"/>
              <w:left w:val="single" w:sz="4" w:space="0" w:color="auto"/>
              <w:bottom w:val="single" w:sz="4" w:space="0" w:color="auto"/>
              <w:right w:val="single" w:sz="4" w:space="0" w:color="auto"/>
            </w:tcBorders>
            <w:vAlign w:val="bottom"/>
          </w:tcPr>
          <w:p w:rsidR="00445B8E" w:rsidRPr="00445B8E" w:rsidRDefault="00445B8E" w:rsidP="00445B8E">
            <w:pPr>
              <w:jc w:val="center"/>
              <w:rPr>
                <w:rFonts w:ascii="Arial" w:hAnsi="Arial" w:cs="Arial"/>
                <w:bCs/>
                <w:sz w:val="18"/>
                <w:szCs w:val="18"/>
              </w:rPr>
            </w:pPr>
          </w:p>
        </w:tc>
        <w:tc>
          <w:tcPr>
            <w:tcW w:w="1260"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p>
        </w:tc>
        <w:tc>
          <w:tcPr>
            <w:tcW w:w="721"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w:t>
            </w:r>
          </w:p>
        </w:tc>
        <w:tc>
          <w:tcPr>
            <w:tcW w:w="720"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r>
      <w:tr w:rsidR="00445B8E" w:rsidRPr="00445B8E" w:rsidTr="009D0C61">
        <w:trPr>
          <w:trHeight w:val="300"/>
        </w:trPr>
        <w:tc>
          <w:tcPr>
            <w:tcW w:w="30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a</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1</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2</w:t>
            </w:r>
          </w:p>
        </w:tc>
        <w:tc>
          <w:tcPr>
            <w:tcW w:w="1079" w:type="dxa"/>
            <w:tcBorders>
              <w:top w:val="single" w:sz="4" w:space="0" w:color="auto"/>
              <w:left w:val="single" w:sz="4" w:space="0" w:color="auto"/>
              <w:bottom w:val="single" w:sz="4" w:space="0" w:color="auto"/>
              <w:right w:val="single" w:sz="4" w:space="0" w:color="auto"/>
            </w:tcBorders>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3</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4</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6</w:t>
            </w:r>
          </w:p>
        </w:tc>
      </w:tr>
      <w:tr w:rsidR="00445B8E" w:rsidRPr="00445B8E" w:rsidTr="009D0C61">
        <w:trPr>
          <w:trHeight w:val="300"/>
        </w:trPr>
        <w:tc>
          <w:tcPr>
            <w:tcW w:w="30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
                <w:bCs/>
                <w:sz w:val="18"/>
                <w:szCs w:val="18"/>
              </w:rPr>
            </w:pPr>
            <w:r w:rsidRPr="00445B8E">
              <w:rPr>
                <w:rFonts w:ascii="Arial" w:hAnsi="Arial" w:cs="Arial"/>
                <w:b/>
                <w:bCs/>
                <w:sz w:val="18"/>
                <w:szCs w:val="18"/>
              </w:rPr>
              <w:t xml:space="preserve"> Mzdové prostriedky spolu</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51 317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26 018 </w:t>
            </w:r>
          </w:p>
        </w:tc>
        <w:tc>
          <w:tcPr>
            <w:tcW w:w="1079" w:type="dxa"/>
            <w:tcBorders>
              <w:top w:val="single" w:sz="4" w:space="0" w:color="auto"/>
              <w:left w:val="single" w:sz="4" w:space="0" w:color="auto"/>
              <w:bottom w:val="single" w:sz="4" w:space="0" w:color="auto"/>
              <w:right w:val="single" w:sz="4" w:space="0" w:color="auto"/>
            </w:tcBorders>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3 979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24 071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46,91</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92,52</w:t>
            </w:r>
          </w:p>
        </w:tc>
      </w:tr>
      <w:tr w:rsidR="00445B8E" w:rsidRPr="00445B8E" w:rsidTr="009D0C61">
        <w:trPr>
          <w:trHeight w:val="255"/>
        </w:trPr>
        <w:tc>
          <w:tcPr>
            <w:tcW w:w="30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v tom : - ústredie</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15 737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8 063 </w:t>
            </w:r>
          </w:p>
        </w:tc>
        <w:tc>
          <w:tcPr>
            <w:tcW w:w="1079" w:type="dxa"/>
            <w:tcBorders>
              <w:top w:val="single" w:sz="4" w:space="0" w:color="auto"/>
              <w:left w:val="single" w:sz="4" w:space="0" w:color="auto"/>
              <w:bottom w:val="single" w:sz="4" w:space="0" w:color="auto"/>
              <w:right w:val="single" w:sz="4" w:space="0" w:color="auto"/>
            </w:tcBorders>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1 205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7 325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46,55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90,85</w:t>
            </w:r>
          </w:p>
        </w:tc>
      </w:tr>
      <w:tr w:rsidR="00445B8E" w:rsidRPr="00445B8E" w:rsidTr="009D0C61">
        <w:trPr>
          <w:trHeight w:val="255"/>
        </w:trPr>
        <w:tc>
          <w:tcPr>
            <w:tcW w:w="30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 pobočky</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35 580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17 955 </w:t>
            </w:r>
          </w:p>
        </w:tc>
        <w:tc>
          <w:tcPr>
            <w:tcW w:w="1079" w:type="dxa"/>
            <w:tcBorders>
              <w:top w:val="single" w:sz="4" w:space="0" w:color="auto"/>
              <w:left w:val="single" w:sz="4" w:space="0" w:color="auto"/>
              <w:bottom w:val="single" w:sz="4" w:space="0" w:color="auto"/>
              <w:right w:val="single" w:sz="4" w:space="0" w:color="auto"/>
            </w:tcBorders>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2 774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16 746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47,07</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93,27</w:t>
            </w:r>
          </w:p>
        </w:tc>
      </w:tr>
      <w:tr w:rsidR="00445B8E" w:rsidRPr="00445B8E" w:rsidTr="009D0C61">
        <w:trPr>
          <w:trHeight w:val="300"/>
        </w:trPr>
        <w:tc>
          <w:tcPr>
            <w:tcW w:w="30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
                <w:bCs/>
                <w:sz w:val="18"/>
                <w:szCs w:val="18"/>
              </w:rPr>
            </w:pPr>
            <w:r w:rsidRPr="00445B8E">
              <w:rPr>
                <w:rFonts w:ascii="Arial" w:hAnsi="Arial" w:cs="Arial"/>
                <w:b/>
                <w:bCs/>
                <w:sz w:val="18"/>
                <w:szCs w:val="18"/>
              </w:rPr>
              <w:t xml:space="preserve"> Poistné a príspevok do poisťovní</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19 773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10 184 </w:t>
            </w:r>
          </w:p>
        </w:tc>
        <w:tc>
          <w:tcPr>
            <w:tcW w:w="1079" w:type="dxa"/>
            <w:tcBorders>
              <w:top w:val="single" w:sz="4" w:space="0" w:color="auto"/>
              <w:left w:val="single" w:sz="4" w:space="0" w:color="auto"/>
              <w:bottom w:val="single" w:sz="4" w:space="0" w:color="auto"/>
              <w:right w:val="single" w:sz="4" w:space="0" w:color="auto"/>
            </w:tcBorders>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1 528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 xml:space="preserve">9 399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47,53</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
                <w:bCs/>
                <w:sz w:val="18"/>
                <w:szCs w:val="18"/>
              </w:rPr>
            </w:pPr>
            <w:r w:rsidRPr="00445B8E">
              <w:rPr>
                <w:rFonts w:ascii="Arial" w:hAnsi="Arial" w:cs="Arial"/>
                <w:b/>
                <w:bCs/>
                <w:sz w:val="18"/>
                <w:szCs w:val="18"/>
              </w:rPr>
              <w:t>92,29</w:t>
            </w:r>
          </w:p>
        </w:tc>
      </w:tr>
      <w:tr w:rsidR="00445B8E" w:rsidRPr="00445B8E" w:rsidTr="009D0C61">
        <w:trPr>
          <w:trHeight w:val="255"/>
        </w:trPr>
        <w:tc>
          <w:tcPr>
            <w:tcW w:w="30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v tom : - ústredie</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5 962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3 182 </w:t>
            </w:r>
          </w:p>
        </w:tc>
        <w:tc>
          <w:tcPr>
            <w:tcW w:w="1079" w:type="dxa"/>
            <w:tcBorders>
              <w:top w:val="single" w:sz="4" w:space="0" w:color="auto"/>
              <w:left w:val="single" w:sz="4" w:space="0" w:color="auto"/>
              <w:bottom w:val="single" w:sz="4" w:space="0" w:color="auto"/>
              <w:right w:val="single" w:sz="4" w:space="0" w:color="auto"/>
            </w:tcBorders>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 463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2 888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48,44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90,76</w:t>
            </w:r>
          </w:p>
        </w:tc>
      </w:tr>
      <w:tr w:rsidR="00445B8E" w:rsidRPr="00445B8E" w:rsidTr="009D0C61">
        <w:trPr>
          <w:trHeight w:val="255"/>
        </w:trPr>
        <w:tc>
          <w:tcPr>
            <w:tcW w:w="30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 pobočky</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13 811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7 002 </w:t>
            </w:r>
          </w:p>
        </w:tc>
        <w:tc>
          <w:tcPr>
            <w:tcW w:w="1079" w:type="dxa"/>
            <w:tcBorders>
              <w:top w:val="single" w:sz="4" w:space="0" w:color="auto"/>
              <w:left w:val="single" w:sz="4" w:space="0" w:color="auto"/>
              <w:bottom w:val="single" w:sz="4" w:space="0" w:color="auto"/>
              <w:right w:val="single" w:sz="4" w:space="0" w:color="auto"/>
            </w:tcBorders>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1 065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bCs/>
                <w:sz w:val="18"/>
                <w:szCs w:val="18"/>
              </w:rPr>
            </w:pPr>
            <w:r w:rsidRPr="00445B8E">
              <w:rPr>
                <w:rFonts w:ascii="Arial" w:hAnsi="Arial" w:cs="Arial"/>
                <w:bCs/>
                <w:sz w:val="18"/>
                <w:szCs w:val="18"/>
              </w:rPr>
              <w:t xml:space="preserve">6 511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47,14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92,99</w:t>
            </w:r>
          </w:p>
        </w:tc>
      </w:tr>
    </w:tbl>
    <w:p w:rsidR="00445B8E" w:rsidRPr="00445B8E" w:rsidRDefault="00445B8E" w:rsidP="00445B8E">
      <w:pPr>
        <w:tabs>
          <w:tab w:val="left" w:pos="426"/>
          <w:tab w:val="left" w:pos="709"/>
          <w:tab w:val="right" w:pos="5670"/>
          <w:tab w:val="right" w:pos="9072"/>
        </w:tabs>
        <w:spacing w:after="120"/>
        <w:rPr>
          <w:rFonts w:ascii="Arial" w:hAnsi="Arial" w:cs="Arial"/>
          <w:i/>
          <w:sz w:val="20"/>
          <w:szCs w:val="20"/>
        </w:rPr>
      </w:pPr>
    </w:p>
    <w:p w:rsidR="00445B8E" w:rsidRPr="00445B8E" w:rsidRDefault="00445B8E" w:rsidP="00445B8E">
      <w:pPr>
        <w:tabs>
          <w:tab w:val="right" w:pos="8931"/>
        </w:tabs>
        <w:spacing w:before="240"/>
        <w:ind w:firstLine="720"/>
        <w:jc w:val="both"/>
        <w:rPr>
          <w:rFonts w:ascii="Arial" w:hAnsi="Arial" w:cs="Arial"/>
          <w:szCs w:val="20"/>
        </w:rPr>
      </w:pPr>
      <w:r w:rsidRPr="00445B8E">
        <w:rPr>
          <w:rFonts w:ascii="Arial" w:hAnsi="Arial" w:cs="Arial"/>
          <w:szCs w:val="20"/>
        </w:rPr>
        <w:t xml:space="preserve">Finančné prostriedky rozpočtované na krytie výdavkov (nákladov) správneho   fondu ústredia a pobočiek spolu v cieľovom rozpise rozpočtu na tovary a služby v celkovej sume </w:t>
      </w:r>
      <w:r w:rsidRPr="00445B8E">
        <w:rPr>
          <w:rFonts w:ascii="Arial" w:hAnsi="Arial" w:cs="Arial"/>
          <w:szCs w:val="20"/>
        </w:rPr>
        <w:tab/>
        <w:t>42 476 tis. Eur,</w:t>
      </w:r>
      <w:r w:rsidRPr="00445B8E">
        <w:rPr>
          <w:rFonts w:ascii="Arial" w:hAnsi="Arial" w:cs="Arial"/>
          <w:szCs w:val="20"/>
        </w:rPr>
        <w:br/>
        <w:t xml:space="preserve">boli za I. polrok 2011 čerpané   vo výške </w:t>
      </w:r>
      <w:r w:rsidRPr="00445B8E">
        <w:rPr>
          <w:rFonts w:ascii="Arial" w:hAnsi="Arial" w:cs="Arial"/>
          <w:szCs w:val="20"/>
        </w:rPr>
        <w:tab/>
        <w:t xml:space="preserve">18 727 tis. Eur, </w:t>
      </w:r>
      <w:r w:rsidRPr="00445B8E">
        <w:rPr>
          <w:rFonts w:ascii="Arial" w:hAnsi="Arial" w:cs="Arial"/>
          <w:szCs w:val="20"/>
        </w:rPr>
        <w:br/>
        <w:t>čo je plnenie k ročnému rozpočtu na</w:t>
      </w:r>
      <w:r w:rsidRPr="00445B8E">
        <w:rPr>
          <w:rFonts w:ascii="Arial" w:hAnsi="Arial" w:cs="Arial"/>
          <w:szCs w:val="20"/>
        </w:rPr>
        <w:tab/>
        <w:t>44,09 %,</w:t>
      </w:r>
    </w:p>
    <w:p w:rsidR="00445B8E" w:rsidRPr="00445B8E" w:rsidRDefault="00445B8E" w:rsidP="00445B8E">
      <w:pPr>
        <w:tabs>
          <w:tab w:val="right" w:pos="8931"/>
        </w:tabs>
        <w:spacing w:after="120"/>
        <w:jc w:val="both"/>
        <w:rPr>
          <w:rFonts w:ascii="Arial" w:hAnsi="Arial" w:cs="Arial"/>
          <w:szCs w:val="20"/>
        </w:rPr>
      </w:pPr>
      <w:r w:rsidRPr="00445B8E">
        <w:rPr>
          <w:rFonts w:ascii="Arial" w:hAnsi="Arial" w:cs="Arial"/>
          <w:szCs w:val="20"/>
        </w:rPr>
        <w:t>k časovému rozpisu na I. polrok 2011</w:t>
      </w:r>
      <w:r w:rsidRPr="00445B8E">
        <w:rPr>
          <w:rFonts w:ascii="Arial" w:hAnsi="Arial" w:cs="Arial"/>
          <w:szCs w:val="20"/>
        </w:rPr>
        <w:tab/>
        <w:t>85,29%.</w:t>
      </w:r>
    </w:p>
    <w:p w:rsidR="00445B8E" w:rsidRPr="00445B8E" w:rsidRDefault="00445B8E" w:rsidP="00445B8E">
      <w:pPr>
        <w:tabs>
          <w:tab w:val="right" w:pos="8931"/>
        </w:tabs>
        <w:spacing w:before="240" w:after="120"/>
        <w:ind w:firstLine="720"/>
        <w:jc w:val="both"/>
        <w:rPr>
          <w:rFonts w:ascii="Arial" w:hAnsi="Arial" w:cs="Arial"/>
          <w:szCs w:val="20"/>
        </w:rPr>
      </w:pPr>
      <w:r w:rsidRPr="00445B8E">
        <w:rPr>
          <w:rFonts w:ascii="Arial" w:hAnsi="Arial" w:cs="Arial"/>
          <w:szCs w:val="20"/>
        </w:rPr>
        <w:t xml:space="preserve">Finančné prostriedky rozpočtované na krytie výdavkov (nákladov) správneho   fondu ústredia a pobočiek spolu v cieľovom rozpise rozpočtu na bežné transfery v celkovej sume </w:t>
      </w:r>
      <w:r w:rsidRPr="00445B8E">
        <w:rPr>
          <w:rFonts w:ascii="Arial" w:hAnsi="Arial" w:cs="Arial"/>
          <w:szCs w:val="20"/>
        </w:rPr>
        <w:tab/>
        <w:t>2 646 tis. Eur,</w:t>
      </w:r>
      <w:r w:rsidRPr="00445B8E">
        <w:rPr>
          <w:rFonts w:ascii="Arial" w:hAnsi="Arial" w:cs="Arial"/>
          <w:szCs w:val="20"/>
        </w:rPr>
        <w:br/>
        <w:t xml:space="preserve">boli za I. polrok 2011 čerpané   vo výške </w:t>
      </w:r>
      <w:r w:rsidRPr="00445B8E">
        <w:rPr>
          <w:rFonts w:ascii="Arial" w:hAnsi="Arial" w:cs="Arial"/>
          <w:szCs w:val="20"/>
        </w:rPr>
        <w:tab/>
        <w:t xml:space="preserve">2 283 tis. Eur, </w:t>
      </w:r>
      <w:r w:rsidRPr="00445B8E">
        <w:rPr>
          <w:rFonts w:ascii="Arial" w:hAnsi="Arial" w:cs="Arial"/>
          <w:szCs w:val="20"/>
        </w:rPr>
        <w:br/>
        <w:t>čo je plnenie k ročnému rozpočtu na</w:t>
      </w:r>
      <w:r w:rsidRPr="00445B8E">
        <w:rPr>
          <w:rFonts w:ascii="Arial" w:hAnsi="Arial" w:cs="Arial"/>
          <w:szCs w:val="20"/>
        </w:rPr>
        <w:tab/>
        <w:t>86,28 %,</w:t>
      </w:r>
      <w:r w:rsidRPr="00445B8E">
        <w:rPr>
          <w:rFonts w:ascii="Arial" w:hAnsi="Arial" w:cs="Arial"/>
          <w:szCs w:val="20"/>
        </w:rPr>
        <w:br/>
        <w:t xml:space="preserve">k časovému rozpisu na I. polrok 2011 </w:t>
      </w:r>
      <w:r w:rsidRPr="00445B8E">
        <w:rPr>
          <w:rFonts w:ascii="Arial" w:hAnsi="Arial" w:cs="Arial"/>
          <w:szCs w:val="20"/>
        </w:rPr>
        <w:tab/>
        <w:t>95,96%.</w:t>
      </w:r>
    </w:p>
    <w:p w:rsidR="00445B8E" w:rsidRPr="00445B8E" w:rsidRDefault="00445B8E" w:rsidP="00445B8E">
      <w:pPr>
        <w:tabs>
          <w:tab w:val="right" w:pos="4536"/>
          <w:tab w:val="right" w:pos="6663"/>
          <w:tab w:val="right" w:pos="9072"/>
        </w:tabs>
        <w:spacing w:before="240" w:after="120"/>
        <w:ind w:firstLine="720"/>
        <w:rPr>
          <w:rFonts w:ascii="Arial" w:hAnsi="Arial" w:cs="Arial"/>
          <w:szCs w:val="20"/>
        </w:rPr>
      </w:pPr>
      <w:r w:rsidRPr="00445B8E">
        <w:rPr>
          <w:rFonts w:ascii="Arial" w:hAnsi="Arial" w:cs="Arial"/>
          <w:szCs w:val="20"/>
        </w:rPr>
        <w:t xml:space="preserve">Podľa vybraných </w:t>
      </w:r>
      <w:r w:rsidRPr="00445B8E">
        <w:rPr>
          <w:rFonts w:ascii="Arial" w:hAnsi="Arial" w:cs="Arial"/>
          <w:b/>
          <w:szCs w:val="20"/>
        </w:rPr>
        <w:t>nákladových položiek</w:t>
      </w:r>
      <w:r w:rsidRPr="00445B8E">
        <w:rPr>
          <w:rFonts w:ascii="Arial" w:hAnsi="Arial" w:cs="Arial"/>
          <w:szCs w:val="20"/>
        </w:rPr>
        <w:t xml:space="preserve"> analytického členenia bolo použitie správneho fondu takéto:</w:t>
      </w:r>
    </w:p>
    <w:p w:rsidR="00445B8E" w:rsidRPr="00445B8E" w:rsidRDefault="00445B8E" w:rsidP="00445B8E">
      <w:pPr>
        <w:tabs>
          <w:tab w:val="right" w:pos="4536"/>
          <w:tab w:val="right" w:pos="6663"/>
          <w:tab w:val="right" w:pos="9072"/>
        </w:tabs>
        <w:spacing w:before="240" w:after="120"/>
        <w:ind w:firstLine="720"/>
        <w:rPr>
          <w:rFonts w:ascii="Arial" w:hAnsi="Arial" w:cs="Arial"/>
          <w:szCs w:val="20"/>
        </w:rPr>
      </w:pPr>
    </w:p>
    <w:p w:rsidR="00445B8E" w:rsidRPr="00445B8E" w:rsidRDefault="00445B8E" w:rsidP="00445B8E">
      <w:pPr>
        <w:tabs>
          <w:tab w:val="right" w:pos="4536"/>
          <w:tab w:val="right" w:pos="6663"/>
          <w:tab w:val="right" w:pos="9072"/>
        </w:tabs>
        <w:spacing w:before="240" w:after="120"/>
        <w:ind w:firstLine="720"/>
        <w:rPr>
          <w:rFonts w:ascii="Arial" w:hAnsi="Arial" w:cs="Arial"/>
          <w:szCs w:val="20"/>
        </w:rPr>
      </w:pPr>
    </w:p>
    <w:p w:rsidR="00445B8E" w:rsidRPr="00445B8E" w:rsidRDefault="00445B8E" w:rsidP="00445B8E">
      <w:pPr>
        <w:tabs>
          <w:tab w:val="right" w:pos="4536"/>
          <w:tab w:val="right" w:pos="6663"/>
          <w:tab w:val="right" w:pos="9072"/>
        </w:tabs>
        <w:spacing w:before="240" w:after="120"/>
        <w:ind w:firstLine="720"/>
        <w:rPr>
          <w:rFonts w:ascii="Arial" w:hAnsi="Arial" w:cs="Arial"/>
          <w:szCs w:val="20"/>
        </w:rPr>
      </w:pPr>
    </w:p>
    <w:p w:rsidR="00445B8E" w:rsidRPr="00445B8E" w:rsidRDefault="00445B8E" w:rsidP="00445B8E">
      <w:pPr>
        <w:tabs>
          <w:tab w:val="right" w:pos="4536"/>
          <w:tab w:val="right" w:pos="6663"/>
          <w:tab w:val="right" w:pos="9072"/>
        </w:tabs>
        <w:spacing w:after="120"/>
        <w:ind w:firstLine="720"/>
        <w:rPr>
          <w:rFonts w:ascii="Arial" w:hAnsi="Arial" w:cs="Arial"/>
          <w:szCs w:val="20"/>
        </w:rPr>
      </w:pPr>
      <w:r w:rsidRPr="00445B8E">
        <w:rPr>
          <w:rFonts w:ascii="Arial" w:hAnsi="Arial" w:cs="Arial"/>
          <w:sz w:val="20"/>
          <w:szCs w:val="20"/>
        </w:rPr>
        <w:lastRenderedPageBreak/>
        <w:t xml:space="preserve">      </w:t>
      </w:r>
      <w:r w:rsidRPr="00445B8E">
        <w:rPr>
          <w:rFonts w:ascii="Arial" w:hAnsi="Arial" w:cs="Arial"/>
          <w:sz w:val="20"/>
          <w:szCs w:val="20"/>
        </w:rPr>
        <w:tab/>
        <w:t xml:space="preserve">                                                                                                                              v tis. Eur</w:t>
      </w:r>
    </w:p>
    <w:tbl>
      <w:tblPr>
        <w:tblW w:w="8938" w:type="dxa"/>
        <w:tblInd w:w="70" w:type="dxa"/>
        <w:tblCellMar>
          <w:left w:w="70" w:type="dxa"/>
          <w:right w:w="70" w:type="dxa"/>
        </w:tblCellMar>
        <w:tblLook w:val="0000" w:firstRow="0" w:lastRow="0" w:firstColumn="0" w:lastColumn="0" w:noHBand="0" w:noVBand="0"/>
      </w:tblPr>
      <w:tblGrid>
        <w:gridCol w:w="2160"/>
        <w:gridCol w:w="1260"/>
        <w:gridCol w:w="1620"/>
        <w:gridCol w:w="1260"/>
        <w:gridCol w:w="1196"/>
        <w:gridCol w:w="721"/>
        <w:gridCol w:w="721"/>
      </w:tblGrid>
      <w:tr w:rsidR="00445B8E" w:rsidRPr="00445B8E" w:rsidTr="009D0C61">
        <w:trPr>
          <w:trHeight w:val="375"/>
        </w:trPr>
        <w:tc>
          <w:tcPr>
            <w:tcW w:w="2160"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w:t>
            </w:r>
          </w:p>
        </w:tc>
        <w:tc>
          <w:tcPr>
            <w:tcW w:w="1260"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Cieľový</w:t>
            </w:r>
          </w:p>
        </w:tc>
        <w:tc>
          <w:tcPr>
            <w:tcW w:w="1620"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Cieľový</w:t>
            </w:r>
          </w:p>
        </w:tc>
        <w:tc>
          <w:tcPr>
            <w:tcW w:w="1260"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Skutočnosť</w:t>
            </w:r>
          </w:p>
        </w:tc>
        <w:tc>
          <w:tcPr>
            <w:tcW w:w="1196"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Skutočnosť</w:t>
            </w:r>
          </w:p>
        </w:tc>
        <w:tc>
          <w:tcPr>
            <w:tcW w:w="721"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w:t>
            </w:r>
          </w:p>
        </w:tc>
        <w:tc>
          <w:tcPr>
            <w:tcW w:w="721" w:type="dxa"/>
            <w:tcBorders>
              <w:top w:val="single" w:sz="4" w:space="0" w:color="auto"/>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w:t>
            </w:r>
          </w:p>
        </w:tc>
      </w:tr>
      <w:tr w:rsidR="00445B8E" w:rsidRPr="00445B8E" w:rsidTr="009D0C61">
        <w:trPr>
          <w:trHeight w:val="255"/>
        </w:trPr>
        <w:tc>
          <w:tcPr>
            <w:tcW w:w="21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Ukazovateľ</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rozpis</w:t>
            </w:r>
          </w:p>
        </w:tc>
        <w:tc>
          <w:tcPr>
            <w:tcW w:w="162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rozpis</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za mesiac</w:t>
            </w:r>
          </w:p>
        </w:tc>
        <w:tc>
          <w:tcPr>
            <w:tcW w:w="1196"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za I. polrok</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plnenia</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plnenia</w:t>
            </w:r>
          </w:p>
        </w:tc>
      </w:tr>
      <w:tr w:rsidR="00445B8E" w:rsidRPr="00445B8E" w:rsidTr="009D0C61">
        <w:trPr>
          <w:trHeight w:val="246"/>
        </w:trPr>
        <w:tc>
          <w:tcPr>
            <w:tcW w:w="21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xml:space="preserve">rozpočtu </w:t>
            </w:r>
          </w:p>
        </w:tc>
        <w:tc>
          <w:tcPr>
            <w:tcW w:w="162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rozpočtu</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jún 2011</w:t>
            </w:r>
          </w:p>
        </w:tc>
        <w:tc>
          <w:tcPr>
            <w:tcW w:w="1196"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2011</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(4/1)</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(4/2)</w:t>
            </w:r>
          </w:p>
        </w:tc>
      </w:tr>
      <w:tr w:rsidR="00445B8E" w:rsidRPr="00445B8E" w:rsidTr="009D0C61">
        <w:trPr>
          <w:trHeight w:val="255"/>
        </w:trPr>
        <w:tc>
          <w:tcPr>
            <w:tcW w:w="21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na rok  2011</w:t>
            </w:r>
          </w:p>
        </w:tc>
        <w:tc>
          <w:tcPr>
            <w:tcW w:w="162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na I. polrok</w:t>
            </w:r>
          </w:p>
        </w:tc>
        <w:tc>
          <w:tcPr>
            <w:tcW w:w="1260"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p>
        </w:tc>
        <w:tc>
          <w:tcPr>
            <w:tcW w:w="1196"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xml:space="preserve"> </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c>
          <w:tcPr>
            <w:tcW w:w="721" w:type="dxa"/>
            <w:tcBorders>
              <w:top w:val="nil"/>
              <w:left w:val="single" w:sz="4" w:space="0" w:color="auto"/>
              <w:bottom w:val="nil"/>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r>
      <w:tr w:rsidR="00445B8E" w:rsidRPr="00445B8E" w:rsidTr="009D0C61">
        <w:trPr>
          <w:trHeight w:val="255"/>
        </w:trPr>
        <w:tc>
          <w:tcPr>
            <w:tcW w:w="2160"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bCs/>
                <w:sz w:val="18"/>
                <w:szCs w:val="18"/>
              </w:rPr>
            </w:pPr>
            <w:r w:rsidRPr="00445B8E">
              <w:rPr>
                <w:rFonts w:ascii="Arial" w:hAnsi="Arial" w:cs="Arial"/>
                <w:bCs/>
                <w:sz w:val="18"/>
                <w:szCs w:val="18"/>
              </w:rPr>
              <w:t> </w:t>
            </w:r>
          </w:p>
        </w:tc>
        <w:tc>
          <w:tcPr>
            <w:tcW w:w="1260"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w:t>
            </w:r>
          </w:p>
        </w:tc>
        <w:tc>
          <w:tcPr>
            <w:tcW w:w="1620"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r w:rsidRPr="00445B8E">
              <w:rPr>
                <w:rFonts w:ascii="Arial" w:hAnsi="Arial" w:cs="Arial"/>
                <w:bCs/>
                <w:sz w:val="18"/>
                <w:szCs w:val="18"/>
              </w:rPr>
              <w:t xml:space="preserve"> 2011</w:t>
            </w:r>
          </w:p>
        </w:tc>
        <w:tc>
          <w:tcPr>
            <w:tcW w:w="1260"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p>
        </w:tc>
        <w:tc>
          <w:tcPr>
            <w:tcW w:w="1196"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bCs/>
                <w:sz w:val="18"/>
                <w:szCs w:val="18"/>
              </w:rPr>
            </w:pPr>
          </w:p>
        </w:tc>
        <w:tc>
          <w:tcPr>
            <w:tcW w:w="721"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c>
          <w:tcPr>
            <w:tcW w:w="721" w:type="dxa"/>
            <w:tcBorders>
              <w:top w:val="nil"/>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 </w:t>
            </w:r>
          </w:p>
        </w:tc>
      </w:tr>
      <w:tr w:rsidR="00445B8E" w:rsidRPr="00445B8E" w:rsidTr="009D0C61">
        <w:trPr>
          <w:trHeight w:val="27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a</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2</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3</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4</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5</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center"/>
              <w:rPr>
                <w:rFonts w:ascii="Arial" w:hAnsi="Arial" w:cs="Arial"/>
                <w:sz w:val="18"/>
                <w:szCs w:val="18"/>
              </w:rPr>
            </w:pPr>
            <w:r w:rsidRPr="00445B8E">
              <w:rPr>
                <w:rFonts w:ascii="Arial" w:hAnsi="Arial" w:cs="Arial"/>
                <w:sz w:val="18"/>
                <w:szCs w:val="18"/>
              </w:rPr>
              <w:t>6</w:t>
            </w:r>
          </w:p>
        </w:tc>
      </w:tr>
      <w:tr w:rsidR="00445B8E" w:rsidRPr="00445B8E" w:rsidTr="009D0C61">
        <w:trPr>
          <w:trHeight w:val="255"/>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 spotrebované nákupy</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5 560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2 509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235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1 918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34,51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76,47</w:t>
            </w:r>
          </w:p>
        </w:tc>
      </w:tr>
      <w:tr w:rsidR="00445B8E" w:rsidRPr="00445B8E" w:rsidTr="009D0C61">
        <w:trPr>
          <w:trHeight w:val="255"/>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 služby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30 905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16 410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1 561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13 791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44,62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84,04</w:t>
            </w:r>
          </w:p>
        </w:tc>
      </w:tr>
      <w:tr w:rsidR="00445B8E" w:rsidRPr="00445B8E" w:rsidTr="009D0C61">
        <w:trPr>
          <w:trHeight w:val="255"/>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 osobné náklady</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76 538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39 982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6 005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37 063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48,42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92,70 </w:t>
            </w:r>
          </w:p>
        </w:tc>
      </w:tr>
      <w:tr w:rsidR="00445B8E" w:rsidRPr="00445B8E" w:rsidTr="009D0C61">
        <w:trPr>
          <w:trHeight w:val="255"/>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 dane a poplatky</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333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182</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16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246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74,10</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135,80</w:t>
            </w:r>
          </w:p>
        </w:tc>
      </w:tr>
      <w:tr w:rsidR="00445B8E" w:rsidRPr="00445B8E" w:rsidTr="009D0C61">
        <w:trPr>
          <w:trHeight w:val="255"/>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rPr>
                <w:rFonts w:ascii="Arial" w:hAnsi="Arial" w:cs="Arial"/>
                <w:sz w:val="18"/>
                <w:szCs w:val="18"/>
              </w:rPr>
            </w:pPr>
            <w:r w:rsidRPr="00445B8E">
              <w:rPr>
                <w:rFonts w:ascii="Arial" w:hAnsi="Arial" w:cs="Arial"/>
                <w:sz w:val="18"/>
                <w:szCs w:val="18"/>
              </w:rPr>
              <w:t xml:space="preserve"> - ostatné náklady</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2 876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1 454</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284 </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1 462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50,83 </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5B8E" w:rsidRPr="00445B8E" w:rsidRDefault="00445B8E" w:rsidP="00445B8E">
            <w:pPr>
              <w:jc w:val="right"/>
              <w:rPr>
                <w:rFonts w:ascii="Arial" w:hAnsi="Arial" w:cs="Arial"/>
                <w:sz w:val="18"/>
                <w:szCs w:val="18"/>
              </w:rPr>
            </w:pPr>
            <w:r w:rsidRPr="00445B8E">
              <w:rPr>
                <w:rFonts w:ascii="Arial" w:hAnsi="Arial" w:cs="Arial"/>
                <w:sz w:val="18"/>
                <w:szCs w:val="18"/>
              </w:rPr>
              <w:t xml:space="preserve">100,55 </w:t>
            </w:r>
          </w:p>
        </w:tc>
      </w:tr>
    </w:tbl>
    <w:p w:rsidR="00445B8E" w:rsidRPr="00445B8E" w:rsidRDefault="00445B8E" w:rsidP="00445B8E">
      <w:pPr>
        <w:numPr>
          <w:ilvl w:val="2"/>
          <w:numId w:val="11"/>
        </w:numPr>
        <w:tabs>
          <w:tab w:val="right" w:pos="9180"/>
        </w:tabs>
        <w:spacing w:before="480" w:after="120"/>
        <w:jc w:val="both"/>
        <w:rPr>
          <w:rFonts w:ascii="Arial" w:hAnsi="Arial" w:cs="Arial"/>
          <w:b/>
          <w:szCs w:val="20"/>
        </w:rPr>
      </w:pPr>
      <w:r w:rsidRPr="00445B8E">
        <w:rPr>
          <w:rFonts w:ascii="Arial" w:hAnsi="Arial" w:cs="Arial"/>
          <w:b/>
          <w:szCs w:val="20"/>
        </w:rPr>
        <w:t xml:space="preserve">Kapitálové výdavky </w:t>
      </w:r>
    </w:p>
    <w:p w:rsidR="00445B8E" w:rsidRPr="00445B8E" w:rsidRDefault="00445B8E" w:rsidP="00445B8E">
      <w:pPr>
        <w:tabs>
          <w:tab w:val="decimal" w:pos="8100"/>
        </w:tabs>
        <w:spacing w:before="240"/>
        <w:ind w:firstLine="720"/>
        <w:jc w:val="both"/>
        <w:rPr>
          <w:rFonts w:ascii="Arial" w:hAnsi="Arial" w:cs="Arial"/>
          <w:szCs w:val="20"/>
        </w:rPr>
      </w:pPr>
      <w:r w:rsidRPr="00445B8E">
        <w:rPr>
          <w:rFonts w:ascii="Arial" w:hAnsi="Arial" w:cs="Arial"/>
          <w:szCs w:val="20"/>
        </w:rPr>
        <w:t>Vynaložené finančné prostriedky správneho fondu súvisiace s krytím kapitálových výdavkov za I. polrok 2011 boli v sume</w:t>
      </w:r>
      <w:r w:rsidRPr="00445B8E">
        <w:rPr>
          <w:rFonts w:ascii="Arial" w:hAnsi="Arial" w:cs="Arial"/>
          <w:szCs w:val="20"/>
        </w:rPr>
        <w:tab/>
        <w:t xml:space="preserve">  203 tis. Eur,</w:t>
      </w:r>
    </w:p>
    <w:p w:rsidR="00445B8E" w:rsidRPr="00445B8E" w:rsidRDefault="00445B8E" w:rsidP="00445B8E">
      <w:pPr>
        <w:tabs>
          <w:tab w:val="decimal" w:pos="8100"/>
          <w:tab w:val="right" w:pos="9180"/>
        </w:tabs>
        <w:jc w:val="both"/>
        <w:rPr>
          <w:rFonts w:ascii="Arial" w:hAnsi="Arial" w:cs="Arial"/>
          <w:szCs w:val="20"/>
        </w:rPr>
      </w:pPr>
      <w:r w:rsidRPr="00445B8E">
        <w:rPr>
          <w:rFonts w:ascii="Arial" w:hAnsi="Arial" w:cs="Arial"/>
          <w:szCs w:val="20"/>
        </w:rPr>
        <w:t xml:space="preserve">čo z cieľového rozpisu rozpočtu na I. polrok 2011 </w:t>
      </w:r>
      <w:r w:rsidRPr="00445B8E">
        <w:rPr>
          <w:rFonts w:ascii="Arial" w:hAnsi="Arial" w:cs="Arial"/>
          <w:szCs w:val="20"/>
        </w:rPr>
        <w:tab/>
        <w:t xml:space="preserve"> 871 tis. Eur, </w:t>
      </w:r>
    </w:p>
    <w:p w:rsidR="00445B8E" w:rsidRPr="00445B8E" w:rsidRDefault="00445B8E" w:rsidP="00445B8E">
      <w:pPr>
        <w:tabs>
          <w:tab w:val="decimal" w:pos="8100"/>
          <w:tab w:val="right" w:pos="9180"/>
        </w:tabs>
        <w:jc w:val="both"/>
        <w:rPr>
          <w:rFonts w:ascii="Arial" w:hAnsi="Arial" w:cs="Arial"/>
          <w:szCs w:val="20"/>
        </w:rPr>
      </w:pPr>
      <w:r w:rsidRPr="00445B8E">
        <w:rPr>
          <w:rFonts w:ascii="Arial" w:hAnsi="Arial" w:cs="Arial"/>
          <w:szCs w:val="20"/>
        </w:rPr>
        <w:t>je plnenie na</w:t>
      </w:r>
      <w:r w:rsidRPr="00445B8E">
        <w:rPr>
          <w:rFonts w:ascii="Arial" w:hAnsi="Arial" w:cs="Arial"/>
          <w:szCs w:val="20"/>
        </w:rPr>
        <w:tab/>
        <w:t xml:space="preserve"> 23,31 %,</w:t>
      </w:r>
    </w:p>
    <w:p w:rsidR="00445B8E" w:rsidRPr="00445B8E" w:rsidRDefault="00445B8E" w:rsidP="00445B8E">
      <w:pPr>
        <w:tabs>
          <w:tab w:val="decimal" w:pos="8100"/>
          <w:tab w:val="right" w:pos="9180"/>
        </w:tabs>
        <w:jc w:val="both"/>
        <w:rPr>
          <w:rFonts w:ascii="Arial" w:hAnsi="Arial" w:cs="Arial"/>
          <w:szCs w:val="20"/>
        </w:rPr>
      </w:pPr>
      <w:r w:rsidRPr="00445B8E">
        <w:rPr>
          <w:rFonts w:ascii="Arial" w:hAnsi="Arial" w:cs="Arial"/>
          <w:szCs w:val="20"/>
        </w:rPr>
        <w:t xml:space="preserve">a z cieľového rozpisu rozpočtu na rok  2011 </w:t>
      </w:r>
      <w:r w:rsidRPr="00445B8E">
        <w:rPr>
          <w:rFonts w:ascii="Arial" w:hAnsi="Arial" w:cs="Arial"/>
          <w:szCs w:val="20"/>
        </w:rPr>
        <w:tab/>
        <w:t xml:space="preserve">3 091 tis. Eur, </w:t>
      </w:r>
    </w:p>
    <w:p w:rsidR="00445B8E" w:rsidRPr="00445B8E" w:rsidRDefault="00445B8E" w:rsidP="00445B8E">
      <w:pPr>
        <w:tabs>
          <w:tab w:val="decimal" w:pos="8100"/>
          <w:tab w:val="right" w:pos="9180"/>
        </w:tabs>
        <w:jc w:val="both"/>
        <w:rPr>
          <w:rFonts w:ascii="Arial" w:hAnsi="Arial" w:cs="Arial"/>
          <w:szCs w:val="20"/>
        </w:rPr>
      </w:pPr>
      <w:r w:rsidRPr="00445B8E">
        <w:rPr>
          <w:rFonts w:ascii="Arial" w:hAnsi="Arial" w:cs="Arial"/>
          <w:szCs w:val="20"/>
        </w:rPr>
        <w:t>je plnenie na</w:t>
      </w:r>
      <w:r w:rsidRPr="00445B8E">
        <w:rPr>
          <w:rFonts w:ascii="Arial" w:hAnsi="Arial" w:cs="Arial"/>
          <w:szCs w:val="20"/>
        </w:rPr>
        <w:tab/>
        <w:t xml:space="preserve"> 6,57 %,</w:t>
      </w:r>
    </w:p>
    <w:p w:rsidR="00445B8E" w:rsidRPr="00445B8E" w:rsidRDefault="00445B8E" w:rsidP="00445B8E">
      <w:pPr>
        <w:tabs>
          <w:tab w:val="decimal" w:pos="8100"/>
          <w:tab w:val="right" w:pos="9180"/>
        </w:tabs>
        <w:jc w:val="both"/>
        <w:rPr>
          <w:rFonts w:ascii="Arial" w:hAnsi="Arial" w:cs="Arial"/>
          <w:szCs w:val="20"/>
        </w:rPr>
      </w:pPr>
      <w:r w:rsidRPr="00445B8E">
        <w:rPr>
          <w:rFonts w:ascii="Arial" w:hAnsi="Arial" w:cs="Arial"/>
          <w:szCs w:val="20"/>
        </w:rPr>
        <w:t>ktoré v rámci vecného plnenia boli použité na obstaranie hmotného majetku.</w:t>
      </w:r>
    </w:p>
    <w:p w:rsidR="00445B8E" w:rsidRPr="00445B8E" w:rsidRDefault="00445B8E" w:rsidP="00445B8E">
      <w:pPr>
        <w:tabs>
          <w:tab w:val="decimal" w:pos="8100"/>
          <w:tab w:val="right" w:pos="9180"/>
        </w:tabs>
        <w:spacing w:before="240"/>
        <w:ind w:firstLine="709"/>
        <w:jc w:val="both"/>
        <w:rPr>
          <w:rFonts w:ascii="Arial" w:hAnsi="Arial" w:cs="Arial"/>
          <w:szCs w:val="20"/>
        </w:rPr>
      </w:pPr>
      <w:r w:rsidRPr="00445B8E">
        <w:rPr>
          <w:rFonts w:ascii="Arial" w:hAnsi="Arial" w:cs="Arial"/>
          <w:szCs w:val="20"/>
        </w:rPr>
        <w:tab/>
        <w:t>V kategórii kapitálových výdavkov boli čerpané finančné prostriedky nasledovne:</w:t>
      </w:r>
    </w:p>
    <w:p w:rsidR="00445B8E" w:rsidRPr="00445B8E" w:rsidRDefault="00445B8E" w:rsidP="00445B8E">
      <w:pPr>
        <w:tabs>
          <w:tab w:val="decimal" w:pos="8100"/>
          <w:tab w:val="right" w:pos="9180"/>
        </w:tabs>
        <w:jc w:val="both"/>
        <w:rPr>
          <w:rFonts w:ascii="Arial" w:hAnsi="Arial" w:cs="Arial"/>
          <w:szCs w:val="20"/>
        </w:rPr>
      </w:pPr>
      <w:r w:rsidRPr="00445B8E">
        <w:rPr>
          <w:rFonts w:ascii="Arial" w:hAnsi="Arial" w:cs="Arial"/>
          <w:szCs w:val="20"/>
        </w:rPr>
        <w:t xml:space="preserve">- na položke prípravná a projektová dokumentácia vo výške </w:t>
      </w:r>
      <w:r w:rsidRPr="00445B8E">
        <w:rPr>
          <w:rFonts w:ascii="Arial" w:hAnsi="Arial" w:cs="Arial"/>
          <w:szCs w:val="20"/>
        </w:rPr>
        <w:tab/>
        <w:t>16 tis. Eur,</w:t>
      </w:r>
    </w:p>
    <w:p w:rsidR="00445B8E" w:rsidRPr="00445B8E" w:rsidRDefault="00445B8E" w:rsidP="00445B8E">
      <w:pPr>
        <w:tabs>
          <w:tab w:val="decimal" w:pos="8100"/>
          <w:tab w:val="right" w:pos="9180"/>
        </w:tabs>
        <w:jc w:val="both"/>
        <w:rPr>
          <w:rFonts w:ascii="Arial" w:hAnsi="Arial" w:cs="Arial"/>
          <w:szCs w:val="20"/>
        </w:rPr>
      </w:pPr>
      <w:r w:rsidRPr="00445B8E">
        <w:rPr>
          <w:rFonts w:ascii="Arial" w:hAnsi="Arial" w:cs="Arial"/>
          <w:szCs w:val="20"/>
        </w:rPr>
        <w:t>- na položke realizácia stavieb a ich technické zhodnotenie vo výške</w:t>
      </w:r>
      <w:r w:rsidRPr="00445B8E">
        <w:rPr>
          <w:rFonts w:ascii="Arial" w:hAnsi="Arial" w:cs="Arial"/>
          <w:szCs w:val="20"/>
        </w:rPr>
        <w:tab/>
        <w:t xml:space="preserve">187 tis. Eur. </w:t>
      </w:r>
    </w:p>
    <w:p w:rsidR="00445B8E" w:rsidRPr="00445B8E" w:rsidRDefault="00445B8E" w:rsidP="00445B8E">
      <w:pPr>
        <w:tabs>
          <w:tab w:val="left" w:pos="720"/>
          <w:tab w:val="decimal" w:pos="8222"/>
        </w:tabs>
        <w:spacing w:before="240" w:after="120"/>
        <w:jc w:val="both"/>
        <w:rPr>
          <w:rFonts w:ascii="Arial" w:hAnsi="Arial"/>
          <w:b/>
          <w:sz w:val="28"/>
          <w:szCs w:val="28"/>
        </w:rPr>
      </w:pPr>
      <w:r w:rsidRPr="00445B8E">
        <w:rPr>
          <w:rFonts w:ascii="Arial" w:hAnsi="Arial"/>
          <w:b/>
          <w:sz w:val="28"/>
          <w:szCs w:val="28"/>
        </w:rPr>
        <w:t>4.</w:t>
      </w:r>
      <w:r w:rsidRPr="00445B8E">
        <w:rPr>
          <w:rFonts w:ascii="Arial" w:hAnsi="Arial"/>
          <w:b/>
          <w:sz w:val="28"/>
          <w:szCs w:val="28"/>
        </w:rPr>
        <w:tab/>
        <w:t>Výdavky na dávky, ktoré hradí štát</w:t>
      </w:r>
    </w:p>
    <w:p w:rsidR="00445B8E" w:rsidRPr="00445B8E" w:rsidRDefault="00445B8E" w:rsidP="00445B8E">
      <w:pPr>
        <w:tabs>
          <w:tab w:val="decimal" w:pos="8280"/>
        </w:tabs>
        <w:spacing w:after="120"/>
        <w:ind w:firstLine="709"/>
        <w:jc w:val="both"/>
        <w:rPr>
          <w:rFonts w:ascii="Arial" w:hAnsi="Arial"/>
          <w:szCs w:val="20"/>
        </w:rPr>
      </w:pPr>
      <w:r w:rsidRPr="00445B8E">
        <w:rPr>
          <w:rFonts w:ascii="Arial" w:hAnsi="Arial"/>
          <w:szCs w:val="20"/>
        </w:rPr>
        <w:t xml:space="preserve">Na výplatu dávok, ktoré uhrádza štát podľa § 168a a § 285 písm. a) až m) zákona o sociálnom poistení, poukázalo MPSVR SR Sociálnej poisťovni v hodnotenom období finančné prostriedky v sume </w:t>
      </w:r>
      <w:r w:rsidRPr="00445B8E">
        <w:rPr>
          <w:rFonts w:ascii="Arial" w:hAnsi="Arial"/>
          <w:szCs w:val="20"/>
        </w:rPr>
        <w:tab/>
        <w:t>21 994 tis. Eur.</w:t>
      </w:r>
    </w:p>
    <w:p w:rsidR="00445B8E" w:rsidRPr="00445B8E" w:rsidRDefault="00445B8E" w:rsidP="00445B8E">
      <w:pPr>
        <w:tabs>
          <w:tab w:val="decimal" w:pos="8280"/>
        </w:tabs>
        <w:spacing w:after="120"/>
        <w:ind w:firstLine="709"/>
        <w:jc w:val="both"/>
        <w:rPr>
          <w:rFonts w:ascii="Arial" w:hAnsi="Arial"/>
          <w:szCs w:val="20"/>
        </w:rPr>
      </w:pPr>
      <w:r w:rsidRPr="00445B8E">
        <w:rPr>
          <w:rFonts w:ascii="Arial" w:hAnsi="Arial"/>
          <w:szCs w:val="20"/>
        </w:rPr>
        <w:t>Tieto dávky boli vyplatené v sume</w:t>
      </w:r>
      <w:r w:rsidRPr="00445B8E">
        <w:rPr>
          <w:rFonts w:ascii="Arial" w:hAnsi="Arial"/>
          <w:szCs w:val="20"/>
        </w:rPr>
        <w:tab/>
        <w:t>23 077 tis. Eur,</w:t>
      </w:r>
      <w:r w:rsidRPr="00445B8E">
        <w:rPr>
          <w:rFonts w:ascii="Arial" w:hAnsi="Arial"/>
          <w:szCs w:val="20"/>
        </w:rPr>
        <w:br/>
        <w:t xml:space="preserve">čo zo schváleného rozpočtu na rok 2011 v sume </w:t>
      </w:r>
      <w:r w:rsidRPr="00445B8E">
        <w:rPr>
          <w:rFonts w:ascii="Arial" w:hAnsi="Arial"/>
          <w:szCs w:val="20"/>
        </w:rPr>
        <w:tab/>
        <w:t>44 799 tis. Eur,</w:t>
      </w:r>
      <w:r w:rsidRPr="00445B8E">
        <w:rPr>
          <w:rFonts w:ascii="Arial" w:hAnsi="Arial"/>
          <w:szCs w:val="20"/>
        </w:rPr>
        <w:br/>
        <w:t xml:space="preserve">predstavuje plnenie na </w:t>
      </w:r>
      <w:r w:rsidRPr="00445B8E">
        <w:rPr>
          <w:rFonts w:ascii="Arial" w:hAnsi="Arial"/>
          <w:szCs w:val="20"/>
        </w:rPr>
        <w:tab/>
        <w:t>51,51 %.</w:t>
      </w:r>
    </w:p>
    <w:p w:rsidR="00445B8E" w:rsidRPr="00445B8E" w:rsidRDefault="00445B8E" w:rsidP="00445B8E">
      <w:pPr>
        <w:tabs>
          <w:tab w:val="decimal" w:pos="8280"/>
        </w:tabs>
        <w:spacing w:after="120"/>
        <w:ind w:firstLine="709"/>
        <w:jc w:val="both"/>
        <w:rPr>
          <w:rFonts w:ascii="Arial" w:hAnsi="Arial"/>
          <w:szCs w:val="20"/>
        </w:rPr>
      </w:pPr>
      <w:r w:rsidRPr="00445B8E">
        <w:rPr>
          <w:rFonts w:ascii="Arial" w:hAnsi="Arial"/>
          <w:szCs w:val="20"/>
        </w:rPr>
        <w:t>Súčasťou dávok, ktoré hradí štát sú tiež výdavky na vianočný príspevok a náklady spojené s jeho výplatou, ktoré boli v hodnotenom období vyplatené v sume 1 150 tis. Eur a výdavky na príplatok k dôchodku politickým väzňom a náklady spojené s jeho výplatou, ktoré predstavovali sumu 1 600 tis. Eur.</w:t>
      </w:r>
    </w:p>
    <w:p w:rsidR="00445B8E" w:rsidRPr="00445B8E" w:rsidRDefault="00445B8E" w:rsidP="00445B8E">
      <w:pPr>
        <w:tabs>
          <w:tab w:val="center" w:pos="-3119"/>
        </w:tabs>
        <w:spacing w:after="120"/>
        <w:ind w:firstLine="709"/>
        <w:jc w:val="both"/>
        <w:rPr>
          <w:rFonts w:ascii="Arial" w:hAnsi="Arial"/>
          <w:szCs w:val="20"/>
        </w:rPr>
      </w:pPr>
      <w:r w:rsidRPr="00445B8E">
        <w:rPr>
          <w:rFonts w:ascii="Arial" w:hAnsi="Arial"/>
          <w:szCs w:val="20"/>
        </w:rPr>
        <w:t xml:space="preserve">Z rozdielu príjmov a výdavkov v hodnotenom období vyplýva pohľadávka Sociálnej poisťovne voči MPSVR SR v sume 1 083 tis. Eur. V zmysle Zmluvy o poukazovaní rozpočtových prostriedkov, ktoré poskytuje štát na úhradu nákladov na plnenia podľa § 168a a § 285 písm. a) až m) zákona o sociálnom poistení a o ich zúčtovaní sa pohľadávka </w:t>
      </w:r>
      <w:proofErr w:type="spellStart"/>
      <w:r w:rsidRPr="00445B8E">
        <w:rPr>
          <w:rFonts w:ascii="Arial" w:hAnsi="Arial"/>
          <w:szCs w:val="20"/>
        </w:rPr>
        <w:t>vysporiada</w:t>
      </w:r>
      <w:proofErr w:type="spellEnd"/>
      <w:r w:rsidRPr="00445B8E">
        <w:rPr>
          <w:rFonts w:ascii="Arial" w:hAnsi="Arial"/>
          <w:szCs w:val="20"/>
        </w:rPr>
        <w:t xml:space="preserve"> pri poukazovaní zálohy na nasledujúci mesiac.  </w:t>
      </w:r>
    </w:p>
    <w:p w:rsidR="00445B8E" w:rsidRPr="00445B8E" w:rsidRDefault="00445B8E" w:rsidP="00445B8E">
      <w:pPr>
        <w:spacing w:after="120"/>
        <w:ind w:firstLine="708"/>
        <w:jc w:val="both"/>
        <w:rPr>
          <w:rFonts w:ascii="Arial" w:hAnsi="Arial"/>
          <w:szCs w:val="20"/>
        </w:rPr>
      </w:pPr>
      <w:r w:rsidRPr="00445B8E">
        <w:rPr>
          <w:rFonts w:ascii="Arial" w:hAnsi="Arial"/>
          <w:szCs w:val="20"/>
        </w:rPr>
        <w:t>Od 1. septembra 2009 vypláca Sociálna poisťovňa ďalšiu dávku, ktorú uhrádza štát. Ide o p</w:t>
      </w:r>
      <w:r w:rsidRPr="00445B8E">
        <w:rPr>
          <w:rFonts w:ascii="Arial" w:hAnsi="Arial" w:cs="Arial"/>
          <w:bCs/>
        </w:rPr>
        <w:t xml:space="preserve">ríspevok účastníkom národného boja za oslobodenie a vdovám a vdovcom po týchto osobách (ďalej len „príspevok“) podľa § 285 písm. n) zákona </w:t>
      </w:r>
      <w:r w:rsidRPr="00445B8E">
        <w:rPr>
          <w:rFonts w:ascii="Arial" w:hAnsi="Arial" w:cs="Arial"/>
          <w:bCs/>
        </w:rPr>
        <w:lastRenderedPageBreak/>
        <w:t xml:space="preserve">o sociálnom poistení v znení </w:t>
      </w:r>
      <w:hyperlink r:id="rId17" w:tgtFrame="_blank" w:history="1">
        <w:r w:rsidRPr="00445B8E">
          <w:rPr>
            <w:rFonts w:ascii="Arial" w:hAnsi="Arial" w:cs="Arial"/>
            <w:bCs/>
          </w:rPr>
          <w:t>zákona č. 285/2009 Z. z o poskytovaní príspevku účastníkom národného boja za oslobodenie a vdovám a vdovcom po týchto osobách a o zmene a doplnení niektorých zákonov.</w:t>
        </w:r>
      </w:hyperlink>
      <w:r w:rsidRPr="00445B8E">
        <w:rPr>
          <w:rFonts w:ascii="Arial" w:hAnsi="Arial" w:cs="Arial"/>
          <w:bCs/>
        </w:rPr>
        <w:t xml:space="preserve"> </w:t>
      </w:r>
      <w:r w:rsidRPr="00445B8E">
        <w:rPr>
          <w:rFonts w:ascii="Arial" w:hAnsi="Arial"/>
          <w:szCs w:val="20"/>
        </w:rPr>
        <w:t>F</w:t>
      </w:r>
      <w:r w:rsidRPr="00445B8E">
        <w:rPr>
          <w:rFonts w:ascii="Arial" w:hAnsi="Arial" w:cs="Arial"/>
          <w:bCs/>
        </w:rPr>
        <w:t xml:space="preserve">inančné prostriedky poukazuje Sociálnej poisťovni Ministerstvo obrany Slovenskej republiky (MO SR) v mesačnej periodicite na základe vyčíslenia sumy, ktorá bola vyplatená na príspevok a na úhradu výdavkov spojených s jeho výplatou. </w:t>
      </w:r>
    </w:p>
    <w:p w:rsidR="00445B8E" w:rsidRPr="00445B8E" w:rsidRDefault="00445B8E" w:rsidP="00445B8E">
      <w:pPr>
        <w:tabs>
          <w:tab w:val="left" w:pos="7560"/>
        </w:tabs>
        <w:spacing w:after="120"/>
        <w:ind w:firstLine="720"/>
        <w:jc w:val="both"/>
        <w:rPr>
          <w:rFonts w:ascii="Arial" w:hAnsi="Arial"/>
          <w:szCs w:val="20"/>
        </w:rPr>
      </w:pPr>
      <w:r w:rsidRPr="00445B8E">
        <w:rPr>
          <w:rFonts w:ascii="Arial" w:hAnsi="Arial"/>
          <w:szCs w:val="20"/>
        </w:rPr>
        <w:t xml:space="preserve">Výdavky na príspevok a na úhradu výdavkov spojených s jeho výplatou boli v hodnotenom období vyčíslené v sume 1 069 tis. Eur. MO SR Sociálnej poisťovni v hodnotenom období poukázalo finančné prostriedky na výdavky, ktoré sa viažu k hodnotenému obdobiu roka 2011 v sume 717 tis. Eur. Záväzok MO SR voči Sociálnej poisťovni v sume 352 tis. Eur bude vyrovnaný v nasledujúcom období. </w:t>
      </w:r>
    </w:p>
    <w:p w:rsidR="00445B8E" w:rsidRPr="00445B8E" w:rsidRDefault="00445B8E" w:rsidP="00445B8E">
      <w:pPr>
        <w:widowControl w:val="0"/>
        <w:tabs>
          <w:tab w:val="left" w:pos="709"/>
        </w:tabs>
        <w:spacing w:before="240" w:after="120"/>
        <w:jc w:val="both"/>
        <w:rPr>
          <w:rFonts w:ascii="Arial" w:hAnsi="Arial"/>
          <w:b/>
          <w:sz w:val="28"/>
          <w:szCs w:val="28"/>
        </w:rPr>
      </w:pPr>
      <w:r w:rsidRPr="00445B8E">
        <w:rPr>
          <w:rFonts w:ascii="Arial" w:hAnsi="Arial"/>
          <w:b/>
          <w:sz w:val="28"/>
          <w:szCs w:val="28"/>
        </w:rPr>
        <w:t>5.</w:t>
      </w:r>
      <w:r w:rsidRPr="00445B8E">
        <w:rPr>
          <w:rFonts w:ascii="Arial" w:hAnsi="Arial"/>
          <w:b/>
          <w:sz w:val="28"/>
          <w:szCs w:val="28"/>
        </w:rPr>
        <w:tab/>
        <w:t>Záver</w:t>
      </w:r>
    </w:p>
    <w:p w:rsidR="00445B8E" w:rsidRPr="00445B8E" w:rsidRDefault="00445B8E" w:rsidP="00445B8E">
      <w:pPr>
        <w:widowControl w:val="0"/>
        <w:tabs>
          <w:tab w:val="left" w:pos="709"/>
        </w:tabs>
        <w:spacing w:after="120"/>
        <w:ind w:firstLine="720"/>
        <w:jc w:val="both"/>
        <w:rPr>
          <w:rFonts w:ascii="Arial" w:hAnsi="Arial" w:cs="Arial"/>
        </w:rPr>
      </w:pPr>
      <w:r w:rsidRPr="00445B8E">
        <w:rPr>
          <w:rFonts w:ascii="Arial" w:hAnsi="Arial" w:cs="Arial"/>
        </w:rPr>
        <w:t>Z porovnania skutočných príjmov a výdavkov Sociálnej poisťovne k 30. júnu 2011 vyplývajú takéto bilančné rozdiely v hospodárení Sociálnej poisťovne podľa jednotlivých fondov:</w:t>
      </w:r>
    </w:p>
    <w:tbl>
      <w:tblPr>
        <w:tblW w:w="8526" w:type="dxa"/>
        <w:tblInd w:w="55" w:type="dxa"/>
        <w:tblCellMar>
          <w:left w:w="70" w:type="dxa"/>
          <w:right w:w="70" w:type="dxa"/>
        </w:tblCellMar>
        <w:tblLook w:val="04A0" w:firstRow="1" w:lastRow="0" w:firstColumn="1" w:lastColumn="0" w:noHBand="0" w:noVBand="1"/>
      </w:tblPr>
      <w:tblGrid>
        <w:gridCol w:w="3866"/>
        <w:gridCol w:w="1100"/>
        <w:gridCol w:w="1280"/>
        <w:gridCol w:w="1386"/>
        <w:gridCol w:w="1030"/>
      </w:tblGrid>
      <w:tr w:rsidR="00445B8E" w:rsidRPr="00445B8E" w:rsidTr="009D0C61">
        <w:trPr>
          <w:trHeight w:val="255"/>
        </w:trPr>
        <w:tc>
          <w:tcPr>
            <w:tcW w:w="3866"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10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28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28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p>
        </w:tc>
        <w:tc>
          <w:tcPr>
            <w:tcW w:w="100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v tis. Eur</w:t>
            </w:r>
          </w:p>
        </w:tc>
      </w:tr>
      <w:tr w:rsidR="00445B8E" w:rsidRPr="00445B8E" w:rsidTr="009D0C61">
        <w:trPr>
          <w:trHeight w:val="1020"/>
        </w:trPr>
        <w:tc>
          <w:tcPr>
            <w:tcW w:w="38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 xml:space="preserve">Fond  </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Bilančný rozdiel v bežnom roku</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Prevod zostatku z roku 2010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 xml:space="preserve">Krytie deficitu  v dôchodkovom poistení </w:t>
            </w:r>
          </w:p>
        </w:tc>
        <w:tc>
          <w:tcPr>
            <w:tcW w:w="100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0"/>
                <w:szCs w:val="20"/>
              </w:rPr>
            </w:pPr>
            <w:r w:rsidRPr="00445B8E">
              <w:rPr>
                <w:rFonts w:ascii="Arial" w:hAnsi="Arial" w:cs="Arial"/>
                <w:sz w:val="20"/>
                <w:szCs w:val="20"/>
              </w:rPr>
              <w:t>Bilančný rozdiel k 30.6.2011</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nemocenského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-9 719</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74 361</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0</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64 642</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starobného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-486 507</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129 955</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415 000</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58 448</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invalidného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31 737</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24 867</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 </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56 604</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úrazového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39 383</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70 603</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-70 000</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39 986</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garančného poistenia</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8 979</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26 182</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 </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35 161</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Základný fond poistenia v nezamestnanosti</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54 552</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59 345</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 </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113 897</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Rezervný fond solidarity</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399 029</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9 882</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-345 000</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63 911</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Správny fond</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39</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40 472</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 </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40 511</w:t>
            </w:r>
          </w:p>
        </w:tc>
      </w:tr>
      <w:tr w:rsidR="00445B8E" w:rsidRPr="00445B8E" w:rsidTr="009D0C61">
        <w:trPr>
          <w:trHeight w:val="255"/>
        </w:trPr>
        <w:tc>
          <w:tcPr>
            <w:tcW w:w="3866"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0"/>
                <w:szCs w:val="20"/>
              </w:rPr>
            </w:pPr>
            <w:r w:rsidRPr="00445B8E">
              <w:rPr>
                <w:rFonts w:ascii="Arial" w:hAnsi="Arial" w:cs="Arial"/>
                <w:sz w:val="20"/>
                <w:szCs w:val="20"/>
              </w:rPr>
              <w:t>Spolu</w:t>
            </w:r>
          </w:p>
        </w:tc>
        <w:tc>
          <w:tcPr>
            <w:tcW w:w="11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37 493</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435 667</w:t>
            </w:r>
          </w:p>
        </w:tc>
        <w:tc>
          <w:tcPr>
            <w:tcW w:w="128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0</w:t>
            </w:r>
          </w:p>
        </w:tc>
        <w:tc>
          <w:tcPr>
            <w:tcW w:w="10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0"/>
                <w:szCs w:val="20"/>
              </w:rPr>
            </w:pPr>
            <w:r w:rsidRPr="00445B8E">
              <w:rPr>
                <w:rFonts w:ascii="Arial" w:hAnsi="Arial" w:cs="Arial"/>
                <w:sz w:val="20"/>
                <w:szCs w:val="20"/>
              </w:rPr>
              <w:t>473 160</w:t>
            </w:r>
          </w:p>
        </w:tc>
      </w:tr>
    </w:tbl>
    <w:p w:rsidR="00445B8E" w:rsidRPr="00445B8E" w:rsidRDefault="00445B8E" w:rsidP="00445B8E">
      <w:pPr>
        <w:widowControl w:val="0"/>
        <w:tabs>
          <w:tab w:val="left" w:pos="709"/>
        </w:tabs>
        <w:spacing w:after="120"/>
        <w:ind w:firstLine="720"/>
        <w:jc w:val="both"/>
        <w:rPr>
          <w:rFonts w:ascii="Arial" w:hAnsi="Arial" w:cs="Arial"/>
        </w:rPr>
      </w:pPr>
    </w:p>
    <w:p w:rsidR="00445B8E" w:rsidRPr="00445B8E" w:rsidRDefault="00445B8E" w:rsidP="00445B8E">
      <w:pPr>
        <w:tabs>
          <w:tab w:val="decimal" w:pos="8100"/>
        </w:tabs>
        <w:spacing w:before="240" w:after="120"/>
        <w:ind w:right="-159" w:firstLine="720"/>
        <w:jc w:val="both"/>
        <w:rPr>
          <w:rFonts w:ascii="Arial" w:hAnsi="Arial" w:cs="Arial"/>
          <w:szCs w:val="20"/>
        </w:rPr>
      </w:pPr>
      <w:r w:rsidRPr="00445B8E">
        <w:rPr>
          <w:rFonts w:ascii="Arial" w:hAnsi="Arial" w:cs="Arial"/>
          <w:szCs w:val="20"/>
        </w:rPr>
        <w:t>Hospodárenie Sociálnej poisťovne v sledovanom období skončilo s výsledkom lepším o 146 799 tis. Eur, ako sa predpokladalo v časovom rozpise.</w:t>
      </w:r>
    </w:p>
    <w:p w:rsidR="00445B8E" w:rsidRPr="00445B8E" w:rsidRDefault="00445B8E" w:rsidP="00445B8E">
      <w:pPr>
        <w:tabs>
          <w:tab w:val="decimal" w:pos="8100"/>
        </w:tabs>
        <w:spacing w:after="120"/>
        <w:ind w:right="-159"/>
        <w:jc w:val="center"/>
        <w:rPr>
          <w:rFonts w:ascii="Arial" w:hAnsi="Arial" w:cs="Arial"/>
          <w:szCs w:val="20"/>
        </w:rPr>
      </w:pPr>
      <w:r w:rsidRPr="00445B8E">
        <w:rPr>
          <w:rFonts w:ascii="Arial" w:hAnsi="Arial" w:cs="Arial"/>
          <w:szCs w:val="20"/>
        </w:rPr>
        <w:t xml:space="preserve">x  </w:t>
      </w:r>
      <w:proofErr w:type="spellStart"/>
      <w:r w:rsidRPr="00445B8E">
        <w:rPr>
          <w:rFonts w:ascii="Arial" w:hAnsi="Arial" w:cs="Arial"/>
          <w:szCs w:val="20"/>
        </w:rPr>
        <w:t>x</w:t>
      </w:r>
      <w:proofErr w:type="spellEnd"/>
      <w:r w:rsidRPr="00445B8E">
        <w:rPr>
          <w:rFonts w:ascii="Arial" w:hAnsi="Arial" w:cs="Arial"/>
          <w:szCs w:val="20"/>
        </w:rPr>
        <w:t xml:space="preserve">  </w:t>
      </w:r>
      <w:proofErr w:type="spellStart"/>
      <w:r w:rsidRPr="00445B8E">
        <w:rPr>
          <w:rFonts w:ascii="Arial" w:hAnsi="Arial" w:cs="Arial"/>
          <w:szCs w:val="20"/>
        </w:rPr>
        <w:t>x</w:t>
      </w:r>
      <w:proofErr w:type="spellEnd"/>
    </w:p>
    <w:p w:rsidR="00445B8E" w:rsidRPr="00445B8E" w:rsidRDefault="00445B8E" w:rsidP="00445B8E">
      <w:pPr>
        <w:spacing w:after="120"/>
        <w:jc w:val="center"/>
        <w:rPr>
          <w:rFonts w:ascii="Arial" w:hAnsi="Arial" w:cs="Arial"/>
          <w:b/>
          <w:szCs w:val="20"/>
        </w:rPr>
      </w:pPr>
      <w:r w:rsidRPr="00445B8E">
        <w:rPr>
          <w:rFonts w:ascii="Arial" w:hAnsi="Arial" w:cs="Arial"/>
          <w:b/>
          <w:szCs w:val="20"/>
        </w:rPr>
        <w:t>Informácia o príspevkoch na SDS v mesiacoch január až jún 2011</w:t>
      </w:r>
    </w:p>
    <w:p w:rsidR="00445B8E" w:rsidRPr="00445B8E" w:rsidRDefault="00445B8E" w:rsidP="00445B8E">
      <w:pPr>
        <w:tabs>
          <w:tab w:val="decimal" w:pos="8280"/>
        </w:tabs>
        <w:spacing w:after="120"/>
        <w:ind w:firstLine="709"/>
        <w:jc w:val="both"/>
        <w:rPr>
          <w:rFonts w:ascii="Arial" w:hAnsi="Arial" w:cs="Arial"/>
          <w:szCs w:val="20"/>
        </w:rPr>
      </w:pPr>
      <w:r w:rsidRPr="00445B8E">
        <w:rPr>
          <w:rFonts w:ascii="Arial" w:hAnsi="Arial" w:cs="Arial"/>
          <w:szCs w:val="20"/>
        </w:rPr>
        <w:t>Sociálna poisťovňa vybrala príspevky na SDS vo výške</w:t>
      </w:r>
      <w:r w:rsidRPr="00445B8E">
        <w:rPr>
          <w:rFonts w:ascii="Arial" w:hAnsi="Arial" w:cs="Arial"/>
          <w:szCs w:val="20"/>
        </w:rPr>
        <w:tab/>
        <w:t>385 770 tis. Eur,</w:t>
      </w:r>
      <w:r w:rsidRPr="00445B8E">
        <w:rPr>
          <w:rFonts w:ascii="Arial" w:hAnsi="Arial" w:cs="Arial"/>
          <w:szCs w:val="20"/>
        </w:rPr>
        <w:br/>
        <w:t>čo je 48,17 % v roku 2011 predpokladanej sumy</w:t>
      </w:r>
      <w:r w:rsidRPr="00445B8E">
        <w:rPr>
          <w:rFonts w:ascii="Arial" w:hAnsi="Arial" w:cs="Arial"/>
          <w:szCs w:val="20"/>
        </w:rPr>
        <w:tab/>
        <w:t>800 876 tis. Eur.</w:t>
      </w:r>
    </w:p>
    <w:p w:rsidR="00445B8E" w:rsidRPr="00445B8E" w:rsidRDefault="00445B8E" w:rsidP="00445B8E">
      <w:pPr>
        <w:tabs>
          <w:tab w:val="decimal" w:pos="8280"/>
          <w:tab w:val="decimal" w:pos="9000"/>
        </w:tabs>
        <w:ind w:firstLine="709"/>
        <w:jc w:val="both"/>
        <w:rPr>
          <w:rFonts w:ascii="Arial" w:hAnsi="Arial" w:cs="Arial"/>
          <w:szCs w:val="20"/>
        </w:rPr>
      </w:pPr>
      <w:r w:rsidRPr="00445B8E">
        <w:rPr>
          <w:rFonts w:ascii="Arial" w:hAnsi="Arial" w:cs="Arial"/>
          <w:szCs w:val="20"/>
        </w:rPr>
        <w:t>DSS boli za EAO postúpené príspevky na SDS v sume</w:t>
      </w:r>
      <w:r w:rsidRPr="00445B8E">
        <w:rPr>
          <w:rFonts w:ascii="Arial" w:hAnsi="Arial" w:cs="Arial"/>
          <w:szCs w:val="20"/>
        </w:rPr>
        <w:tab/>
      </w:r>
      <w:r w:rsidRPr="00445B8E">
        <w:rPr>
          <w:rFonts w:ascii="Arial" w:hAnsi="Arial" w:cs="Arial"/>
          <w:b/>
          <w:szCs w:val="20"/>
        </w:rPr>
        <w:t>355 391 tis. Eur</w:t>
      </w:r>
      <w:r w:rsidRPr="00445B8E">
        <w:rPr>
          <w:rFonts w:ascii="Arial" w:hAnsi="Arial" w:cs="Arial"/>
          <w:szCs w:val="20"/>
        </w:rPr>
        <w:t>,</w:t>
      </w:r>
      <w:r w:rsidRPr="00445B8E">
        <w:rPr>
          <w:rFonts w:ascii="Arial" w:hAnsi="Arial" w:cs="Arial"/>
          <w:szCs w:val="20"/>
        </w:rPr>
        <w:br/>
        <w:t>čo je 48,11 % v roku 2011 predpokladanej sumy</w:t>
      </w:r>
      <w:r w:rsidRPr="00445B8E">
        <w:rPr>
          <w:rFonts w:ascii="Arial" w:hAnsi="Arial" w:cs="Arial"/>
          <w:szCs w:val="20"/>
        </w:rPr>
        <w:tab/>
        <w:t>738 728 tis. Eur.</w:t>
      </w:r>
      <w:r w:rsidRPr="00445B8E">
        <w:rPr>
          <w:rFonts w:ascii="Arial" w:hAnsi="Arial" w:cs="Arial"/>
          <w:szCs w:val="20"/>
        </w:rPr>
        <w:br/>
        <w:t>V tom príspevky na SDS za:</w:t>
      </w:r>
    </w:p>
    <w:p w:rsidR="00445B8E" w:rsidRPr="00445B8E" w:rsidRDefault="00445B8E" w:rsidP="00445B8E">
      <w:pPr>
        <w:tabs>
          <w:tab w:val="decimal" w:pos="8280"/>
        </w:tabs>
        <w:ind w:firstLine="709"/>
        <w:jc w:val="both"/>
        <w:rPr>
          <w:rFonts w:ascii="Arial" w:hAnsi="Arial" w:cs="Arial"/>
          <w:szCs w:val="20"/>
        </w:rPr>
      </w:pPr>
      <w:r w:rsidRPr="00445B8E">
        <w:rPr>
          <w:rFonts w:ascii="Arial" w:hAnsi="Arial" w:cs="Arial"/>
          <w:szCs w:val="20"/>
        </w:rPr>
        <w:t>- zamestnancov</w:t>
      </w:r>
      <w:r w:rsidRPr="00445B8E">
        <w:rPr>
          <w:rFonts w:ascii="Arial" w:hAnsi="Arial" w:cs="Arial"/>
          <w:szCs w:val="20"/>
        </w:rPr>
        <w:tab/>
        <w:t>333 768 tis. Eur,</w:t>
      </w:r>
    </w:p>
    <w:p w:rsidR="00445B8E" w:rsidRPr="00445B8E" w:rsidRDefault="00445B8E" w:rsidP="00445B8E">
      <w:pPr>
        <w:tabs>
          <w:tab w:val="decimal" w:pos="8280"/>
        </w:tabs>
        <w:ind w:firstLine="709"/>
        <w:jc w:val="both"/>
        <w:rPr>
          <w:rFonts w:ascii="Arial" w:hAnsi="Arial" w:cs="Arial"/>
          <w:szCs w:val="20"/>
        </w:rPr>
      </w:pPr>
      <w:r w:rsidRPr="00445B8E">
        <w:rPr>
          <w:rFonts w:ascii="Arial" w:hAnsi="Arial" w:cs="Arial"/>
          <w:szCs w:val="20"/>
        </w:rPr>
        <w:t>- samostatne zárobkovo činné osoby</w:t>
      </w:r>
      <w:r w:rsidRPr="00445B8E">
        <w:rPr>
          <w:rFonts w:ascii="Arial" w:hAnsi="Arial" w:cs="Arial"/>
          <w:szCs w:val="20"/>
        </w:rPr>
        <w:tab/>
        <w:t>20 495 tis. Eur,</w:t>
      </w:r>
    </w:p>
    <w:p w:rsidR="00445B8E" w:rsidRPr="00445B8E" w:rsidRDefault="00445B8E" w:rsidP="00445B8E">
      <w:pPr>
        <w:tabs>
          <w:tab w:val="decimal" w:pos="8280"/>
        </w:tabs>
        <w:ind w:firstLine="709"/>
        <w:jc w:val="both"/>
        <w:rPr>
          <w:rFonts w:ascii="Arial" w:hAnsi="Arial" w:cs="Arial"/>
          <w:szCs w:val="20"/>
        </w:rPr>
      </w:pPr>
      <w:r w:rsidRPr="00445B8E">
        <w:rPr>
          <w:rFonts w:ascii="Arial" w:hAnsi="Arial" w:cs="Arial"/>
          <w:szCs w:val="20"/>
        </w:rPr>
        <w:t>- dobrovoľne poistené osoby</w:t>
      </w:r>
      <w:r w:rsidRPr="00445B8E">
        <w:rPr>
          <w:rFonts w:ascii="Arial" w:hAnsi="Arial" w:cs="Arial"/>
          <w:szCs w:val="20"/>
        </w:rPr>
        <w:tab/>
        <w:t>1 128 tis. Eur.</w:t>
      </w:r>
    </w:p>
    <w:p w:rsidR="00445B8E" w:rsidRPr="00445B8E" w:rsidRDefault="00445B8E" w:rsidP="00445B8E">
      <w:pPr>
        <w:tabs>
          <w:tab w:val="decimal" w:pos="8280"/>
        </w:tabs>
        <w:spacing w:before="240" w:after="120"/>
        <w:ind w:firstLine="709"/>
        <w:jc w:val="both"/>
        <w:rPr>
          <w:rFonts w:ascii="Arial" w:hAnsi="Arial" w:cs="Arial"/>
          <w:szCs w:val="20"/>
        </w:rPr>
      </w:pPr>
      <w:r w:rsidRPr="00445B8E">
        <w:rPr>
          <w:rFonts w:ascii="Arial" w:hAnsi="Arial" w:cs="Arial"/>
          <w:szCs w:val="20"/>
        </w:rPr>
        <w:tab/>
        <w:t>Príspevky na SDS uhradené zo základného fondu garančného poistenia boli postúpené v sume</w:t>
      </w:r>
      <w:r w:rsidRPr="00445B8E">
        <w:rPr>
          <w:rFonts w:ascii="Arial" w:hAnsi="Arial" w:cs="Arial"/>
          <w:szCs w:val="20"/>
        </w:rPr>
        <w:tab/>
      </w:r>
      <w:r w:rsidRPr="00445B8E">
        <w:rPr>
          <w:rFonts w:ascii="Arial" w:hAnsi="Arial" w:cs="Arial"/>
          <w:b/>
          <w:szCs w:val="20"/>
        </w:rPr>
        <w:t>14 225 tis. Eur</w:t>
      </w:r>
      <w:r w:rsidRPr="00445B8E">
        <w:rPr>
          <w:rFonts w:ascii="Arial" w:hAnsi="Arial" w:cs="Arial"/>
          <w:szCs w:val="20"/>
        </w:rPr>
        <w:t>.</w:t>
      </w:r>
    </w:p>
    <w:p w:rsidR="00445B8E" w:rsidRPr="00445B8E" w:rsidRDefault="00445B8E" w:rsidP="00445B8E">
      <w:pPr>
        <w:tabs>
          <w:tab w:val="decimal" w:pos="7740"/>
        </w:tabs>
        <w:spacing w:after="120"/>
        <w:ind w:firstLine="709"/>
        <w:jc w:val="both"/>
        <w:rPr>
          <w:rFonts w:ascii="Arial" w:hAnsi="Arial" w:cs="Arial"/>
          <w:szCs w:val="20"/>
        </w:rPr>
      </w:pPr>
      <w:r w:rsidRPr="00445B8E">
        <w:rPr>
          <w:rFonts w:ascii="Arial" w:hAnsi="Arial" w:cs="Arial"/>
          <w:szCs w:val="20"/>
        </w:rPr>
        <w:lastRenderedPageBreak/>
        <w:t xml:space="preserve">Príspevky na SDS za sporiteľov štátu boli postúpené v sume </w:t>
      </w:r>
      <w:r w:rsidRPr="00445B8E">
        <w:rPr>
          <w:rFonts w:ascii="Arial" w:hAnsi="Arial" w:cs="Arial"/>
          <w:b/>
          <w:szCs w:val="20"/>
        </w:rPr>
        <w:t xml:space="preserve"> 28 249 tis. Eur,</w:t>
      </w:r>
      <w:r w:rsidRPr="00445B8E">
        <w:rPr>
          <w:rFonts w:ascii="Arial" w:hAnsi="Arial" w:cs="Arial"/>
          <w:b/>
          <w:szCs w:val="20"/>
        </w:rPr>
        <w:br/>
      </w:r>
      <w:r w:rsidRPr="00445B8E">
        <w:rPr>
          <w:rFonts w:ascii="Arial" w:hAnsi="Arial" w:cs="Arial"/>
          <w:szCs w:val="20"/>
        </w:rPr>
        <w:t>čo je 48,75 % v roku 2011 predpokladanej sumy</w:t>
      </w:r>
      <w:r w:rsidRPr="00445B8E">
        <w:rPr>
          <w:rFonts w:ascii="Arial" w:hAnsi="Arial" w:cs="Arial"/>
          <w:szCs w:val="20"/>
        </w:rPr>
        <w:tab/>
        <w:t xml:space="preserve">                                  57 942 tis. Eur.</w:t>
      </w:r>
    </w:p>
    <w:p w:rsidR="00445B8E" w:rsidRPr="00445B8E" w:rsidRDefault="00445B8E" w:rsidP="00445B8E">
      <w:pPr>
        <w:tabs>
          <w:tab w:val="decimal" w:pos="8280"/>
        </w:tabs>
        <w:spacing w:after="120"/>
        <w:ind w:firstLine="709"/>
        <w:jc w:val="both"/>
        <w:rPr>
          <w:rFonts w:ascii="Arial" w:hAnsi="Arial" w:cs="Arial"/>
          <w:szCs w:val="20"/>
        </w:rPr>
      </w:pPr>
      <w:r w:rsidRPr="00445B8E">
        <w:rPr>
          <w:rFonts w:ascii="Arial" w:hAnsi="Arial" w:cs="Arial"/>
          <w:szCs w:val="20"/>
        </w:rPr>
        <w:t>Sociálna poisťovňa postúpila príspevky na SDS za sporiteľov, ktorí sa stali poberateľmi úrazovej renty a doplatky za poberateľov invalidného dôchodku (za predchádzajúce obdobia) v sume</w:t>
      </w:r>
      <w:r w:rsidRPr="00445B8E">
        <w:rPr>
          <w:rFonts w:ascii="Arial" w:hAnsi="Arial" w:cs="Arial"/>
          <w:szCs w:val="20"/>
        </w:rPr>
        <w:tab/>
      </w:r>
      <w:r w:rsidRPr="00445B8E">
        <w:rPr>
          <w:rFonts w:ascii="Arial" w:hAnsi="Arial" w:cs="Arial"/>
          <w:b/>
          <w:szCs w:val="20"/>
        </w:rPr>
        <w:t>132 tis. Eur.</w:t>
      </w:r>
    </w:p>
    <w:p w:rsidR="00445B8E" w:rsidRPr="00445B8E" w:rsidRDefault="00445B8E" w:rsidP="00445B8E">
      <w:pPr>
        <w:tabs>
          <w:tab w:val="decimal" w:pos="8280"/>
        </w:tabs>
        <w:spacing w:after="120"/>
        <w:ind w:firstLine="709"/>
        <w:jc w:val="both"/>
        <w:rPr>
          <w:rFonts w:ascii="Arial" w:hAnsi="Arial" w:cs="Arial"/>
          <w:szCs w:val="20"/>
        </w:rPr>
      </w:pPr>
      <w:r w:rsidRPr="00445B8E">
        <w:rPr>
          <w:rFonts w:ascii="Arial" w:hAnsi="Arial" w:cs="Arial"/>
          <w:szCs w:val="20"/>
        </w:rPr>
        <w:t>Zo správneho fondu bolo za hodnotené obdobie zaplatené penále v sume 46 tis. Eur.</w:t>
      </w:r>
    </w:p>
    <w:p w:rsidR="00445B8E" w:rsidRPr="00445B8E" w:rsidRDefault="00445B8E" w:rsidP="00445B8E">
      <w:pPr>
        <w:spacing w:after="120"/>
        <w:ind w:firstLine="709"/>
        <w:jc w:val="both"/>
        <w:rPr>
          <w:rFonts w:ascii="Arial" w:hAnsi="Arial" w:cs="Arial"/>
          <w:szCs w:val="20"/>
        </w:rPr>
      </w:pPr>
      <w:r w:rsidRPr="00445B8E">
        <w:rPr>
          <w:rFonts w:ascii="Arial" w:hAnsi="Arial" w:cs="Arial"/>
          <w:szCs w:val="20"/>
        </w:rPr>
        <w:t xml:space="preserve">V hodnotenom období boli postúpené príspevky na SDS vrátane penále v celkovej sume </w:t>
      </w:r>
      <w:r w:rsidRPr="00445B8E">
        <w:rPr>
          <w:rFonts w:ascii="Arial" w:hAnsi="Arial" w:cs="Arial"/>
          <w:b/>
          <w:szCs w:val="20"/>
        </w:rPr>
        <w:t>398 043 tis Eur</w:t>
      </w:r>
      <w:r w:rsidRPr="00445B8E">
        <w:rPr>
          <w:rFonts w:ascii="Arial" w:hAnsi="Arial" w:cs="Arial"/>
          <w:szCs w:val="20"/>
        </w:rPr>
        <w:t>, čo je v porovnaní s rovnakým obdobím minulého roka (405 888 tis. Eur) menej o 7 845 tis. Eur.</w:t>
      </w:r>
    </w:p>
    <w:p w:rsidR="00445B8E" w:rsidRPr="00445B8E" w:rsidRDefault="00445B8E" w:rsidP="00445B8E">
      <w:pPr>
        <w:tabs>
          <w:tab w:val="decimal" w:pos="8280"/>
        </w:tabs>
        <w:spacing w:after="120"/>
        <w:ind w:firstLine="709"/>
        <w:jc w:val="both"/>
        <w:rPr>
          <w:rFonts w:ascii="Arial" w:hAnsi="Arial" w:cs="Arial"/>
          <w:szCs w:val="20"/>
        </w:rPr>
      </w:pPr>
      <w:r w:rsidRPr="00445B8E">
        <w:rPr>
          <w:rFonts w:ascii="Arial" w:hAnsi="Arial" w:cs="Arial"/>
          <w:szCs w:val="20"/>
        </w:rPr>
        <w:t>Ku koncu júna 2011 evidovala Sociálna poisťovňa</w:t>
      </w:r>
      <w:r w:rsidRPr="00445B8E">
        <w:rPr>
          <w:rFonts w:ascii="Arial" w:hAnsi="Arial" w:cs="Arial"/>
          <w:szCs w:val="20"/>
        </w:rPr>
        <w:tab/>
        <w:t xml:space="preserve"> 1 446 018 sporiteľov, čo predstavuje od začiatku tohto roka prírastok 3 960 sporiteľov. Prehľad o štruktúre sporiteľov vyjadruje nasledovná tabuľka:</w:t>
      </w:r>
    </w:p>
    <w:tbl>
      <w:tblPr>
        <w:tblW w:w="8629" w:type="dxa"/>
        <w:tblInd w:w="372" w:type="dxa"/>
        <w:tblCellMar>
          <w:left w:w="70" w:type="dxa"/>
          <w:right w:w="70" w:type="dxa"/>
        </w:tblCellMar>
        <w:tblLook w:val="04A0" w:firstRow="1" w:lastRow="0" w:firstColumn="1" w:lastColumn="0" w:noHBand="0" w:noVBand="1"/>
      </w:tblPr>
      <w:tblGrid>
        <w:gridCol w:w="549"/>
        <w:gridCol w:w="6804"/>
        <w:gridCol w:w="1276"/>
      </w:tblGrid>
      <w:tr w:rsidR="00445B8E" w:rsidRPr="00445B8E" w:rsidTr="009D0C61">
        <w:trPr>
          <w:trHeight w:val="255"/>
        </w:trPr>
        <w:tc>
          <w:tcPr>
            <w:tcW w:w="5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1.</w:t>
            </w:r>
          </w:p>
        </w:tc>
        <w:tc>
          <w:tcPr>
            <w:tcW w:w="6804"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zamestnanci</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921 352</w:t>
            </w:r>
          </w:p>
        </w:tc>
      </w:tr>
      <w:tr w:rsidR="00445B8E" w:rsidRPr="00445B8E" w:rsidTr="009D0C61">
        <w:trPr>
          <w:trHeight w:val="255"/>
        </w:trPr>
        <w:tc>
          <w:tcPr>
            <w:tcW w:w="549"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2.</w:t>
            </w:r>
          </w:p>
        </w:tc>
        <w:tc>
          <w:tcPr>
            <w:tcW w:w="680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samostatne zárobkovo činné osoby</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117 386</w:t>
            </w:r>
          </w:p>
        </w:tc>
      </w:tr>
      <w:tr w:rsidR="00445B8E" w:rsidRPr="00445B8E" w:rsidTr="009D0C61">
        <w:trPr>
          <w:trHeight w:val="255"/>
        </w:trPr>
        <w:tc>
          <w:tcPr>
            <w:tcW w:w="549"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3.</w:t>
            </w:r>
          </w:p>
        </w:tc>
        <w:tc>
          <w:tcPr>
            <w:tcW w:w="680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dobrovoľne poistené osoby</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6 125</w:t>
            </w:r>
          </w:p>
        </w:tc>
      </w:tr>
      <w:tr w:rsidR="00445B8E" w:rsidRPr="00445B8E" w:rsidTr="009D0C61">
        <w:trPr>
          <w:trHeight w:val="255"/>
        </w:trPr>
        <w:tc>
          <w:tcPr>
            <w:tcW w:w="54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4.</w:t>
            </w:r>
          </w:p>
        </w:tc>
        <w:tc>
          <w:tcPr>
            <w:tcW w:w="680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sporitelia, za ktorých platí príspevky na SDS štát</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126 434</w:t>
            </w:r>
          </w:p>
        </w:tc>
      </w:tr>
      <w:tr w:rsidR="00445B8E" w:rsidRPr="00445B8E" w:rsidTr="009D0C61">
        <w:trPr>
          <w:trHeight w:val="255"/>
        </w:trPr>
        <w:tc>
          <w:tcPr>
            <w:tcW w:w="54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w:t>
            </w:r>
          </w:p>
        </w:tc>
        <w:tc>
          <w:tcPr>
            <w:tcW w:w="680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v tom:</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 </w:t>
            </w:r>
          </w:p>
        </w:tc>
      </w:tr>
      <w:tr w:rsidR="00445B8E" w:rsidRPr="00445B8E" w:rsidTr="009D0C61">
        <w:trPr>
          <w:trHeight w:val="255"/>
        </w:trPr>
        <w:tc>
          <w:tcPr>
            <w:tcW w:w="54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w:t>
            </w:r>
          </w:p>
        </w:tc>
        <w:tc>
          <w:tcPr>
            <w:tcW w:w="680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a)  osoba starajúca sa o dieťa do 6 rokov veku</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108 435</w:t>
            </w:r>
          </w:p>
        </w:tc>
      </w:tr>
      <w:tr w:rsidR="00445B8E" w:rsidRPr="00445B8E" w:rsidTr="009D0C61">
        <w:trPr>
          <w:trHeight w:val="510"/>
        </w:trPr>
        <w:tc>
          <w:tcPr>
            <w:tcW w:w="54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w:t>
            </w:r>
          </w:p>
        </w:tc>
        <w:tc>
          <w:tcPr>
            <w:tcW w:w="6804"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b)  osoba, ktorá sa stará o dieťa s nepriaznivým zdravotným stavom do 18 rokov</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1 240</w:t>
            </w:r>
          </w:p>
        </w:tc>
      </w:tr>
      <w:tr w:rsidR="00445B8E" w:rsidRPr="00445B8E" w:rsidTr="009D0C61">
        <w:trPr>
          <w:trHeight w:val="255"/>
        </w:trPr>
        <w:tc>
          <w:tcPr>
            <w:tcW w:w="54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w:t>
            </w:r>
          </w:p>
        </w:tc>
        <w:tc>
          <w:tcPr>
            <w:tcW w:w="680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c)  osoba poberajúca peňažný príspevok za opatrovanie</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5 342</w:t>
            </w:r>
          </w:p>
        </w:tc>
      </w:tr>
      <w:tr w:rsidR="00445B8E" w:rsidRPr="00445B8E" w:rsidTr="009D0C61">
        <w:trPr>
          <w:trHeight w:val="600"/>
        </w:trPr>
        <w:tc>
          <w:tcPr>
            <w:tcW w:w="549" w:type="dxa"/>
            <w:tcBorders>
              <w:top w:val="nil"/>
              <w:left w:val="single" w:sz="4" w:space="0" w:color="auto"/>
              <w:bottom w:val="nil"/>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w:t>
            </w:r>
          </w:p>
        </w:tc>
        <w:tc>
          <w:tcPr>
            <w:tcW w:w="6804"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d) osoba, ktorá vykonáva osobnú asistenciu fyzickej osoby s ťažkým zdravotným postihnutím</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170</w:t>
            </w:r>
          </w:p>
        </w:tc>
      </w:tr>
      <w:tr w:rsidR="00445B8E" w:rsidRPr="00445B8E" w:rsidTr="009D0C61">
        <w:trPr>
          <w:trHeight w:val="255"/>
        </w:trPr>
        <w:tc>
          <w:tcPr>
            <w:tcW w:w="549"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w:t>
            </w:r>
          </w:p>
        </w:tc>
        <w:tc>
          <w:tcPr>
            <w:tcW w:w="680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e) osoba, ktorej sa poskytuje materské </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11 247</w:t>
            </w:r>
          </w:p>
        </w:tc>
      </w:tr>
      <w:tr w:rsidR="00445B8E" w:rsidRPr="00445B8E" w:rsidTr="009D0C61">
        <w:trPr>
          <w:trHeight w:val="286"/>
        </w:trPr>
        <w:tc>
          <w:tcPr>
            <w:tcW w:w="549"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5.</w:t>
            </w:r>
          </w:p>
        </w:tc>
        <w:tc>
          <w:tcPr>
            <w:tcW w:w="6804" w:type="dxa"/>
            <w:tcBorders>
              <w:top w:val="nil"/>
              <w:left w:val="nil"/>
              <w:bottom w:val="single" w:sz="4" w:space="0" w:color="auto"/>
              <w:right w:val="single" w:sz="4" w:space="0" w:color="auto"/>
            </w:tcBorders>
            <w:shd w:val="clear" w:color="auto" w:fill="auto"/>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sporitelia, za ktorých platí príspevky na SDS Sociálna poisťovňa</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29 244</w:t>
            </w:r>
          </w:p>
        </w:tc>
      </w:tr>
      <w:tr w:rsidR="00445B8E" w:rsidRPr="00445B8E" w:rsidTr="009D0C61">
        <w:trPr>
          <w:trHeight w:val="255"/>
        </w:trPr>
        <w:tc>
          <w:tcPr>
            <w:tcW w:w="549"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6.</w:t>
            </w:r>
          </w:p>
        </w:tc>
        <w:tc>
          <w:tcPr>
            <w:tcW w:w="680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bez účasti na SDS</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245 477</w:t>
            </w:r>
          </w:p>
        </w:tc>
      </w:tr>
    </w:tbl>
    <w:p w:rsidR="00445B8E" w:rsidRPr="00445B8E" w:rsidRDefault="00445B8E" w:rsidP="00445B8E">
      <w:pPr>
        <w:tabs>
          <w:tab w:val="decimal" w:pos="8280"/>
        </w:tabs>
        <w:spacing w:before="240" w:after="120"/>
        <w:ind w:firstLine="709"/>
        <w:jc w:val="both"/>
        <w:rPr>
          <w:rFonts w:ascii="Arial" w:hAnsi="Arial" w:cs="Arial"/>
          <w:szCs w:val="20"/>
        </w:rPr>
      </w:pPr>
      <w:r w:rsidRPr="00445B8E">
        <w:rPr>
          <w:rFonts w:ascii="Arial" w:hAnsi="Arial" w:cs="Arial"/>
          <w:szCs w:val="20"/>
        </w:rPr>
        <w:t>Od roku 2005 do 30. júna 2011 evidovala Sociálna poisťovňa 209 731 žiadostí o prestup do inej DSS. Z nich bolo realizovaných 164 938 prestupov. Od začiatku tohto roka je ich nárast o 2 944 zrealizovaných prestupov.</w:t>
      </w:r>
    </w:p>
    <w:p w:rsidR="00445B8E" w:rsidRPr="00445B8E" w:rsidRDefault="00445B8E" w:rsidP="00445B8E">
      <w:pPr>
        <w:tabs>
          <w:tab w:val="decimal" w:pos="8100"/>
        </w:tabs>
        <w:spacing w:after="120"/>
        <w:ind w:right="-159"/>
        <w:jc w:val="center"/>
        <w:rPr>
          <w:rFonts w:ascii="Arial" w:hAnsi="Arial" w:cs="Arial"/>
          <w:szCs w:val="20"/>
        </w:rPr>
      </w:pPr>
      <w:r w:rsidRPr="00445B8E">
        <w:rPr>
          <w:rFonts w:ascii="Arial" w:hAnsi="Arial" w:cs="Arial"/>
          <w:szCs w:val="20"/>
        </w:rPr>
        <w:t xml:space="preserve">x  </w:t>
      </w:r>
      <w:proofErr w:type="spellStart"/>
      <w:r w:rsidRPr="00445B8E">
        <w:rPr>
          <w:rFonts w:ascii="Arial" w:hAnsi="Arial" w:cs="Arial"/>
          <w:szCs w:val="20"/>
        </w:rPr>
        <w:t>x</w:t>
      </w:r>
      <w:proofErr w:type="spellEnd"/>
      <w:r w:rsidRPr="00445B8E">
        <w:rPr>
          <w:rFonts w:ascii="Arial" w:hAnsi="Arial" w:cs="Arial"/>
          <w:szCs w:val="20"/>
        </w:rPr>
        <w:t xml:space="preserve">  </w:t>
      </w:r>
      <w:proofErr w:type="spellStart"/>
      <w:r w:rsidRPr="00445B8E">
        <w:rPr>
          <w:rFonts w:ascii="Arial" w:hAnsi="Arial" w:cs="Arial"/>
          <w:szCs w:val="20"/>
        </w:rPr>
        <w:t>x</w:t>
      </w:r>
      <w:proofErr w:type="spellEnd"/>
    </w:p>
    <w:p w:rsidR="00445B8E" w:rsidRPr="00445B8E" w:rsidRDefault="00445B8E" w:rsidP="00445B8E">
      <w:pPr>
        <w:spacing w:before="240" w:after="120"/>
        <w:ind w:firstLine="720"/>
        <w:jc w:val="center"/>
        <w:rPr>
          <w:rFonts w:ascii="Arial" w:hAnsi="Arial"/>
          <w:b/>
          <w:szCs w:val="20"/>
        </w:rPr>
      </w:pPr>
      <w:r w:rsidRPr="00445B8E">
        <w:rPr>
          <w:rFonts w:ascii="Arial" w:hAnsi="Arial"/>
          <w:b/>
          <w:szCs w:val="20"/>
        </w:rPr>
        <w:t>Očakávané výsledky hospodárenia Sociálnej poisťovne v roku 2011</w:t>
      </w:r>
    </w:p>
    <w:p w:rsidR="00445B8E" w:rsidRPr="00445B8E" w:rsidRDefault="00445B8E" w:rsidP="00445B8E">
      <w:pPr>
        <w:spacing w:before="240" w:after="120"/>
        <w:ind w:firstLine="720"/>
        <w:jc w:val="both"/>
        <w:rPr>
          <w:rFonts w:ascii="Arial" w:hAnsi="Arial"/>
          <w:szCs w:val="20"/>
        </w:rPr>
      </w:pPr>
      <w:r w:rsidRPr="00445B8E">
        <w:rPr>
          <w:rFonts w:ascii="Arial" w:hAnsi="Arial"/>
          <w:szCs w:val="20"/>
        </w:rPr>
        <w:t>Východiskom pre zostavenie očakávaných príjmov a výdavkov Sociálnej poisťovne v roku 2011 bol:</w:t>
      </w:r>
    </w:p>
    <w:p w:rsidR="00445B8E" w:rsidRPr="00445B8E" w:rsidRDefault="00445B8E" w:rsidP="00445B8E">
      <w:pPr>
        <w:numPr>
          <w:ilvl w:val="0"/>
          <w:numId w:val="20"/>
        </w:numPr>
        <w:spacing w:after="120"/>
        <w:ind w:hanging="780"/>
        <w:jc w:val="both"/>
        <w:rPr>
          <w:rFonts w:ascii="Arial" w:hAnsi="Arial"/>
          <w:szCs w:val="20"/>
        </w:rPr>
      </w:pPr>
      <w:r w:rsidRPr="00445B8E">
        <w:rPr>
          <w:rFonts w:ascii="Arial" w:hAnsi="Arial"/>
          <w:szCs w:val="20"/>
        </w:rPr>
        <w:t xml:space="preserve">skutočný vývoj príjmov z poistného a príspevkov na SDS od zamestnancov, zamestnávateľov, samostatne zárobkovo činných osôb a dobrovoľne poistených osôb spolu, ako aj vývoj dlžného poistného v roku 2010 a v mesiacoch január až jún 2011, </w:t>
      </w:r>
    </w:p>
    <w:p w:rsidR="00445B8E" w:rsidRPr="00445B8E" w:rsidRDefault="00445B8E" w:rsidP="00445B8E">
      <w:pPr>
        <w:numPr>
          <w:ilvl w:val="0"/>
          <w:numId w:val="20"/>
        </w:numPr>
        <w:spacing w:after="120"/>
        <w:ind w:hanging="780"/>
        <w:jc w:val="both"/>
        <w:rPr>
          <w:rFonts w:ascii="Arial" w:hAnsi="Arial"/>
          <w:szCs w:val="20"/>
        </w:rPr>
      </w:pPr>
      <w:r w:rsidRPr="00445B8E">
        <w:rPr>
          <w:rFonts w:ascii="Arial" w:hAnsi="Arial"/>
          <w:szCs w:val="20"/>
        </w:rPr>
        <w:t xml:space="preserve">skutočný vývoj výdavkov v roku 2011, </w:t>
      </w:r>
    </w:p>
    <w:p w:rsidR="00445B8E" w:rsidRPr="00445B8E" w:rsidRDefault="00445B8E" w:rsidP="00445B8E">
      <w:pPr>
        <w:numPr>
          <w:ilvl w:val="0"/>
          <w:numId w:val="20"/>
        </w:numPr>
        <w:spacing w:after="120"/>
        <w:ind w:hanging="780"/>
        <w:jc w:val="both"/>
        <w:rPr>
          <w:rFonts w:ascii="Arial" w:hAnsi="Arial"/>
          <w:szCs w:val="20"/>
        </w:rPr>
      </w:pPr>
      <w:r w:rsidRPr="00445B8E">
        <w:rPr>
          <w:rFonts w:ascii="Arial" w:hAnsi="Arial"/>
          <w:szCs w:val="20"/>
        </w:rPr>
        <w:t>a vplyv makroekonomických ukazovateľov zverejnených Inštitútom finančnej politiky Ministerstva financií Slovenskej republiky zo dňa 16. júna 2011.</w:t>
      </w:r>
    </w:p>
    <w:p w:rsidR="00445B8E" w:rsidRPr="00445B8E" w:rsidRDefault="00445B8E" w:rsidP="00445B8E">
      <w:pPr>
        <w:spacing w:before="240" w:after="120"/>
        <w:ind w:firstLine="720"/>
        <w:jc w:val="both"/>
        <w:rPr>
          <w:rFonts w:ascii="Arial" w:hAnsi="Arial"/>
          <w:b/>
          <w:szCs w:val="20"/>
        </w:rPr>
      </w:pPr>
    </w:p>
    <w:p w:rsidR="00445B8E" w:rsidRPr="00445B8E" w:rsidRDefault="00445B8E" w:rsidP="00445B8E">
      <w:pPr>
        <w:spacing w:before="240" w:after="120"/>
        <w:ind w:firstLine="720"/>
        <w:jc w:val="both"/>
        <w:rPr>
          <w:rFonts w:ascii="Arial" w:hAnsi="Arial" w:cs="Arial"/>
        </w:rPr>
      </w:pPr>
      <w:r w:rsidRPr="00445B8E">
        <w:rPr>
          <w:rFonts w:ascii="Arial" w:hAnsi="Arial" w:cs="Arial"/>
        </w:rPr>
        <w:lastRenderedPageBreak/>
        <w:t xml:space="preserve">Príjmy Sociálnej poisťovne sa </w:t>
      </w:r>
      <w:r w:rsidRPr="00445B8E">
        <w:rPr>
          <w:rFonts w:ascii="Arial" w:hAnsi="Arial" w:cs="Arial"/>
          <w:b/>
        </w:rPr>
        <w:t>v roku 2011 očakávajú</w:t>
      </w:r>
      <w:r w:rsidRPr="00445B8E">
        <w:rPr>
          <w:rFonts w:ascii="Arial" w:hAnsi="Arial" w:cs="Arial"/>
        </w:rPr>
        <w:t xml:space="preserve"> takéto: </w:t>
      </w:r>
    </w:p>
    <w:tbl>
      <w:tblPr>
        <w:tblW w:w="9215" w:type="dxa"/>
        <w:tblInd w:w="70" w:type="dxa"/>
        <w:tblCellMar>
          <w:left w:w="70" w:type="dxa"/>
          <w:right w:w="70" w:type="dxa"/>
        </w:tblCellMar>
        <w:tblLook w:val="04A0" w:firstRow="1" w:lastRow="0" w:firstColumn="1" w:lastColumn="0" w:noHBand="0" w:noVBand="1"/>
      </w:tblPr>
      <w:tblGrid>
        <w:gridCol w:w="4395"/>
        <w:gridCol w:w="1276"/>
        <w:gridCol w:w="1300"/>
        <w:gridCol w:w="1300"/>
        <w:gridCol w:w="944"/>
      </w:tblGrid>
      <w:tr w:rsidR="00445B8E" w:rsidRPr="00445B8E" w:rsidTr="009D0C61">
        <w:trPr>
          <w:trHeight w:val="300"/>
        </w:trPr>
        <w:tc>
          <w:tcPr>
            <w:tcW w:w="4395" w:type="dxa"/>
            <w:tcBorders>
              <w:top w:val="nil"/>
              <w:left w:val="nil"/>
              <w:bottom w:val="nil"/>
              <w:right w:val="nil"/>
            </w:tcBorders>
            <w:shd w:val="clear" w:color="auto" w:fill="auto"/>
            <w:noWrap/>
            <w:vAlign w:val="center"/>
            <w:hideMark/>
          </w:tcPr>
          <w:p w:rsidR="00445B8E" w:rsidRPr="00445B8E" w:rsidRDefault="00445B8E" w:rsidP="00445B8E">
            <w:pPr>
              <w:rPr>
                <w:rFonts w:ascii="Arial" w:hAnsi="Arial" w:cs="Arial"/>
                <w:sz w:val="22"/>
                <w:szCs w:val="22"/>
              </w:rPr>
            </w:pPr>
          </w:p>
        </w:tc>
        <w:tc>
          <w:tcPr>
            <w:tcW w:w="1276" w:type="dxa"/>
            <w:tcBorders>
              <w:top w:val="nil"/>
              <w:left w:val="nil"/>
              <w:bottom w:val="nil"/>
              <w:right w:val="nil"/>
            </w:tcBorders>
            <w:shd w:val="clear" w:color="auto" w:fill="auto"/>
            <w:noWrap/>
            <w:vAlign w:val="center"/>
            <w:hideMark/>
          </w:tcPr>
          <w:p w:rsidR="00445B8E" w:rsidRPr="00445B8E" w:rsidRDefault="00445B8E" w:rsidP="00445B8E">
            <w:pPr>
              <w:jc w:val="right"/>
              <w:rPr>
                <w:rFonts w:ascii="Arial" w:hAnsi="Arial" w:cs="Arial"/>
                <w:sz w:val="22"/>
                <w:szCs w:val="22"/>
              </w:rPr>
            </w:pPr>
          </w:p>
        </w:tc>
        <w:tc>
          <w:tcPr>
            <w:tcW w:w="1300" w:type="dxa"/>
            <w:tcBorders>
              <w:top w:val="nil"/>
              <w:left w:val="nil"/>
              <w:bottom w:val="nil"/>
              <w:right w:val="nil"/>
            </w:tcBorders>
            <w:shd w:val="clear" w:color="auto" w:fill="auto"/>
            <w:noWrap/>
            <w:vAlign w:val="center"/>
            <w:hideMark/>
          </w:tcPr>
          <w:p w:rsidR="00445B8E" w:rsidRPr="00445B8E" w:rsidRDefault="00445B8E" w:rsidP="00445B8E">
            <w:pPr>
              <w:jc w:val="right"/>
              <w:rPr>
                <w:rFonts w:ascii="Arial" w:hAnsi="Arial" w:cs="Arial"/>
                <w:sz w:val="22"/>
                <w:szCs w:val="22"/>
              </w:rPr>
            </w:pPr>
          </w:p>
        </w:tc>
        <w:tc>
          <w:tcPr>
            <w:tcW w:w="1300" w:type="dxa"/>
            <w:tcBorders>
              <w:top w:val="nil"/>
              <w:left w:val="nil"/>
              <w:bottom w:val="nil"/>
              <w:right w:val="nil"/>
            </w:tcBorders>
            <w:shd w:val="clear" w:color="auto" w:fill="auto"/>
            <w:noWrap/>
            <w:vAlign w:val="center"/>
            <w:hideMark/>
          </w:tcPr>
          <w:p w:rsidR="00445B8E" w:rsidRPr="00445B8E" w:rsidRDefault="00445B8E" w:rsidP="00445B8E">
            <w:pPr>
              <w:jc w:val="right"/>
              <w:rPr>
                <w:rFonts w:ascii="Arial" w:hAnsi="Arial" w:cs="Arial"/>
                <w:sz w:val="22"/>
                <w:szCs w:val="22"/>
              </w:rPr>
            </w:pPr>
          </w:p>
        </w:tc>
        <w:tc>
          <w:tcPr>
            <w:tcW w:w="944" w:type="dxa"/>
            <w:tcBorders>
              <w:top w:val="nil"/>
              <w:left w:val="nil"/>
              <w:bottom w:val="nil"/>
              <w:right w:val="nil"/>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v tis. Eur</w:t>
            </w:r>
          </w:p>
        </w:tc>
      </w:tr>
      <w:tr w:rsidR="00445B8E" w:rsidRPr="00445B8E" w:rsidTr="009D0C61">
        <w:trPr>
          <w:trHeight w:val="917"/>
        </w:trPr>
        <w:tc>
          <w:tcPr>
            <w:tcW w:w="43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Príjmy s vplyvom II. piliera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Schválený rozpočet rok 2011</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Upravený rozpočet  rok 2011</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Očakávaná skutočnosť v roku 2011</w:t>
            </w:r>
          </w:p>
        </w:tc>
        <w:tc>
          <w:tcPr>
            <w:tcW w:w="94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xml:space="preserve">Rozdiel </w:t>
            </w:r>
            <w:r w:rsidRPr="00445B8E">
              <w:rPr>
                <w:rFonts w:ascii="Arial" w:hAnsi="Arial" w:cs="Arial"/>
                <w:sz w:val="22"/>
                <w:szCs w:val="22"/>
              </w:rPr>
              <w:br/>
              <w:t>(3-2)</w:t>
            </w:r>
          </w:p>
        </w:tc>
      </w:tr>
      <w:tr w:rsidR="00445B8E" w:rsidRPr="00445B8E" w:rsidTr="009D0C61">
        <w:trPr>
          <w:trHeight w:val="253"/>
        </w:trPr>
        <w:tc>
          <w:tcPr>
            <w:tcW w:w="4395"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2"/>
                <w:szCs w:val="22"/>
              </w:rPr>
            </w:pPr>
          </w:p>
        </w:tc>
        <w:tc>
          <w:tcPr>
            <w:tcW w:w="944" w:type="dxa"/>
            <w:vMerge/>
            <w:tcBorders>
              <w:top w:val="single" w:sz="4" w:space="0" w:color="auto"/>
              <w:left w:val="single" w:sz="4" w:space="0" w:color="auto"/>
              <w:bottom w:val="single" w:sz="4" w:space="0" w:color="000000"/>
              <w:right w:val="single" w:sz="4" w:space="0" w:color="auto"/>
            </w:tcBorders>
            <w:vAlign w:val="center"/>
            <w:hideMark/>
          </w:tcPr>
          <w:p w:rsidR="00445B8E" w:rsidRPr="00445B8E" w:rsidRDefault="00445B8E" w:rsidP="00445B8E">
            <w:pPr>
              <w:rPr>
                <w:rFonts w:ascii="Arial" w:hAnsi="Arial" w:cs="Arial"/>
                <w:sz w:val="22"/>
                <w:szCs w:val="22"/>
              </w:rPr>
            </w:pPr>
          </w:p>
        </w:tc>
      </w:tr>
      <w:tr w:rsidR="00445B8E" w:rsidRPr="00445B8E" w:rsidTr="009D0C61">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a</w:t>
            </w:r>
          </w:p>
        </w:tc>
        <w:tc>
          <w:tcPr>
            <w:tcW w:w="1276"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1</w:t>
            </w:r>
          </w:p>
        </w:tc>
        <w:tc>
          <w:tcPr>
            <w:tcW w:w="13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2</w:t>
            </w:r>
          </w:p>
        </w:tc>
        <w:tc>
          <w:tcPr>
            <w:tcW w:w="13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3</w:t>
            </w:r>
          </w:p>
        </w:tc>
        <w:tc>
          <w:tcPr>
            <w:tcW w:w="94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4</w:t>
            </w:r>
          </w:p>
        </w:tc>
      </w:tr>
      <w:tr w:rsidR="00445B8E" w:rsidRPr="00445B8E" w:rsidTr="009D0C61">
        <w:trPr>
          <w:trHeight w:val="300"/>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Príjmy celkom</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6 350 829</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6 340 851</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6 365 334</w:t>
            </w:r>
          </w:p>
        </w:tc>
        <w:tc>
          <w:tcPr>
            <w:tcW w:w="94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24 483</w:t>
            </w:r>
          </w:p>
        </w:tc>
      </w:tr>
      <w:tr w:rsidR="00445B8E" w:rsidRPr="00445B8E" w:rsidTr="009D0C61">
        <w:trPr>
          <w:trHeight w:val="294"/>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v tom:</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w:t>
            </w:r>
          </w:p>
        </w:tc>
        <w:tc>
          <w:tcPr>
            <w:tcW w:w="94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 </w:t>
            </w:r>
          </w:p>
        </w:tc>
      </w:tr>
      <w:tr w:rsidR="00445B8E" w:rsidRPr="00445B8E" w:rsidTr="009D0C61">
        <w:trPr>
          <w:trHeight w:val="29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príjmy z bežného poistného od EAO</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4 367 869</w:t>
            </w:r>
          </w:p>
        </w:tc>
        <w:tc>
          <w:tcPr>
            <w:tcW w:w="13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4 357 893</w:t>
            </w:r>
          </w:p>
        </w:tc>
        <w:tc>
          <w:tcPr>
            <w:tcW w:w="13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4 269 850</w:t>
            </w:r>
          </w:p>
        </w:tc>
        <w:tc>
          <w:tcPr>
            <w:tcW w:w="94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-88 043</w:t>
            </w:r>
          </w:p>
        </w:tc>
      </w:tr>
      <w:tr w:rsidR="00445B8E" w:rsidRPr="00445B8E" w:rsidTr="009D0C61">
        <w:trPr>
          <w:trHeight w:val="294"/>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príjmy z dlžného poistného  </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167 549</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167 549</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271 620</w:t>
            </w:r>
          </w:p>
        </w:tc>
        <w:tc>
          <w:tcPr>
            <w:tcW w:w="94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104 071</w:t>
            </w:r>
          </w:p>
        </w:tc>
      </w:tr>
      <w:tr w:rsidR="00445B8E" w:rsidRPr="00445B8E" w:rsidTr="009D0C61">
        <w:trPr>
          <w:trHeight w:val="294"/>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príjmy zo sankcií</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2 490</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2 490</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2 490</w:t>
            </w:r>
          </w:p>
        </w:tc>
        <w:tc>
          <w:tcPr>
            <w:tcW w:w="94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0</w:t>
            </w:r>
          </w:p>
        </w:tc>
      </w:tr>
      <w:tr w:rsidR="00445B8E" w:rsidRPr="00445B8E" w:rsidTr="009D0C61">
        <w:trPr>
          <w:trHeight w:val="294"/>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príjmy z poistného od štátu</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167 984</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167 984</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170 086</w:t>
            </w:r>
          </w:p>
        </w:tc>
        <w:tc>
          <w:tcPr>
            <w:tcW w:w="94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2 102</w:t>
            </w:r>
          </w:p>
        </w:tc>
      </w:tr>
      <w:tr w:rsidR="00445B8E" w:rsidRPr="00445B8E" w:rsidTr="009D0C61">
        <w:trPr>
          <w:trHeight w:val="294"/>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príjmy od Sociálnej poisťovne</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1 888</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1 888</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1 833</w:t>
            </w:r>
          </w:p>
        </w:tc>
        <w:tc>
          <w:tcPr>
            <w:tcW w:w="94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-55</w:t>
            </w:r>
          </w:p>
        </w:tc>
      </w:tr>
      <w:tr w:rsidR="00445B8E" w:rsidRPr="00445B8E" w:rsidTr="009D0C61">
        <w:trPr>
          <w:trHeight w:val="294"/>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ostatné príjmy </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1 619 457</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1 619 455</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1 619 455</w:t>
            </w:r>
          </w:p>
        </w:tc>
        <w:tc>
          <w:tcPr>
            <w:tcW w:w="94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0</w:t>
            </w:r>
          </w:p>
        </w:tc>
      </w:tr>
      <w:tr w:rsidR="00445B8E" w:rsidRPr="00445B8E" w:rsidTr="009D0C61">
        <w:trPr>
          <w:trHeight w:val="294"/>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z toho príjmy zo ŠR SR</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1 608 733</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1 608 733</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1 608 733</w:t>
            </w:r>
          </w:p>
        </w:tc>
        <w:tc>
          <w:tcPr>
            <w:tcW w:w="94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0</w:t>
            </w:r>
          </w:p>
        </w:tc>
      </w:tr>
      <w:tr w:rsidR="00445B8E" w:rsidRPr="00445B8E" w:rsidTr="009D0C61">
        <w:trPr>
          <w:trHeight w:val="530"/>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príspevky na SDS zaplatené zamestnávateľom  po uplynutí 60 dní</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19 492</w:t>
            </w:r>
          </w:p>
        </w:tc>
        <w:tc>
          <w:tcPr>
            <w:tcW w:w="13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19 492</w:t>
            </w:r>
          </w:p>
        </w:tc>
        <w:tc>
          <w:tcPr>
            <w:tcW w:w="13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25 725</w:t>
            </w:r>
          </w:p>
        </w:tc>
        <w:tc>
          <w:tcPr>
            <w:tcW w:w="94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6 233</w:t>
            </w:r>
          </w:p>
        </w:tc>
      </w:tr>
      <w:tr w:rsidR="00445B8E" w:rsidRPr="00445B8E" w:rsidTr="009D0C61">
        <w:trPr>
          <w:trHeight w:val="530"/>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príjmy správneho fondu z príspevkov na SDS</w:t>
            </w:r>
          </w:p>
        </w:tc>
        <w:tc>
          <w:tcPr>
            <w:tcW w:w="1276"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4 100</w:t>
            </w:r>
          </w:p>
        </w:tc>
        <w:tc>
          <w:tcPr>
            <w:tcW w:w="13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4 100</w:t>
            </w:r>
          </w:p>
        </w:tc>
        <w:tc>
          <w:tcPr>
            <w:tcW w:w="13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4 275</w:t>
            </w:r>
          </w:p>
        </w:tc>
        <w:tc>
          <w:tcPr>
            <w:tcW w:w="944"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175</w:t>
            </w:r>
          </w:p>
        </w:tc>
      </w:tr>
    </w:tbl>
    <w:p w:rsidR="00445B8E" w:rsidRPr="00445B8E" w:rsidRDefault="00445B8E" w:rsidP="00445B8E">
      <w:pPr>
        <w:spacing w:before="240" w:after="120"/>
        <w:ind w:firstLine="720"/>
        <w:jc w:val="both"/>
        <w:rPr>
          <w:rFonts w:ascii="Arial" w:hAnsi="Arial" w:cs="Arial"/>
        </w:rPr>
      </w:pPr>
    </w:p>
    <w:p w:rsidR="00445B8E" w:rsidRPr="00445B8E" w:rsidRDefault="00445B8E" w:rsidP="00445B8E">
      <w:pPr>
        <w:spacing w:before="240" w:after="120"/>
        <w:ind w:firstLine="720"/>
        <w:jc w:val="both"/>
        <w:rPr>
          <w:rFonts w:ascii="Arial" w:hAnsi="Arial" w:cs="Arial"/>
        </w:rPr>
      </w:pPr>
      <w:r w:rsidRPr="00445B8E">
        <w:rPr>
          <w:rFonts w:ascii="Arial" w:hAnsi="Arial" w:cs="Arial"/>
        </w:rPr>
        <w:t xml:space="preserve">V roku 2011 sa očakávajú </w:t>
      </w:r>
      <w:r w:rsidRPr="00445B8E">
        <w:rPr>
          <w:rFonts w:ascii="Arial" w:hAnsi="Arial" w:cs="Arial"/>
          <w:b/>
        </w:rPr>
        <w:t xml:space="preserve">vyššie príjmy celkom </w:t>
      </w:r>
      <w:r w:rsidRPr="00445B8E">
        <w:rPr>
          <w:rFonts w:ascii="Arial" w:hAnsi="Arial" w:cs="Arial"/>
        </w:rPr>
        <w:t xml:space="preserve">oproti upravenému rozpočtu na rok 2011 </w:t>
      </w:r>
      <w:r w:rsidRPr="00445B8E">
        <w:rPr>
          <w:rFonts w:ascii="Arial" w:hAnsi="Arial" w:cs="Arial"/>
          <w:b/>
        </w:rPr>
        <w:t>o 24 483 tis. Eur</w:t>
      </w:r>
      <w:r w:rsidRPr="00445B8E">
        <w:rPr>
          <w:rFonts w:ascii="Arial" w:hAnsi="Arial" w:cs="Arial"/>
        </w:rPr>
        <w:t>. Nižšie sa očakávajú príjmy z bežného poistného</w:t>
      </w:r>
      <w:r w:rsidRPr="00445B8E">
        <w:rPr>
          <w:rFonts w:ascii="Arial" w:hAnsi="Arial" w:cs="Arial"/>
          <w:color w:val="FF0000"/>
        </w:rPr>
        <w:t xml:space="preserve"> </w:t>
      </w:r>
      <w:r w:rsidRPr="00445B8E">
        <w:rPr>
          <w:rFonts w:ascii="Arial" w:hAnsi="Arial" w:cs="Arial"/>
        </w:rPr>
        <w:t xml:space="preserve">od EAO o 88 043 tis. Eur. Na uvedené má vplyv najmä skutočnosť, že sa v roku 2011 očakáva DSS postúpiť príspevky na SDS za EAO v sume 761 119 tis. Eur, čo je o 22 391 tis. Eur viac, ako bolo zapracované v rozpočte. Príjmy z dlžného poistného sa predpokladajú vo výške 271 620 tis. Eur, čo predstavuje prekročenie v absolútnej sume 104 071 tis. Eur. </w:t>
      </w:r>
    </w:p>
    <w:p w:rsidR="00445B8E" w:rsidRPr="00445B8E" w:rsidRDefault="00445B8E" w:rsidP="00445B8E">
      <w:pPr>
        <w:spacing w:before="240" w:after="120"/>
        <w:ind w:firstLine="720"/>
        <w:jc w:val="both"/>
        <w:rPr>
          <w:rFonts w:ascii="Arial" w:hAnsi="Arial" w:cs="Arial"/>
        </w:rPr>
      </w:pPr>
      <w:r w:rsidRPr="00445B8E">
        <w:rPr>
          <w:rFonts w:ascii="Arial" w:hAnsi="Arial" w:cs="Arial"/>
        </w:rPr>
        <w:t>V očakávanej skutočnosti ostatných príjmov je zapracovaný transfer finančných prostriedkov zo ŠR SR v sume 1 608 733 tis. Eur, v tom v základnom fonde starobného poistenia v sume 1 564 945 tis. Eur na krytie deficitu vzniknutého dôsledkom zavedenia II. piliera a ako finančná výpomoc z dôvodu platobnej neschopnosti základného fondu starobného poistenia, v zmysle § 157 ods. 4 zákona o sociálnom poistení a v rezervnom fonde solidarity v sume 43 788 tis. Eur v zmysle § 293bg ods. 3 zákona o sociálnom poistení, ktorým bola znížená sadzba poistného do rezervného fondu solidarity v období od 1. apríla 2009 do 31. decembra 2010 pre povinne dôchodkovo poistenú SZČO.</w:t>
      </w:r>
    </w:p>
    <w:p w:rsidR="00445B8E" w:rsidRPr="00445B8E" w:rsidRDefault="00445B8E" w:rsidP="00445B8E">
      <w:pPr>
        <w:spacing w:before="240" w:after="120"/>
        <w:ind w:firstLine="720"/>
        <w:jc w:val="both"/>
        <w:rPr>
          <w:rFonts w:ascii="Arial" w:hAnsi="Arial" w:cs="Arial"/>
          <w:b/>
        </w:rPr>
      </w:pPr>
      <w:r w:rsidRPr="00445B8E">
        <w:rPr>
          <w:rFonts w:ascii="Arial" w:hAnsi="Arial" w:cs="Arial"/>
          <w:b/>
        </w:rPr>
        <w:t xml:space="preserve">Výdavky </w:t>
      </w:r>
    </w:p>
    <w:p w:rsidR="00445B8E" w:rsidRPr="00445B8E" w:rsidRDefault="00445B8E" w:rsidP="00445B8E">
      <w:pPr>
        <w:spacing w:before="240" w:after="120"/>
        <w:ind w:firstLine="709"/>
        <w:jc w:val="both"/>
        <w:rPr>
          <w:rFonts w:ascii="Arial" w:hAnsi="Arial" w:cs="Arial"/>
        </w:rPr>
      </w:pPr>
      <w:r w:rsidRPr="00445B8E">
        <w:rPr>
          <w:rFonts w:ascii="Arial" w:hAnsi="Arial" w:cs="Arial"/>
          <w:b/>
        </w:rPr>
        <w:t xml:space="preserve">Výdavky (náklady) </w:t>
      </w:r>
      <w:r w:rsidRPr="00445B8E">
        <w:rPr>
          <w:rFonts w:ascii="Arial" w:hAnsi="Arial" w:cs="Arial"/>
        </w:rPr>
        <w:t xml:space="preserve">Sociálnej poisťovne sa </w:t>
      </w:r>
      <w:r w:rsidRPr="00445B8E">
        <w:rPr>
          <w:rFonts w:ascii="Arial" w:hAnsi="Arial" w:cs="Arial"/>
          <w:b/>
        </w:rPr>
        <w:t xml:space="preserve">v roku 2011 </w:t>
      </w:r>
      <w:r w:rsidRPr="00445B8E">
        <w:rPr>
          <w:rFonts w:ascii="Arial" w:hAnsi="Arial" w:cs="Arial"/>
        </w:rPr>
        <w:t>očakávajú takéto:</w:t>
      </w:r>
    </w:p>
    <w:p w:rsidR="00445B8E" w:rsidRPr="00445B8E" w:rsidRDefault="00445B8E" w:rsidP="00445B8E">
      <w:pPr>
        <w:spacing w:before="240" w:after="120"/>
        <w:ind w:firstLine="709"/>
        <w:jc w:val="both"/>
        <w:rPr>
          <w:rFonts w:ascii="Arial" w:hAnsi="Arial" w:cs="Arial"/>
        </w:rPr>
      </w:pPr>
    </w:p>
    <w:p w:rsidR="00445B8E" w:rsidRPr="00445B8E" w:rsidRDefault="00445B8E" w:rsidP="00445B8E">
      <w:pPr>
        <w:spacing w:before="240" w:after="120"/>
        <w:ind w:firstLine="709"/>
        <w:jc w:val="both"/>
        <w:rPr>
          <w:rFonts w:ascii="Arial" w:hAnsi="Arial" w:cs="Arial"/>
        </w:rPr>
      </w:pPr>
    </w:p>
    <w:tbl>
      <w:tblPr>
        <w:tblW w:w="9558" w:type="dxa"/>
        <w:tblInd w:w="-72" w:type="dxa"/>
        <w:tblCellMar>
          <w:left w:w="70" w:type="dxa"/>
          <w:right w:w="70" w:type="dxa"/>
        </w:tblCellMar>
        <w:tblLook w:val="04A0" w:firstRow="1" w:lastRow="0" w:firstColumn="1" w:lastColumn="0" w:noHBand="0" w:noVBand="1"/>
      </w:tblPr>
      <w:tblGrid>
        <w:gridCol w:w="4820"/>
        <w:gridCol w:w="1276"/>
        <w:gridCol w:w="1134"/>
        <w:gridCol w:w="1300"/>
        <w:gridCol w:w="1028"/>
      </w:tblGrid>
      <w:tr w:rsidR="00445B8E" w:rsidRPr="00445B8E" w:rsidTr="009D0C61">
        <w:trPr>
          <w:trHeight w:val="300"/>
        </w:trPr>
        <w:tc>
          <w:tcPr>
            <w:tcW w:w="482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2"/>
                <w:szCs w:val="22"/>
              </w:rPr>
            </w:pPr>
          </w:p>
        </w:tc>
        <w:tc>
          <w:tcPr>
            <w:tcW w:w="1276"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2"/>
                <w:szCs w:val="22"/>
              </w:rPr>
            </w:pPr>
          </w:p>
        </w:tc>
        <w:tc>
          <w:tcPr>
            <w:tcW w:w="1134"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2"/>
                <w:szCs w:val="22"/>
              </w:rPr>
            </w:pPr>
          </w:p>
        </w:tc>
        <w:tc>
          <w:tcPr>
            <w:tcW w:w="1300" w:type="dxa"/>
            <w:tcBorders>
              <w:top w:val="nil"/>
              <w:left w:val="nil"/>
              <w:bottom w:val="nil"/>
              <w:right w:val="nil"/>
            </w:tcBorders>
            <w:shd w:val="clear" w:color="auto" w:fill="auto"/>
            <w:noWrap/>
            <w:vAlign w:val="bottom"/>
            <w:hideMark/>
          </w:tcPr>
          <w:p w:rsidR="00445B8E" w:rsidRPr="00445B8E" w:rsidRDefault="00445B8E" w:rsidP="00445B8E">
            <w:pPr>
              <w:rPr>
                <w:rFonts w:ascii="Arial" w:hAnsi="Arial" w:cs="Arial"/>
                <w:sz w:val="22"/>
                <w:szCs w:val="22"/>
              </w:rPr>
            </w:pPr>
          </w:p>
        </w:tc>
        <w:tc>
          <w:tcPr>
            <w:tcW w:w="1028" w:type="dxa"/>
            <w:tcBorders>
              <w:top w:val="nil"/>
              <w:left w:val="nil"/>
              <w:bottom w:val="nil"/>
              <w:right w:val="nil"/>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v tis. Eur</w:t>
            </w:r>
          </w:p>
        </w:tc>
      </w:tr>
      <w:tr w:rsidR="00445B8E" w:rsidRPr="00445B8E" w:rsidTr="009D0C61">
        <w:trPr>
          <w:trHeight w:val="9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Ukazovateľ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Schválený rozpočet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xml:space="preserve">Upravený rozpočet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Očakávaná skutočnosť v roku 2011</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xml:space="preserve">Rozdiel </w:t>
            </w:r>
            <w:r w:rsidRPr="00445B8E">
              <w:rPr>
                <w:rFonts w:ascii="Arial" w:hAnsi="Arial" w:cs="Arial"/>
                <w:sz w:val="22"/>
                <w:szCs w:val="22"/>
              </w:rPr>
              <w:br/>
              <w:t>(3-2)</w:t>
            </w:r>
          </w:p>
        </w:tc>
      </w:tr>
      <w:tr w:rsidR="00445B8E" w:rsidRPr="00445B8E" w:rsidTr="009D0C61">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a</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color w:val="000000"/>
                <w:sz w:val="22"/>
                <w:szCs w:val="22"/>
              </w:rPr>
            </w:pPr>
            <w:r w:rsidRPr="00445B8E">
              <w:rPr>
                <w:rFonts w:ascii="Arial" w:hAnsi="Arial" w:cs="Arial"/>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2</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3</w:t>
            </w:r>
          </w:p>
        </w:tc>
        <w:tc>
          <w:tcPr>
            <w:tcW w:w="102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4</w:t>
            </w:r>
          </w:p>
        </w:tc>
      </w:tr>
      <w:tr w:rsidR="00445B8E" w:rsidRPr="00445B8E" w:rsidTr="009D0C61">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Použitie prostriedkov celkom</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6 254 902</w:t>
            </w:r>
          </w:p>
        </w:tc>
        <w:tc>
          <w:tcPr>
            <w:tcW w:w="113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6 270 715</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6 176 592</w:t>
            </w:r>
          </w:p>
        </w:tc>
        <w:tc>
          <w:tcPr>
            <w:tcW w:w="102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-94 123</w:t>
            </w:r>
          </w:p>
        </w:tc>
      </w:tr>
      <w:tr w:rsidR="00445B8E" w:rsidRPr="00445B8E" w:rsidTr="009D0C61">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v tom:</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w:t>
            </w:r>
          </w:p>
        </w:tc>
        <w:tc>
          <w:tcPr>
            <w:tcW w:w="102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w:t>
            </w:r>
          </w:p>
        </w:tc>
      </w:tr>
      <w:tr w:rsidR="00445B8E" w:rsidRPr="00445B8E" w:rsidTr="009D0C61">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základný fond nemocenského poistenia </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332 219</w:t>
            </w:r>
          </w:p>
        </w:tc>
        <w:tc>
          <w:tcPr>
            <w:tcW w:w="113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348 521</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412 085</w:t>
            </w:r>
          </w:p>
        </w:tc>
        <w:tc>
          <w:tcPr>
            <w:tcW w:w="102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63 564</w:t>
            </w:r>
          </w:p>
        </w:tc>
      </w:tr>
      <w:tr w:rsidR="00445B8E" w:rsidRPr="00445B8E" w:rsidTr="009D0C61">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základný fond starobného poistenia</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4 659 053</w:t>
            </w:r>
          </w:p>
        </w:tc>
        <w:tc>
          <w:tcPr>
            <w:tcW w:w="113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4 659 053</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4 559 787</w:t>
            </w:r>
          </w:p>
        </w:tc>
        <w:tc>
          <w:tcPr>
            <w:tcW w:w="102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-99 266</w:t>
            </w:r>
          </w:p>
        </w:tc>
      </w:tr>
      <w:tr w:rsidR="00445B8E" w:rsidRPr="00445B8E" w:rsidTr="009D0C61">
        <w:trPr>
          <w:trHeight w:val="300"/>
        </w:trPr>
        <w:tc>
          <w:tcPr>
            <w:tcW w:w="4820"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základný fond invalidného poistenia </w:t>
            </w:r>
          </w:p>
        </w:tc>
        <w:tc>
          <w:tcPr>
            <w:tcW w:w="1276"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833 612</w:t>
            </w:r>
          </w:p>
        </w:tc>
        <w:tc>
          <w:tcPr>
            <w:tcW w:w="1134"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833 612</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842 706</w:t>
            </w:r>
          </w:p>
        </w:tc>
        <w:tc>
          <w:tcPr>
            <w:tcW w:w="102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9 094</w:t>
            </w:r>
          </w:p>
        </w:tc>
      </w:tr>
      <w:tr w:rsidR="00445B8E" w:rsidRPr="00445B8E" w:rsidTr="009D0C61">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základný fond úrazového poistenia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44 024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44 024</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44 655</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631</w:t>
            </w:r>
          </w:p>
        </w:tc>
      </w:tr>
      <w:tr w:rsidR="00445B8E" w:rsidRPr="00445B8E" w:rsidTr="009D0C61">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základný fond garančného poistenia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50 082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50 082</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38 922</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-11 160</w:t>
            </w:r>
          </w:p>
        </w:tc>
      </w:tr>
      <w:tr w:rsidR="00445B8E" w:rsidRPr="00445B8E" w:rsidTr="009D0C61">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základný fond poistenia v nezamestnanosti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200 442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199 953</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162 864</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-37 089</w:t>
            </w:r>
          </w:p>
        </w:tc>
      </w:tr>
      <w:tr w:rsidR="00445B8E" w:rsidRPr="00445B8E" w:rsidTr="009D0C61">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správny fond</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135 470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135 470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115 573</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-19 897</w:t>
            </w:r>
          </w:p>
        </w:tc>
      </w:tr>
    </w:tbl>
    <w:p w:rsidR="00445B8E" w:rsidRPr="00445B8E" w:rsidRDefault="00445B8E" w:rsidP="00445B8E">
      <w:pPr>
        <w:spacing w:after="120"/>
        <w:ind w:firstLine="709"/>
        <w:jc w:val="both"/>
        <w:rPr>
          <w:rFonts w:ascii="Arial" w:hAnsi="Arial" w:cs="Arial"/>
        </w:rPr>
      </w:pPr>
    </w:p>
    <w:p w:rsidR="00445B8E" w:rsidRPr="00445B8E" w:rsidRDefault="00445B8E" w:rsidP="00445B8E">
      <w:pPr>
        <w:spacing w:after="120"/>
        <w:ind w:firstLine="709"/>
        <w:jc w:val="both"/>
        <w:rPr>
          <w:rFonts w:ascii="Arial" w:hAnsi="Arial" w:cs="Arial"/>
        </w:rPr>
      </w:pPr>
      <w:r w:rsidRPr="00445B8E">
        <w:rPr>
          <w:rFonts w:ascii="Arial" w:hAnsi="Arial" w:cs="Arial"/>
        </w:rPr>
        <w:t xml:space="preserve">V roku 2011 sa očakávajú </w:t>
      </w:r>
      <w:r w:rsidRPr="00445B8E">
        <w:rPr>
          <w:rFonts w:ascii="Arial" w:hAnsi="Arial" w:cs="Arial"/>
          <w:b/>
        </w:rPr>
        <w:t>celkovo</w:t>
      </w:r>
      <w:r w:rsidRPr="00445B8E">
        <w:rPr>
          <w:rFonts w:ascii="Arial" w:hAnsi="Arial" w:cs="Arial"/>
        </w:rPr>
        <w:t xml:space="preserve"> </w:t>
      </w:r>
      <w:r w:rsidRPr="00445B8E">
        <w:rPr>
          <w:rFonts w:ascii="Arial" w:hAnsi="Arial" w:cs="Arial"/>
          <w:b/>
        </w:rPr>
        <w:t>nižšie</w:t>
      </w:r>
      <w:r w:rsidRPr="00445B8E">
        <w:rPr>
          <w:rFonts w:ascii="Arial" w:hAnsi="Arial" w:cs="Arial"/>
        </w:rPr>
        <w:t xml:space="preserve"> výdavky (náklady) Sociálnej poisťovne o </w:t>
      </w:r>
      <w:r w:rsidRPr="00445B8E">
        <w:rPr>
          <w:rFonts w:ascii="Arial" w:hAnsi="Arial" w:cs="Arial"/>
          <w:b/>
        </w:rPr>
        <w:t>94 123 tis. Eur</w:t>
      </w:r>
      <w:r w:rsidRPr="00445B8E">
        <w:rPr>
          <w:rFonts w:ascii="Arial" w:hAnsi="Arial" w:cs="Arial"/>
        </w:rPr>
        <w:t>, oproti upravenému rozpočtu,  v tom:</w:t>
      </w:r>
    </w:p>
    <w:p w:rsidR="00445B8E" w:rsidRPr="00445B8E" w:rsidRDefault="00445B8E" w:rsidP="00445B8E">
      <w:pPr>
        <w:numPr>
          <w:ilvl w:val="0"/>
          <w:numId w:val="15"/>
        </w:numPr>
        <w:spacing w:after="120"/>
        <w:ind w:left="714" w:hanging="714"/>
        <w:jc w:val="both"/>
        <w:rPr>
          <w:rFonts w:ascii="Arial" w:hAnsi="Arial" w:cs="Arial"/>
        </w:rPr>
      </w:pPr>
      <w:r w:rsidRPr="00445B8E">
        <w:rPr>
          <w:rFonts w:ascii="Arial" w:hAnsi="Arial" w:cs="Arial"/>
          <w:b/>
        </w:rPr>
        <w:t>v základnom fondu nemocenského poistenia vyššie o 63 564 tis. Eur</w:t>
      </w:r>
      <w:r w:rsidRPr="00445B8E">
        <w:rPr>
          <w:rFonts w:ascii="Arial" w:hAnsi="Arial" w:cs="Arial"/>
        </w:rPr>
        <w:t>. Pri prepočte bol zohľadnený očakávaný vývoj ukazovateľov ovplyvňujúcich výšku výdavkov na nemocenské dávky:</w:t>
      </w:r>
    </w:p>
    <w:tbl>
      <w:tblPr>
        <w:tblW w:w="7148" w:type="dxa"/>
        <w:tblInd w:w="779" w:type="dxa"/>
        <w:tblCellMar>
          <w:left w:w="70" w:type="dxa"/>
          <w:right w:w="70" w:type="dxa"/>
        </w:tblCellMar>
        <w:tblLook w:val="04A0" w:firstRow="1" w:lastRow="0" w:firstColumn="1" w:lastColumn="0" w:noHBand="0" w:noVBand="1"/>
      </w:tblPr>
      <w:tblGrid>
        <w:gridCol w:w="2268"/>
        <w:gridCol w:w="2440"/>
        <w:gridCol w:w="2440"/>
      </w:tblGrid>
      <w:tr w:rsidR="00445B8E" w:rsidRPr="00445B8E" w:rsidTr="009D0C61">
        <w:trPr>
          <w:trHeight w:val="555"/>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Dávka</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Priemerná mesačná výška dávky v Eur</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Priemerný mesačný počet poberateľov dávky</w:t>
            </w:r>
          </w:p>
        </w:tc>
      </w:tr>
      <w:tr w:rsidR="00445B8E" w:rsidRPr="00445B8E" w:rsidTr="009D0C61">
        <w:trPr>
          <w:trHeight w:val="232"/>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Nemocenské</w:t>
            </w:r>
          </w:p>
        </w:tc>
        <w:tc>
          <w:tcPr>
            <w:tcW w:w="244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206</w:t>
            </w:r>
          </w:p>
        </w:tc>
        <w:tc>
          <w:tcPr>
            <w:tcW w:w="244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121 200</w:t>
            </w:r>
          </w:p>
        </w:tc>
      </w:tr>
      <w:tr w:rsidR="00445B8E" w:rsidRPr="00445B8E" w:rsidTr="009D0C61">
        <w:trPr>
          <w:trHeight w:val="124"/>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Ošetrovné </w:t>
            </w:r>
          </w:p>
        </w:tc>
        <w:tc>
          <w:tcPr>
            <w:tcW w:w="244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73</w:t>
            </w:r>
          </w:p>
        </w:tc>
        <w:tc>
          <w:tcPr>
            <w:tcW w:w="244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13 600</w:t>
            </w:r>
          </w:p>
        </w:tc>
      </w:tr>
      <w:tr w:rsidR="00445B8E" w:rsidRPr="00445B8E" w:rsidTr="009D0C61">
        <w:trPr>
          <w:trHeight w:val="171"/>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Vyrovnávacia dávka</w:t>
            </w:r>
          </w:p>
        </w:tc>
        <w:tc>
          <w:tcPr>
            <w:tcW w:w="244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61</w:t>
            </w:r>
          </w:p>
        </w:tc>
        <w:tc>
          <w:tcPr>
            <w:tcW w:w="244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85</w:t>
            </w:r>
          </w:p>
        </w:tc>
      </w:tr>
      <w:tr w:rsidR="00445B8E" w:rsidRPr="00445B8E" w:rsidTr="009D0C61">
        <w:trPr>
          <w:trHeight w:val="206"/>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45B8E" w:rsidRPr="00445B8E" w:rsidRDefault="00445B8E" w:rsidP="00445B8E">
            <w:pPr>
              <w:rPr>
                <w:rFonts w:ascii="Arial" w:hAnsi="Arial" w:cs="Arial"/>
                <w:sz w:val="22"/>
                <w:szCs w:val="22"/>
              </w:rPr>
            </w:pPr>
            <w:r w:rsidRPr="00445B8E">
              <w:rPr>
                <w:rFonts w:ascii="Arial" w:hAnsi="Arial" w:cs="Arial"/>
                <w:sz w:val="22"/>
                <w:szCs w:val="22"/>
              </w:rPr>
              <w:t>Materské</w:t>
            </w:r>
          </w:p>
        </w:tc>
        <w:tc>
          <w:tcPr>
            <w:tcW w:w="244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379</w:t>
            </w:r>
          </w:p>
        </w:tc>
        <w:tc>
          <w:tcPr>
            <w:tcW w:w="244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22 200</w:t>
            </w:r>
          </w:p>
        </w:tc>
      </w:tr>
    </w:tbl>
    <w:p w:rsidR="00445B8E" w:rsidRPr="00445B8E" w:rsidRDefault="00445B8E" w:rsidP="00445B8E">
      <w:pPr>
        <w:jc w:val="both"/>
        <w:rPr>
          <w:rFonts w:ascii="Arial" w:hAnsi="Arial" w:cs="Arial"/>
        </w:rPr>
      </w:pPr>
    </w:p>
    <w:p w:rsidR="00445B8E" w:rsidRPr="00445B8E" w:rsidRDefault="00445B8E" w:rsidP="00445B8E">
      <w:pPr>
        <w:numPr>
          <w:ilvl w:val="0"/>
          <w:numId w:val="15"/>
        </w:numPr>
        <w:ind w:hanging="720"/>
        <w:jc w:val="both"/>
        <w:rPr>
          <w:rFonts w:ascii="Arial" w:hAnsi="Arial" w:cs="Arial"/>
        </w:rPr>
      </w:pPr>
      <w:r w:rsidRPr="00445B8E">
        <w:rPr>
          <w:rFonts w:ascii="Arial" w:hAnsi="Arial" w:cs="Arial"/>
          <w:b/>
        </w:rPr>
        <w:t>v základnom fonde starobného poistenia nižšie o 99 266 tis. Eur</w:t>
      </w:r>
      <w:r w:rsidRPr="00445B8E">
        <w:rPr>
          <w:rFonts w:ascii="Arial" w:hAnsi="Arial" w:cs="Arial"/>
        </w:rPr>
        <w:t xml:space="preserve">, </w:t>
      </w:r>
      <w:r w:rsidRPr="00445B8E">
        <w:rPr>
          <w:rFonts w:ascii="Arial" w:hAnsi="Arial" w:cs="Arial"/>
          <w:szCs w:val="20"/>
        </w:rPr>
        <w:t>najmä z dôvodu nižšieho počtu priznaných predčasných starobných dôchodkov  na základe zmeny podmienok nároku na výplatu predčasného starobného dôchodku (zárobok alebo dôchodok),</w:t>
      </w:r>
    </w:p>
    <w:p w:rsidR="00445B8E" w:rsidRPr="00445B8E" w:rsidRDefault="00445B8E" w:rsidP="00445B8E">
      <w:pPr>
        <w:numPr>
          <w:ilvl w:val="0"/>
          <w:numId w:val="15"/>
        </w:numPr>
        <w:ind w:hanging="720"/>
        <w:jc w:val="both"/>
        <w:rPr>
          <w:rFonts w:ascii="Arial" w:hAnsi="Arial" w:cs="Arial"/>
        </w:rPr>
      </w:pPr>
      <w:r w:rsidRPr="00445B8E">
        <w:rPr>
          <w:rFonts w:ascii="Arial" w:hAnsi="Arial" w:cs="Arial"/>
          <w:b/>
        </w:rPr>
        <w:t>v základnom fonde invalidného poistenia vyššie o 9 094 tis. Eur</w:t>
      </w:r>
      <w:r w:rsidRPr="00445B8E">
        <w:rPr>
          <w:rFonts w:ascii="Arial" w:hAnsi="Arial" w:cs="Arial"/>
        </w:rPr>
        <w:t>,</w:t>
      </w:r>
    </w:p>
    <w:p w:rsidR="00445B8E" w:rsidRPr="00445B8E" w:rsidRDefault="00445B8E" w:rsidP="00445B8E">
      <w:pPr>
        <w:numPr>
          <w:ilvl w:val="0"/>
          <w:numId w:val="15"/>
        </w:numPr>
        <w:ind w:hanging="720"/>
        <w:jc w:val="both"/>
        <w:rPr>
          <w:rFonts w:ascii="Arial" w:hAnsi="Arial" w:cs="Arial"/>
        </w:rPr>
      </w:pPr>
      <w:r w:rsidRPr="00445B8E">
        <w:rPr>
          <w:rFonts w:ascii="Arial" w:hAnsi="Arial" w:cs="Arial"/>
          <w:b/>
        </w:rPr>
        <w:t>v základnom fonde úrazového poistenia vyššie o 631 tis. Eur</w:t>
      </w:r>
      <w:r w:rsidRPr="00445B8E">
        <w:rPr>
          <w:rFonts w:ascii="Arial" w:hAnsi="Arial" w:cs="Arial"/>
        </w:rPr>
        <w:t xml:space="preserve">, </w:t>
      </w:r>
    </w:p>
    <w:p w:rsidR="00445B8E" w:rsidRPr="00445B8E" w:rsidRDefault="00445B8E" w:rsidP="00445B8E">
      <w:pPr>
        <w:numPr>
          <w:ilvl w:val="0"/>
          <w:numId w:val="15"/>
        </w:numPr>
        <w:ind w:hanging="720"/>
        <w:jc w:val="both"/>
        <w:rPr>
          <w:rFonts w:ascii="Arial" w:hAnsi="Arial" w:cs="Arial"/>
        </w:rPr>
      </w:pPr>
      <w:r w:rsidRPr="00445B8E">
        <w:rPr>
          <w:rFonts w:ascii="Arial" w:hAnsi="Arial" w:cs="Arial"/>
          <w:b/>
        </w:rPr>
        <w:t>v základnom fonde garančného poistenia nižšie o 11 160 tis. Eur</w:t>
      </w:r>
      <w:r w:rsidRPr="00445B8E">
        <w:rPr>
          <w:rFonts w:ascii="Arial" w:hAnsi="Arial" w:cs="Arial"/>
        </w:rPr>
        <w:t>, z dôvodu nižšej úhrady príspevkov na SDS (nezaplatených zamestnávateľom) zo základného fondu garančného poistenia a nižších výdavkov na dávku garančného poistenia,</w:t>
      </w:r>
    </w:p>
    <w:p w:rsidR="00445B8E" w:rsidRPr="00445B8E" w:rsidRDefault="00445B8E" w:rsidP="00445B8E">
      <w:pPr>
        <w:numPr>
          <w:ilvl w:val="0"/>
          <w:numId w:val="15"/>
        </w:numPr>
        <w:ind w:hanging="720"/>
        <w:jc w:val="both"/>
        <w:rPr>
          <w:rFonts w:ascii="Arial" w:hAnsi="Arial" w:cs="Arial"/>
        </w:rPr>
      </w:pPr>
      <w:r w:rsidRPr="00445B8E">
        <w:rPr>
          <w:rFonts w:ascii="Arial" w:hAnsi="Arial" w:cs="Arial"/>
          <w:b/>
        </w:rPr>
        <w:t>v základnom fonde poistenia v nezamestnanosti nižšie o 37 089 tis. Eur</w:t>
      </w:r>
      <w:r w:rsidRPr="00445B8E">
        <w:rPr>
          <w:rFonts w:ascii="Arial" w:hAnsi="Arial" w:cs="Arial"/>
        </w:rPr>
        <w:t>. Suma výdavkov v roku 2011 bola vykvantifikovaná na základe očakávaného vývoja priemernej mesačnej výšky dávky do konca roka (312 Eur) a priemerného mesačného počtu poberateľov (43 500).</w:t>
      </w:r>
    </w:p>
    <w:p w:rsidR="00445B8E" w:rsidRPr="00445B8E" w:rsidRDefault="00445B8E" w:rsidP="00445B8E">
      <w:pPr>
        <w:numPr>
          <w:ilvl w:val="0"/>
          <w:numId w:val="15"/>
        </w:numPr>
        <w:spacing w:after="120"/>
        <w:ind w:hanging="720"/>
        <w:jc w:val="both"/>
        <w:rPr>
          <w:rFonts w:ascii="Arial" w:hAnsi="Arial" w:cs="Arial"/>
        </w:rPr>
      </w:pPr>
      <w:r w:rsidRPr="00445B8E">
        <w:rPr>
          <w:rFonts w:ascii="Arial" w:hAnsi="Arial" w:cs="Arial"/>
          <w:b/>
        </w:rPr>
        <w:t>v správnom fonde nižšie o 19 897 tis. Eur</w:t>
      </w:r>
      <w:r w:rsidRPr="00445B8E">
        <w:rPr>
          <w:rFonts w:ascii="Arial" w:hAnsi="Arial" w:cs="Arial"/>
        </w:rPr>
        <w:t>, z dôvodu zefektívnenia činností a procesov vo všetkých oblastiach výkonu Sociálnej poisťovne.</w:t>
      </w:r>
    </w:p>
    <w:p w:rsidR="00445B8E" w:rsidRPr="00445B8E" w:rsidRDefault="00445B8E" w:rsidP="00445B8E">
      <w:pPr>
        <w:spacing w:before="240" w:after="120"/>
        <w:ind w:firstLine="720"/>
        <w:jc w:val="both"/>
        <w:rPr>
          <w:rFonts w:ascii="Arial" w:hAnsi="Arial" w:cs="Arial"/>
        </w:rPr>
      </w:pPr>
      <w:r w:rsidRPr="00445B8E">
        <w:rPr>
          <w:rFonts w:ascii="Arial" w:hAnsi="Arial" w:cs="Arial"/>
        </w:rPr>
        <w:t xml:space="preserve">Z hľadiska </w:t>
      </w:r>
      <w:r w:rsidRPr="00445B8E">
        <w:rPr>
          <w:rFonts w:ascii="Arial" w:hAnsi="Arial" w:cs="Arial"/>
          <w:b/>
        </w:rPr>
        <w:t>celkového hospodárenia Sociálnej poisťovne</w:t>
      </w:r>
      <w:r w:rsidRPr="00445B8E">
        <w:rPr>
          <w:rFonts w:ascii="Arial" w:hAnsi="Arial" w:cs="Arial"/>
        </w:rPr>
        <w:t xml:space="preserve"> je možné očakávať k 31. 12. 2011 v jednotlivých fondoch takéto výsledky:</w:t>
      </w:r>
    </w:p>
    <w:tbl>
      <w:tblPr>
        <w:tblW w:w="9229" w:type="dxa"/>
        <w:tblInd w:w="55" w:type="dxa"/>
        <w:tblCellMar>
          <w:left w:w="70" w:type="dxa"/>
          <w:right w:w="70" w:type="dxa"/>
        </w:tblCellMar>
        <w:tblLook w:val="04A0" w:firstRow="1" w:lastRow="0" w:firstColumn="1" w:lastColumn="0" w:noHBand="0" w:noVBand="1"/>
      </w:tblPr>
      <w:tblGrid>
        <w:gridCol w:w="4126"/>
        <w:gridCol w:w="1418"/>
        <w:gridCol w:w="1300"/>
        <w:gridCol w:w="1300"/>
        <w:gridCol w:w="1085"/>
      </w:tblGrid>
      <w:tr w:rsidR="00445B8E" w:rsidRPr="00445B8E" w:rsidTr="009D0C61">
        <w:trPr>
          <w:trHeight w:val="300"/>
        </w:trPr>
        <w:tc>
          <w:tcPr>
            <w:tcW w:w="4126" w:type="dxa"/>
            <w:tcBorders>
              <w:top w:val="nil"/>
              <w:left w:val="nil"/>
              <w:bottom w:val="nil"/>
              <w:right w:val="nil"/>
            </w:tcBorders>
            <w:shd w:val="clear" w:color="auto" w:fill="auto"/>
            <w:noWrap/>
            <w:vAlign w:val="center"/>
            <w:hideMark/>
          </w:tcPr>
          <w:p w:rsidR="00445B8E" w:rsidRPr="00445B8E" w:rsidRDefault="00445B8E" w:rsidP="00445B8E">
            <w:pPr>
              <w:rPr>
                <w:rFonts w:ascii="Arial" w:hAnsi="Arial" w:cs="Arial"/>
                <w:sz w:val="22"/>
                <w:szCs w:val="22"/>
              </w:rPr>
            </w:pPr>
          </w:p>
        </w:tc>
        <w:tc>
          <w:tcPr>
            <w:tcW w:w="1418" w:type="dxa"/>
            <w:tcBorders>
              <w:top w:val="nil"/>
              <w:left w:val="nil"/>
              <w:bottom w:val="nil"/>
              <w:right w:val="nil"/>
            </w:tcBorders>
            <w:shd w:val="clear" w:color="auto" w:fill="auto"/>
            <w:noWrap/>
            <w:vAlign w:val="center"/>
            <w:hideMark/>
          </w:tcPr>
          <w:p w:rsidR="00445B8E" w:rsidRPr="00445B8E" w:rsidRDefault="00445B8E" w:rsidP="00445B8E">
            <w:pPr>
              <w:rPr>
                <w:rFonts w:ascii="Arial" w:hAnsi="Arial" w:cs="Arial"/>
                <w:sz w:val="22"/>
                <w:szCs w:val="22"/>
              </w:rPr>
            </w:pPr>
          </w:p>
        </w:tc>
        <w:tc>
          <w:tcPr>
            <w:tcW w:w="1300" w:type="dxa"/>
            <w:tcBorders>
              <w:top w:val="nil"/>
              <w:left w:val="nil"/>
              <w:bottom w:val="nil"/>
              <w:right w:val="nil"/>
            </w:tcBorders>
            <w:shd w:val="clear" w:color="auto" w:fill="auto"/>
            <w:noWrap/>
            <w:vAlign w:val="center"/>
            <w:hideMark/>
          </w:tcPr>
          <w:p w:rsidR="00445B8E" w:rsidRPr="00445B8E" w:rsidRDefault="00445B8E" w:rsidP="00445B8E">
            <w:pPr>
              <w:rPr>
                <w:rFonts w:ascii="Arial" w:hAnsi="Arial" w:cs="Arial"/>
                <w:sz w:val="22"/>
                <w:szCs w:val="22"/>
              </w:rPr>
            </w:pPr>
          </w:p>
        </w:tc>
        <w:tc>
          <w:tcPr>
            <w:tcW w:w="1300" w:type="dxa"/>
            <w:tcBorders>
              <w:top w:val="nil"/>
              <w:left w:val="nil"/>
              <w:bottom w:val="nil"/>
              <w:right w:val="nil"/>
            </w:tcBorders>
            <w:shd w:val="clear" w:color="auto" w:fill="auto"/>
            <w:noWrap/>
            <w:vAlign w:val="center"/>
            <w:hideMark/>
          </w:tcPr>
          <w:p w:rsidR="00445B8E" w:rsidRPr="00445B8E" w:rsidRDefault="00445B8E" w:rsidP="00445B8E">
            <w:pPr>
              <w:rPr>
                <w:rFonts w:ascii="Arial" w:hAnsi="Arial" w:cs="Arial"/>
                <w:sz w:val="22"/>
                <w:szCs w:val="22"/>
              </w:rPr>
            </w:pPr>
          </w:p>
        </w:tc>
        <w:tc>
          <w:tcPr>
            <w:tcW w:w="1085" w:type="dxa"/>
            <w:tcBorders>
              <w:top w:val="nil"/>
              <w:left w:val="nil"/>
              <w:bottom w:val="nil"/>
              <w:right w:val="nil"/>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v tis. Eur</w:t>
            </w:r>
          </w:p>
        </w:tc>
      </w:tr>
      <w:tr w:rsidR="00445B8E" w:rsidRPr="00445B8E" w:rsidTr="009D0C61">
        <w:trPr>
          <w:trHeight w:val="300"/>
        </w:trPr>
        <w:tc>
          <w:tcPr>
            <w:tcW w:w="41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xml:space="preserve">Fond  </w:t>
            </w:r>
          </w:p>
        </w:tc>
        <w:tc>
          <w:tcPr>
            <w:tcW w:w="4018" w:type="dxa"/>
            <w:gridSpan w:val="3"/>
            <w:tcBorders>
              <w:top w:val="single" w:sz="4" w:space="0" w:color="auto"/>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Bilančný rozdiel k 31.12.2011</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xml:space="preserve">Rozdiel </w:t>
            </w:r>
            <w:r w:rsidRPr="00445B8E">
              <w:rPr>
                <w:rFonts w:ascii="Arial" w:hAnsi="Arial" w:cs="Arial"/>
                <w:sz w:val="22"/>
                <w:szCs w:val="22"/>
              </w:rPr>
              <w:br/>
              <w:t>(3-2)</w:t>
            </w:r>
          </w:p>
        </w:tc>
      </w:tr>
      <w:tr w:rsidR="00445B8E" w:rsidRPr="00445B8E" w:rsidTr="009D0C61">
        <w:trPr>
          <w:trHeight w:val="600"/>
        </w:trPr>
        <w:tc>
          <w:tcPr>
            <w:tcW w:w="4126"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2"/>
                <w:szCs w:val="22"/>
              </w:rPr>
            </w:pPr>
          </w:p>
        </w:tc>
        <w:tc>
          <w:tcPr>
            <w:tcW w:w="1418"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xml:space="preserve">Schválený rozpočet </w:t>
            </w:r>
          </w:p>
        </w:tc>
        <w:tc>
          <w:tcPr>
            <w:tcW w:w="13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xml:space="preserve">Upravený rozpočet </w:t>
            </w:r>
          </w:p>
        </w:tc>
        <w:tc>
          <w:tcPr>
            <w:tcW w:w="13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 xml:space="preserve">Očakávaná skutočnosť </w:t>
            </w: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445B8E" w:rsidRPr="00445B8E" w:rsidRDefault="00445B8E" w:rsidP="00445B8E">
            <w:pPr>
              <w:rPr>
                <w:rFonts w:ascii="Arial" w:hAnsi="Arial" w:cs="Arial"/>
                <w:sz w:val="22"/>
                <w:szCs w:val="22"/>
              </w:rPr>
            </w:pPr>
          </w:p>
        </w:tc>
      </w:tr>
      <w:tr w:rsidR="00445B8E" w:rsidRPr="00445B8E" w:rsidTr="009D0C61">
        <w:trPr>
          <w:trHeight w:val="30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a</w:t>
            </w:r>
          </w:p>
        </w:tc>
        <w:tc>
          <w:tcPr>
            <w:tcW w:w="141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1</w:t>
            </w:r>
          </w:p>
        </w:tc>
        <w:tc>
          <w:tcPr>
            <w:tcW w:w="13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2</w:t>
            </w:r>
          </w:p>
        </w:tc>
        <w:tc>
          <w:tcPr>
            <w:tcW w:w="1300" w:type="dxa"/>
            <w:tcBorders>
              <w:top w:val="nil"/>
              <w:left w:val="nil"/>
              <w:bottom w:val="single" w:sz="4" w:space="0" w:color="auto"/>
              <w:right w:val="single" w:sz="4" w:space="0" w:color="auto"/>
            </w:tcBorders>
            <w:shd w:val="clear" w:color="auto" w:fill="auto"/>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3</w:t>
            </w:r>
          </w:p>
        </w:tc>
        <w:tc>
          <w:tcPr>
            <w:tcW w:w="1085"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center"/>
              <w:rPr>
                <w:rFonts w:ascii="Arial" w:hAnsi="Arial" w:cs="Arial"/>
                <w:sz w:val="22"/>
                <w:szCs w:val="22"/>
              </w:rPr>
            </w:pPr>
            <w:r w:rsidRPr="00445B8E">
              <w:rPr>
                <w:rFonts w:ascii="Arial" w:hAnsi="Arial" w:cs="Arial"/>
                <w:sz w:val="22"/>
                <w:szCs w:val="22"/>
              </w:rPr>
              <w:t>4</w:t>
            </w:r>
          </w:p>
        </w:tc>
      </w:tr>
      <w:tr w:rsidR="00445B8E" w:rsidRPr="00445B8E" w:rsidTr="009D0C61">
        <w:trPr>
          <w:trHeight w:val="30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Základný fond nemocenského poistenia </w:t>
            </w:r>
          </w:p>
        </w:tc>
        <w:tc>
          <w:tcPr>
            <w:tcW w:w="141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30 000</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30 000</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74 835</w:t>
            </w:r>
          </w:p>
        </w:tc>
        <w:tc>
          <w:tcPr>
            <w:tcW w:w="1085"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44 835</w:t>
            </w:r>
          </w:p>
        </w:tc>
      </w:tr>
      <w:tr w:rsidR="00445B8E" w:rsidRPr="00445B8E" w:rsidTr="009D0C61">
        <w:trPr>
          <w:trHeight w:val="30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Základný fond starobného poistenia</w:t>
            </w:r>
          </w:p>
        </w:tc>
        <w:tc>
          <w:tcPr>
            <w:tcW w:w="141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253 731</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233 420</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371 290</w:t>
            </w:r>
          </w:p>
        </w:tc>
        <w:tc>
          <w:tcPr>
            <w:tcW w:w="1085"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137 870</w:t>
            </w:r>
          </w:p>
        </w:tc>
      </w:tr>
      <w:tr w:rsidR="00445B8E" w:rsidRPr="00445B8E" w:rsidTr="009D0C61">
        <w:trPr>
          <w:trHeight w:val="30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Základný fond invalidného poistenia </w:t>
            </w:r>
          </w:p>
        </w:tc>
        <w:tc>
          <w:tcPr>
            <w:tcW w:w="141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156 978</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156 415</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109 668</w:t>
            </w:r>
          </w:p>
        </w:tc>
        <w:tc>
          <w:tcPr>
            <w:tcW w:w="1085"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-46 747</w:t>
            </w:r>
          </w:p>
        </w:tc>
      </w:tr>
      <w:tr w:rsidR="00445B8E" w:rsidRPr="00445B8E" w:rsidTr="009D0C61">
        <w:trPr>
          <w:trHeight w:val="30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Základný fond úrazového poistenia  </w:t>
            </w:r>
          </w:p>
        </w:tc>
        <w:tc>
          <w:tcPr>
            <w:tcW w:w="141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4 000</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4 000</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4 000</w:t>
            </w:r>
          </w:p>
        </w:tc>
        <w:tc>
          <w:tcPr>
            <w:tcW w:w="1085"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0</w:t>
            </w:r>
          </w:p>
        </w:tc>
      </w:tr>
      <w:tr w:rsidR="00445B8E" w:rsidRPr="00445B8E" w:rsidTr="009D0C61">
        <w:trPr>
          <w:trHeight w:val="30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Základný fond garančného poistenia </w:t>
            </w:r>
          </w:p>
        </w:tc>
        <w:tc>
          <w:tcPr>
            <w:tcW w:w="141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12 338</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12 366</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5 000</w:t>
            </w:r>
          </w:p>
        </w:tc>
        <w:tc>
          <w:tcPr>
            <w:tcW w:w="1085"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-7 366</w:t>
            </w:r>
          </w:p>
        </w:tc>
      </w:tr>
      <w:tr w:rsidR="00445B8E" w:rsidRPr="00445B8E" w:rsidTr="009D0C61">
        <w:trPr>
          <w:trHeight w:val="30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 xml:space="preserve">Základný fond poistenia v nezamestnanosti </w:t>
            </w:r>
          </w:p>
        </w:tc>
        <w:tc>
          <w:tcPr>
            <w:tcW w:w="1418"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17 000</w:t>
            </w:r>
          </w:p>
        </w:tc>
        <w:tc>
          <w:tcPr>
            <w:tcW w:w="13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17 000</w:t>
            </w:r>
          </w:p>
        </w:tc>
        <w:tc>
          <w:tcPr>
            <w:tcW w:w="1300"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15 000</w:t>
            </w:r>
          </w:p>
        </w:tc>
        <w:tc>
          <w:tcPr>
            <w:tcW w:w="1085" w:type="dxa"/>
            <w:tcBorders>
              <w:top w:val="nil"/>
              <w:left w:val="nil"/>
              <w:bottom w:val="single" w:sz="4" w:space="0" w:color="auto"/>
              <w:right w:val="single" w:sz="4" w:space="0" w:color="auto"/>
            </w:tcBorders>
            <w:shd w:val="clear" w:color="auto" w:fill="auto"/>
            <w:noWrap/>
            <w:vAlign w:val="bottom"/>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-2 000</w:t>
            </w:r>
          </w:p>
        </w:tc>
      </w:tr>
      <w:tr w:rsidR="00445B8E" w:rsidRPr="00445B8E" w:rsidTr="009D0C61">
        <w:trPr>
          <w:trHeight w:val="30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Rezervný fond solidarity</w:t>
            </w:r>
          </w:p>
        </w:tc>
        <w:tc>
          <w:tcPr>
            <w:tcW w:w="141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0</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0</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0</w:t>
            </w:r>
          </w:p>
        </w:tc>
        <w:tc>
          <w:tcPr>
            <w:tcW w:w="1085"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0</w:t>
            </w:r>
          </w:p>
        </w:tc>
      </w:tr>
      <w:tr w:rsidR="00445B8E" w:rsidRPr="00445B8E" w:rsidTr="009D0C61">
        <w:trPr>
          <w:trHeight w:val="30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Správny fond</w:t>
            </w:r>
          </w:p>
        </w:tc>
        <w:tc>
          <w:tcPr>
            <w:tcW w:w="141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6 3</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1 628</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44 617</w:t>
            </w:r>
          </w:p>
        </w:tc>
        <w:tc>
          <w:tcPr>
            <w:tcW w:w="1085"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42 989</w:t>
            </w:r>
          </w:p>
        </w:tc>
      </w:tr>
      <w:tr w:rsidR="00445B8E" w:rsidRPr="00445B8E" w:rsidTr="009D0C61">
        <w:trPr>
          <w:trHeight w:val="30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45B8E" w:rsidRPr="00445B8E" w:rsidRDefault="00445B8E" w:rsidP="00445B8E">
            <w:pPr>
              <w:rPr>
                <w:rFonts w:ascii="Arial" w:hAnsi="Arial" w:cs="Arial"/>
                <w:sz w:val="22"/>
                <w:szCs w:val="22"/>
              </w:rPr>
            </w:pPr>
            <w:r w:rsidRPr="00445B8E">
              <w:rPr>
                <w:rFonts w:ascii="Arial" w:hAnsi="Arial" w:cs="Arial"/>
                <w:sz w:val="22"/>
                <w:szCs w:val="22"/>
              </w:rPr>
              <w:t>Spolu</w:t>
            </w:r>
          </w:p>
        </w:tc>
        <w:tc>
          <w:tcPr>
            <w:tcW w:w="1418"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480 620</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454 829</w:t>
            </w:r>
          </w:p>
        </w:tc>
        <w:tc>
          <w:tcPr>
            <w:tcW w:w="1300"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624 408</w:t>
            </w:r>
          </w:p>
        </w:tc>
        <w:tc>
          <w:tcPr>
            <w:tcW w:w="1085" w:type="dxa"/>
            <w:tcBorders>
              <w:top w:val="nil"/>
              <w:left w:val="nil"/>
              <w:bottom w:val="single" w:sz="4" w:space="0" w:color="auto"/>
              <w:right w:val="single" w:sz="4" w:space="0" w:color="auto"/>
            </w:tcBorders>
            <w:shd w:val="clear" w:color="auto" w:fill="auto"/>
            <w:noWrap/>
            <w:vAlign w:val="center"/>
            <w:hideMark/>
          </w:tcPr>
          <w:p w:rsidR="00445B8E" w:rsidRPr="00445B8E" w:rsidRDefault="00445B8E" w:rsidP="00445B8E">
            <w:pPr>
              <w:jc w:val="right"/>
              <w:rPr>
                <w:rFonts w:ascii="Arial" w:hAnsi="Arial" w:cs="Arial"/>
                <w:sz w:val="22"/>
                <w:szCs w:val="22"/>
              </w:rPr>
            </w:pPr>
            <w:r w:rsidRPr="00445B8E">
              <w:rPr>
                <w:rFonts w:ascii="Arial" w:hAnsi="Arial" w:cs="Arial"/>
                <w:sz w:val="22"/>
                <w:szCs w:val="22"/>
              </w:rPr>
              <w:t>169 580</w:t>
            </w:r>
          </w:p>
        </w:tc>
      </w:tr>
    </w:tbl>
    <w:p w:rsidR="00445B8E" w:rsidRPr="00445B8E" w:rsidRDefault="00445B8E" w:rsidP="00445B8E">
      <w:pPr>
        <w:ind w:firstLine="720"/>
        <w:jc w:val="both"/>
        <w:rPr>
          <w:rFonts w:ascii="Arial" w:hAnsi="Arial" w:cs="Arial"/>
        </w:rPr>
      </w:pPr>
    </w:p>
    <w:p w:rsidR="00445B8E" w:rsidRPr="00445B8E" w:rsidRDefault="00445B8E" w:rsidP="00445B8E">
      <w:pPr>
        <w:spacing w:after="120"/>
        <w:ind w:firstLine="720"/>
        <w:jc w:val="both"/>
        <w:rPr>
          <w:rFonts w:ascii="Arial" w:hAnsi="Arial" w:cs="Arial"/>
        </w:rPr>
      </w:pPr>
      <w:r w:rsidRPr="00445B8E">
        <w:rPr>
          <w:rFonts w:ascii="Arial" w:hAnsi="Arial" w:cs="Arial"/>
          <w:b/>
          <w:szCs w:val="20"/>
        </w:rPr>
        <w:t>Hospodárenie Sociálnej poisťovne v roku 2011 by malo skončiť lepším výsledkom o 169 580 tis. Eur</w:t>
      </w:r>
      <w:r w:rsidRPr="00445B8E">
        <w:rPr>
          <w:rFonts w:ascii="Arial" w:hAnsi="Arial" w:cs="Arial"/>
          <w:szCs w:val="20"/>
        </w:rPr>
        <w:t>, ako sa predpokladalo v upravenom rozpočte.</w:t>
      </w:r>
    </w:p>
    <w:p w:rsidR="00445B8E" w:rsidRPr="00445B8E" w:rsidRDefault="00445B8E" w:rsidP="00445B8E">
      <w:pPr>
        <w:spacing w:after="120"/>
        <w:jc w:val="center"/>
        <w:rPr>
          <w:rFonts w:ascii="Arial" w:hAnsi="Arial" w:cs="Arial"/>
        </w:rPr>
      </w:pPr>
      <w:r w:rsidRPr="00445B8E">
        <w:rPr>
          <w:rFonts w:ascii="Arial" w:hAnsi="Arial" w:cs="Arial"/>
        </w:rPr>
        <w:t xml:space="preserve">x  </w:t>
      </w:r>
      <w:proofErr w:type="spellStart"/>
      <w:r w:rsidRPr="00445B8E">
        <w:rPr>
          <w:rFonts w:ascii="Arial" w:hAnsi="Arial" w:cs="Arial"/>
        </w:rPr>
        <w:t>x</w:t>
      </w:r>
      <w:proofErr w:type="spellEnd"/>
      <w:r w:rsidRPr="00445B8E">
        <w:rPr>
          <w:rFonts w:ascii="Arial" w:hAnsi="Arial" w:cs="Arial"/>
        </w:rPr>
        <w:t xml:space="preserve">  </w:t>
      </w:r>
      <w:proofErr w:type="spellStart"/>
      <w:r w:rsidRPr="00445B8E">
        <w:rPr>
          <w:rFonts w:ascii="Arial" w:hAnsi="Arial" w:cs="Arial"/>
        </w:rPr>
        <w:t>x</w:t>
      </w:r>
      <w:proofErr w:type="spellEnd"/>
    </w:p>
    <w:p w:rsidR="00445B8E" w:rsidRPr="00445B8E" w:rsidRDefault="00445B8E" w:rsidP="00445B8E">
      <w:pPr>
        <w:ind w:firstLine="720"/>
        <w:jc w:val="both"/>
        <w:rPr>
          <w:rFonts w:ascii="Arial" w:hAnsi="Arial" w:cs="Arial"/>
          <w:szCs w:val="20"/>
        </w:rPr>
      </w:pPr>
      <w:r w:rsidRPr="00445B8E">
        <w:rPr>
          <w:rFonts w:ascii="Arial" w:hAnsi="Arial" w:cs="Arial"/>
          <w:szCs w:val="20"/>
        </w:rPr>
        <w:t>Sociálna poisťovňa predpokladá, že v roku 2011 postúpi príspevky na SDS do DSS v sume 859 518 tis. Eur (vrátane penále).</w:t>
      </w:r>
    </w:p>
    <w:p w:rsidR="00445B8E" w:rsidRPr="00445B8E" w:rsidRDefault="00445B8E" w:rsidP="00445B8E">
      <w:pPr>
        <w:spacing w:before="240" w:after="120"/>
        <w:ind w:firstLine="709"/>
        <w:jc w:val="both"/>
        <w:rPr>
          <w:rFonts w:ascii="Arial" w:hAnsi="Arial" w:cs="Arial"/>
          <w:szCs w:val="20"/>
        </w:rPr>
      </w:pPr>
    </w:p>
    <w:p w:rsidR="00A70CDF" w:rsidRPr="00A70CDF" w:rsidRDefault="00A70CDF" w:rsidP="00445B8E">
      <w:pPr>
        <w:spacing w:after="120"/>
        <w:jc w:val="center"/>
        <w:rPr>
          <w:rFonts w:ascii="Arial" w:hAnsi="Arial" w:cs="Arial"/>
          <w:szCs w:val="20"/>
        </w:rPr>
      </w:pPr>
    </w:p>
    <w:sectPr w:rsidR="00A70CDF" w:rsidRPr="00A70CDF" w:rsidSect="00F732AA">
      <w:headerReference w:type="default" r:id="rId18"/>
      <w:footerReference w:type="default" r:id="rId19"/>
      <w:pgSz w:w="11906" w:h="16838"/>
      <w:pgMar w:top="1417" w:right="1466"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B48" w:rsidRDefault="00B46B48">
      <w:r>
        <w:separator/>
      </w:r>
    </w:p>
  </w:endnote>
  <w:endnote w:type="continuationSeparator" w:id="0">
    <w:p w:rsidR="00B46B48" w:rsidRDefault="00B46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Black">
    <w:panose1 w:val="020B0A04020102020204"/>
    <w:charset w:val="EE"/>
    <w:family w:val="swiss"/>
    <w:pitch w:val="variable"/>
    <w:sig w:usb0="00000287" w:usb1="00000000" w:usb2="00000000" w:usb3="00000000" w:csb0="0000009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2D" w:rsidRDefault="00C16D2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F4A" w:rsidRPr="00657CB2" w:rsidRDefault="00E85F4A" w:rsidP="00657CB2">
    <w:pPr>
      <w:pStyle w:val="Pta"/>
      <w:jc w:val="center"/>
      <w:rPr>
        <w:rFonts w:ascii="Arial" w:hAnsi="Arial" w:cs="Arial"/>
        <w:sz w:val="24"/>
        <w:szCs w:val="24"/>
      </w:rPr>
    </w:pPr>
    <w:r w:rsidRPr="00657CB2">
      <w:rPr>
        <w:rFonts w:ascii="Arial" w:hAnsi="Arial" w:cs="Arial"/>
        <w:sz w:val="24"/>
        <w:szCs w:val="24"/>
      </w:rPr>
      <w:t>B</w:t>
    </w:r>
    <w:r w:rsidR="00C16D2D">
      <w:rPr>
        <w:rFonts w:ascii="Arial" w:hAnsi="Arial" w:cs="Arial"/>
        <w:sz w:val="24"/>
        <w:szCs w:val="24"/>
      </w:rPr>
      <w:t xml:space="preserve"> </w:t>
    </w:r>
    <w:r w:rsidRPr="00657CB2">
      <w:rPr>
        <w:rFonts w:ascii="Arial" w:hAnsi="Arial" w:cs="Arial"/>
        <w:sz w:val="24"/>
        <w:szCs w:val="24"/>
      </w:rPr>
      <w:t>R</w:t>
    </w:r>
    <w:r w:rsidR="00C16D2D">
      <w:rPr>
        <w:rFonts w:ascii="Arial" w:hAnsi="Arial" w:cs="Arial"/>
        <w:sz w:val="24"/>
        <w:szCs w:val="24"/>
      </w:rPr>
      <w:t xml:space="preserve"> </w:t>
    </w:r>
    <w:r w:rsidRPr="00657CB2">
      <w:rPr>
        <w:rFonts w:ascii="Arial" w:hAnsi="Arial" w:cs="Arial"/>
        <w:sz w:val="24"/>
        <w:szCs w:val="24"/>
      </w:rPr>
      <w:t>A</w:t>
    </w:r>
    <w:r w:rsidR="00C16D2D">
      <w:rPr>
        <w:rFonts w:ascii="Arial" w:hAnsi="Arial" w:cs="Arial"/>
        <w:sz w:val="24"/>
        <w:szCs w:val="24"/>
      </w:rPr>
      <w:t> </w:t>
    </w:r>
    <w:r w:rsidRPr="00657CB2">
      <w:rPr>
        <w:rFonts w:ascii="Arial" w:hAnsi="Arial" w:cs="Arial"/>
        <w:sz w:val="24"/>
        <w:szCs w:val="24"/>
      </w:rPr>
      <w:t>T</w:t>
    </w:r>
    <w:r w:rsidR="00C16D2D">
      <w:rPr>
        <w:rFonts w:ascii="Arial" w:hAnsi="Arial" w:cs="Arial"/>
        <w:sz w:val="24"/>
        <w:szCs w:val="24"/>
      </w:rPr>
      <w:t xml:space="preserve"> </w:t>
    </w:r>
    <w:r w:rsidRPr="00657CB2">
      <w:rPr>
        <w:rFonts w:ascii="Arial" w:hAnsi="Arial" w:cs="Arial"/>
        <w:sz w:val="24"/>
        <w:szCs w:val="24"/>
      </w:rPr>
      <w:t>I</w:t>
    </w:r>
    <w:r w:rsidR="00C16D2D">
      <w:rPr>
        <w:rFonts w:ascii="Arial" w:hAnsi="Arial" w:cs="Arial"/>
        <w:sz w:val="24"/>
        <w:szCs w:val="24"/>
      </w:rPr>
      <w:t> </w:t>
    </w:r>
    <w:r w:rsidRPr="00657CB2">
      <w:rPr>
        <w:rFonts w:ascii="Arial" w:hAnsi="Arial" w:cs="Arial"/>
        <w:sz w:val="24"/>
        <w:szCs w:val="24"/>
      </w:rPr>
      <w:t>S</w:t>
    </w:r>
    <w:r w:rsidR="00C16D2D">
      <w:rPr>
        <w:rFonts w:ascii="Arial" w:hAnsi="Arial" w:cs="Arial"/>
        <w:sz w:val="24"/>
        <w:szCs w:val="24"/>
      </w:rPr>
      <w:t> </w:t>
    </w:r>
    <w:r w:rsidRPr="00657CB2">
      <w:rPr>
        <w:rFonts w:ascii="Arial" w:hAnsi="Arial" w:cs="Arial"/>
        <w:sz w:val="24"/>
        <w:szCs w:val="24"/>
      </w:rPr>
      <w:t>L</w:t>
    </w:r>
    <w:r w:rsidR="00C16D2D">
      <w:rPr>
        <w:rFonts w:ascii="Arial" w:hAnsi="Arial" w:cs="Arial"/>
        <w:sz w:val="24"/>
        <w:szCs w:val="24"/>
      </w:rPr>
      <w:t xml:space="preserve"> </w:t>
    </w:r>
    <w:r w:rsidRPr="00657CB2">
      <w:rPr>
        <w:rFonts w:ascii="Arial" w:hAnsi="Arial" w:cs="Arial"/>
        <w:sz w:val="24"/>
        <w:szCs w:val="24"/>
      </w:rPr>
      <w:t>A</w:t>
    </w:r>
    <w:r w:rsidR="00C16D2D">
      <w:rPr>
        <w:rFonts w:ascii="Arial" w:hAnsi="Arial" w:cs="Arial"/>
        <w:sz w:val="24"/>
        <w:szCs w:val="24"/>
      </w:rPr>
      <w:t> </w:t>
    </w:r>
    <w:r w:rsidRPr="00657CB2">
      <w:rPr>
        <w:rFonts w:ascii="Arial" w:hAnsi="Arial" w:cs="Arial"/>
        <w:sz w:val="24"/>
        <w:szCs w:val="24"/>
      </w:rPr>
      <w:t>V</w:t>
    </w:r>
    <w:r w:rsidR="00C16D2D">
      <w:rPr>
        <w:rFonts w:ascii="Arial" w:hAnsi="Arial" w:cs="Arial"/>
        <w:sz w:val="24"/>
        <w:szCs w:val="24"/>
      </w:rPr>
      <w:t xml:space="preserve"> </w:t>
    </w:r>
    <w:r w:rsidRPr="00657CB2">
      <w:rPr>
        <w:rFonts w:ascii="Arial" w:hAnsi="Arial" w:cs="Arial"/>
        <w:sz w:val="24"/>
        <w:szCs w:val="24"/>
      </w:rPr>
      <w:t>A</w:t>
    </w:r>
    <w:r w:rsidRPr="00657CB2">
      <w:rPr>
        <w:rFonts w:ascii="Arial" w:hAnsi="Arial" w:cs="Arial"/>
        <w:sz w:val="24"/>
        <w:szCs w:val="24"/>
      </w:rPr>
      <w:br/>
    </w:r>
    <w:r w:rsidR="00473782">
      <w:rPr>
        <w:rFonts w:ascii="Arial" w:hAnsi="Arial" w:cs="Arial"/>
        <w:sz w:val="24"/>
        <w:szCs w:val="24"/>
      </w:rPr>
      <w:t xml:space="preserve">august </w:t>
    </w:r>
    <w:r w:rsidRPr="00657CB2">
      <w:rPr>
        <w:rFonts w:ascii="Arial" w:hAnsi="Arial" w:cs="Arial"/>
        <w:sz w:val="24"/>
        <w:szCs w:val="24"/>
      </w:rPr>
      <w:t>20</w:t>
    </w:r>
    <w:r>
      <w:rPr>
        <w:rFonts w:ascii="Arial" w:hAnsi="Arial" w:cs="Arial"/>
        <w:sz w:val="24"/>
        <w:szCs w:val="24"/>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2D" w:rsidRDefault="00C16D2D">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F4A" w:rsidRPr="00657CB2" w:rsidRDefault="00E85F4A" w:rsidP="00657CB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B48" w:rsidRDefault="00B46B48">
      <w:r>
        <w:separator/>
      </w:r>
    </w:p>
  </w:footnote>
  <w:footnote w:type="continuationSeparator" w:id="0">
    <w:p w:rsidR="00B46B48" w:rsidRDefault="00B46B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2D" w:rsidRDefault="00C16D2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F4A" w:rsidRDefault="00B46B48">
    <w:pPr>
      <w:pStyle w:val="Hlavik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35pt;margin-top:-.95pt;width:190.2pt;height:69.85pt;z-index:251659776">
          <v:imagedata r:id="rId1" o:title=""/>
          <w10:wrap type="topAndBottom"/>
        </v:shape>
        <o:OLEObject Type="Embed" ProgID="CorelDraw.Graphic.8" ShapeID="_x0000_s2050" DrawAspect="Content" ObjectID="_1375532380" r:id="rId2"/>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2D" w:rsidRDefault="00C16D2D">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F4A" w:rsidRDefault="00E85F4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638EE"/>
    <w:multiLevelType w:val="hybridMultilevel"/>
    <w:tmpl w:val="60565CB2"/>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1CE360EC"/>
    <w:multiLevelType w:val="hybridMultilevel"/>
    <w:tmpl w:val="1830572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5055D2F"/>
    <w:multiLevelType w:val="hybridMultilevel"/>
    <w:tmpl w:val="2092CCE6"/>
    <w:lvl w:ilvl="0" w:tplc="041B000B">
      <w:start w:val="1"/>
      <w:numFmt w:val="bullet"/>
      <w:lvlText w:val=""/>
      <w:lvlJc w:val="left"/>
      <w:pPr>
        <w:tabs>
          <w:tab w:val="num" w:pos="1500"/>
        </w:tabs>
        <w:ind w:left="1500" w:hanging="360"/>
      </w:pPr>
      <w:rPr>
        <w:rFonts w:ascii="Wingdings" w:hAnsi="Wingdings" w:hint="default"/>
      </w:rPr>
    </w:lvl>
    <w:lvl w:ilvl="1" w:tplc="041B0003" w:tentative="1">
      <w:start w:val="1"/>
      <w:numFmt w:val="bullet"/>
      <w:lvlText w:val="o"/>
      <w:lvlJc w:val="left"/>
      <w:pPr>
        <w:tabs>
          <w:tab w:val="num" w:pos="2220"/>
        </w:tabs>
        <w:ind w:left="2220" w:hanging="360"/>
      </w:pPr>
      <w:rPr>
        <w:rFonts w:ascii="Courier New" w:hAnsi="Courier New" w:cs="Courier New" w:hint="default"/>
      </w:rPr>
    </w:lvl>
    <w:lvl w:ilvl="2" w:tplc="041B0005" w:tentative="1">
      <w:start w:val="1"/>
      <w:numFmt w:val="bullet"/>
      <w:lvlText w:val=""/>
      <w:lvlJc w:val="left"/>
      <w:pPr>
        <w:tabs>
          <w:tab w:val="num" w:pos="2940"/>
        </w:tabs>
        <w:ind w:left="2940" w:hanging="360"/>
      </w:pPr>
      <w:rPr>
        <w:rFonts w:ascii="Wingdings" w:hAnsi="Wingdings" w:hint="default"/>
      </w:rPr>
    </w:lvl>
    <w:lvl w:ilvl="3" w:tplc="041B0001" w:tentative="1">
      <w:start w:val="1"/>
      <w:numFmt w:val="bullet"/>
      <w:lvlText w:val=""/>
      <w:lvlJc w:val="left"/>
      <w:pPr>
        <w:tabs>
          <w:tab w:val="num" w:pos="3660"/>
        </w:tabs>
        <w:ind w:left="3660" w:hanging="360"/>
      </w:pPr>
      <w:rPr>
        <w:rFonts w:ascii="Symbol" w:hAnsi="Symbol" w:hint="default"/>
      </w:rPr>
    </w:lvl>
    <w:lvl w:ilvl="4" w:tplc="041B0003" w:tentative="1">
      <w:start w:val="1"/>
      <w:numFmt w:val="bullet"/>
      <w:lvlText w:val="o"/>
      <w:lvlJc w:val="left"/>
      <w:pPr>
        <w:tabs>
          <w:tab w:val="num" w:pos="4380"/>
        </w:tabs>
        <w:ind w:left="4380" w:hanging="360"/>
      </w:pPr>
      <w:rPr>
        <w:rFonts w:ascii="Courier New" w:hAnsi="Courier New" w:cs="Courier New" w:hint="default"/>
      </w:rPr>
    </w:lvl>
    <w:lvl w:ilvl="5" w:tplc="041B0005" w:tentative="1">
      <w:start w:val="1"/>
      <w:numFmt w:val="bullet"/>
      <w:lvlText w:val=""/>
      <w:lvlJc w:val="left"/>
      <w:pPr>
        <w:tabs>
          <w:tab w:val="num" w:pos="5100"/>
        </w:tabs>
        <w:ind w:left="5100" w:hanging="360"/>
      </w:pPr>
      <w:rPr>
        <w:rFonts w:ascii="Wingdings" w:hAnsi="Wingdings" w:hint="default"/>
      </w:rPr>
    </w:lvl>
    <w:lvl w:ilvl="6" w:tplc="041B0001" w:tentative="1">
      <w:start w:val="1"/>
      <w:numFmt w:val="bullet"/>
      <w:lvlText w:val=""/>
      <w:lvlJc w:val="left"/>
      <w:pPr>
        <w:tabs>
          <w:tab w:val="num" w:pos="5820"/>
        </w:tabs>
        <w:ind w:left="5820" w:hanging="360"/>
      </w:pPr>
      <w:rPr>
        <w:rFonts w:ascii="Symbol" w:hAnsi="Symbol" w:hint="default"/>
      </w:rPr>
    </w:lvl>
    <w:lvl w:ilvl="7" w:tplc="041B0003" w:tentative="1">
      <w:start w:val="1"/>
      <w:numFmt w:val="bullet"/>
      <w:lvlText w:val="o"/>
      <w:lvlJc w:val="left"/>
      <w:pPr>
        <w:tabs>
          <w:tab w:val="num" w:pos="6540"/>
        </w:tabs>
        <w:ind w:left="6540" w:hanging="360"/>
      </w:pPr>
      <w:rPr>
        <w:rFonts w:ascii="Courier New" w:hAnsi="Courier New" w:cs="Courier New" w:hint="default"/>
      </w:rPr>
    </w:lvl>
    <w:lvl w:ilvl="8" w:tplc="041B0005" w:tentative="1">
      <w:start w:val="1"/>
      <w:numFmt w:val="bullet"/>
      <w:lvlText w:val=""/>
      <w:lvlJc w:val="left"/>
      <w:pPr>
        <w:tabs>
          <w:tab w:val="num" w:pos="7260"/>
        </w:tabs>
        <w:ind w:left="7260" w:hanging="360"/>
      </w:pPr>
      <w:rPr>
        <w:rFonts w:ascii="Wingdings" w:hAnsi="Wingdings" w:hint="default"/>
      </w:rPr>
    </w:lvl>
  </w:abstractNum>
  <w:abstractNum w:abstractNumId="3">
    <w:nsid w:val="29C93B14"/>
    <w:multiLevelType w:val="multilevel"/>
    <w:tmpl w:val="5EBCDFCE"/>
    <w:lvl w:ilvl="0">
      <w:start w:val="3"/>
      <w:numFmt w:val="decimal"/>
      <w:lvlText w:val="%1."/>
      <w:lvlJc w:val="left"/>
      <w:pPr>
        <w:tabs>
          <w:tab w:val="num" w:pos="405"/>
        </w:tabs>
        <w:ind w:left="405" w:hanging="40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BF33C7D"/>
    <w:multiLevelType w:val="hybridMultilevel"/>
    <w:tmpl w:val="9FA64606"/>
    <w:lvl w:ilvl="0" w:tplc="041B000B">
      <w:start w:val="1"/>
      <w:numFmt w:val="bullet"/>
      <w:lvlText w:val=""/>
      <w:lvlJc w:val="left"/>
      <w:pPr>
        <w:tabs>
          <w:tab w:val="num" w:pos="780"/>
        </w:tabs>
        <w:ind w:left="780" w:hanging="360"/>
      </w:pPr>
      <w:rPr>
        <w:rFonts w:ascii="Wingdings" w:hAnsi="Wingdings"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5">
    <w:nsid w:val="2CEE7005"/>
    <w:multiLevelType w:val="hybridMultilevel"/>
    <w:tmpl w:val="7A28AF2E"/>
    <w:lvl w:ilvl="0" w:tplc="A314C5F6">
      <w:start w:val="1"/>
      <w:numFmt w:val="bullet"/>
      <w:lvlText w:val=""/>
      <w:lvlJc w:val="left"/>
      <w:pPr>
        <w:tabs>
          <w:tab w:val="num" w:pos="1440"/>
        </w:tabs>
        <w:ind w:left="1440" w:hanging="360"/>
      </w:pPr>
      <w:rPr>
        <w:rFonts w:ascii="Wingdings" w:hAnsi="Wingdings" w:hint="default"/>
      </w:rPr>
    </w:lvl>
    <w:lvl w:ilvl="1" w:tplc="E15C1EA0" w:tentative="1">
      <w:start w:val="1"/>
      <w:numFmt w:val="bullet"/>
      <w:lvlText w:val="o"/>
      <w:lvlJc w:val="left"/>
      <w:pPr>
        <w:tabs>
          <w:tab w:val="num" w:pos="2160"/>
        </w:tabs>
        <w:ind w:left="2160" w:hanging="360"/>
      </w:pPr>
      <w:rPr>
        <w:rFonts w:ascii="Courier New" w:hAnsi="Courier New" w:cs="Courier New" w:hint="default"/>
      </w:rPr>
    </w:lvl>
    <w:lvl w:ilvl="2" w:tplc="32E0495A" w:tentative="1">
      <w:start w:val="1"/>
      <w:numFmt w:val="bullet"/>
      <w:lvlText w:val=""/>
      <w:lvlJc w:val="left"/>
      <w:pPr>
        <w:tabs>
          <w:tab w:val="num" w:pos="2880"/>
        </w:tabs>
        <w:ind w:left="2880" w:hanging="360"/>
      </w:pPr>
      <w:rPr>
        <w:rFonts w:ascii="Wingdings" w:hAnsi="Wingdings" w:hint="default"/>
      </w:rPr>
    </w:lvl>
    <w:lvl w:ilvl="3" w:tplc="575829F2" w:tentative="1">
      <w:start w:val="1"/>
      <w:numFmt w:val="bullet"/>
      <w:lvlText w:val=""/>
      <w:lvlJc w:val="left"/>
      <w:pPr>
        <w:tabs>
          <w:tab w:val="num" w:pos="3600"/>
        </w:tabs>
        <w:ind w:left="3600" w:hanging="360"/>
      </w:pPr>
      <w:rPr>
        <w:rFonts w:ascii="Symbol" w:hAnsi="Symbol" w:hint="default"/>
      </w:rPr>
    </w:lvl>
    <w:lvl w:ilvl="4" w:tplc="A2146194" w:tentative="1">
      <w:start w:val="1"/>
      <w:numFmt w:val="bullet"/>
      <w:lvlText w:val="o"/>
      <w:lvlJc w:val="left"/>
      <w:pPr>
        <w:tabs>
          <w:tab w:val="num" w:pos="4320"/>
        </w:tabs>
        <w:ind w:left="4320" w:hanging="360"/>
      </w:pPr>
      <w:rPr>
        <w:rFonts w:ascii="Courier New" w:hAnsi="Courier New" w:cs="Courier New" w:hint="default"/>
      </w:rPr>
    </w:lvl>
    <w:lvl w:ilvl="5" w:tplc="061A87D2" w:tentative="1">
      <w:start w:val="1"/>
      <w:numFmt w:val="bullet"/>
      <w:lvlText w:val=""/>
      <w:lvlJc w:val="left"/>
      <w:pPr>
        <w:tabs>
          <w:tab w:val="num" w:pos="5040"/>
        </w:tabs>
        <w:ind w:left="5040" w:hanging="360"/>
      </w:pPr>
      <w:rPr>
        <w:rFonts w:ascii="Wingdings" w:hAnsi="Wingdings" w:hint="default"/>
      </w:rPr>
    </w:lvl>
    <w:lvl w:ilvl="6" w:tplc="073AB1B4" w:tentative="1">
      <w:start w:val="1"/>
      <w:numFmt w:val="bullet"/>
      <w:lvlText w:val=""/>
      <w:lvlJc w:val="left"/>
      <w:pPr>
        <w:tabs>
          <w:tab w:val="num" w:pos="5760"/>
        </w:tabs>
        <w:ind w:left="5760" w:hanging="360"/>
      </w:pPr>
      <w:rPr>
        <w:rFonts w:ascii="Symbol" w:hAnsi="Symbol" w:hint="default"/>
      </w:rPr>
    </w:lvl>
    <w:lvl w:ilvl="7" w:tplc="D72E84BC" w:tentative="1">
      <w:start w:val="1"/>
      <w:numFmt w:val="bullet"/>
      <w:lvlText w:val="o"/>
      <w:lvlJc w:val="left"/>
      <w:pPr>
        <w:tabs>
          <w:tab w:val="num" w:pos="6480"/>
        </w:tabs>
        <w:ind w:left="6480" w:hanging="360"/>
      </w:pPr>
      <w:rPr>
        <w:rFonts w:ascii="Courier New" w:hAnsi="Courier New" w:cs="Courier New" w:hint="default"/>
      </w:rPr>
    </w:lvl>
    <w:lvl w:ilvl="8" w:tplc="BEA2E3E2" w:tentative="1">
      <w:start w:val="1"/>
      <w:numFmt w:val="bullet"/>
      <w:lvlText w:val=""/>
      <w:lvlJc w:val="left"/>
      <w:pPr>
        <w:tabs>
          <w:tab w:val="num" w:pos="7200"/>
        </w:tabs>
        <w:ind w:left="7200" w:hanging="360"/>
      </w:pPr>
      <w:rPr>
        <w:rFonts w:ascii="Wingdings" w:hAnsi="Wingdings" w:hint="default"/>
      </w:rPr>
    </w:lvl>
  </w:abstractNum>
  <w:abstractNum w:abstractNumId="6">
    <w:nsid w:val="330F0A26"/>
    <w:multiLevelType w:val="hybridMultilevel"/>
    <w:tmpl w:val="1DC4385C"/>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402D3738"/>
    <w:multiLevelType w:val="hybridMultilevel"/>
    <w:tmpl w:val="5FA6C656"/>
    <w:lvl w:ilvl="0" w:tplc="041B000B">
      <w:start w:val="1"/>
      <w:numFmt w:val="bullet"/>
      <w:lvlText w:val=""/>
      <w:lvlJc w:val="left"/>
      <w:pPr>
        <w:ind w:left="1429" w:hanging="360"/>
      </w:pPr>
      <w:rPr>
        <w:rFonts w:ascii="Wingdings" w:hAnsi="Wingdings"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8">
    <w:nsid w:val="46B26F94"/>
    <w:multiLevelType w:val="multilevel"/>
    <w:tmpl w:val="B61E30E4"/>
    <w:lvl w:ilvl="0">
      <w:start w:val="3"/>
      <w:numFmt w:val="decimal"/>
      <w:lvlText w:val="%1."/>
      <w:lvlJc w:val="left"/>
      <w:pPr>
        <w:tabs>
          <w:tab w:val="num" w:pos="390"/>
        </w:tabs>
        <w:ind w:left="390" w:hanging="390"/>
      </w:pPr>
      <w:rPr>
        <w:rFonts w:hint="default"/>
        <w:b/>
      </w:rPr>
    </w:lvl>
    <w:lvl w:ilvl="1">
      <w:start w:val="4"/>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9">
    <w:nsid w:val="497B48C8"/>
    <w:multiLevelType w:val="hybridMultilevel"/>
    <w:tmpl w:val="6948548A"/>
    <w:lvl w:ilvl="0" w:tplc="1D607262">
      <w:start w:val="3"/>
      <w:numFmt w:val="decimal"/>
      <w:lvlText w:val="%1."/>
      <w:lvlJc w:val="left"/>
      <w:pPr>
        <w:tabs>
          <w:tab w:val="num" w:pos="5220"/>
        </w:tabs>
        <w:ind w:left="5220" w:hanging="360"/>
      </w:pPr>
      <w:rPr>
        <w:rFonts w:hint="default"/>
      </w:rPr>
    </w:lvl>
    <w:lvl w:ilvl="1" w:tplc="81367216" w:tentative="1">
      <w:start w:val="1"/>
      <w:numFmt w:val="lowerLetter"/>
      <w:lvlText w:val="%2."/>
      <w:lvlJc w:val="left"/>
      <w:pPr>
        <w:tabs>
          <w:tab w:val="num" w:pos="5940"/>
        </w:tabs>
        <w:ind w:left="5940" w:hanging="360"/>
      </w:pPr>
    </w:lvl>
    <w:lvl w:ilvl="2" w:tplc="2F3A0E26" w:tentative="1">
      <w:start w:val="1"/>
      <w:numFmt w:val="lowerRoman"/>
      <w:lvlText w:val="%3."/>
      <w:lvlJc w:val="right"/>
      <w:pPr>
        <w:tabs>
          <w:tab w:val="num" w:pos="6660"/>
        </w:tabs>
        <w:ind w:left="6660" w:hanging="180"/>
      </w:pPr>
    </w:lvl>
    <w:lvl w:ilvl="3" w:tplc="45B0CDA0" w:tentative="1">
      <w:start w:val="1"/>
      <w:numFmt w:val="decimal"/>
      <w:lvlText w:val="%4."/>
      <w:lvlJc w:val="left"/>
      <w:pPr>
        <w:tabs>
          <w:tab w:val="num" w:pos="7380"/>
        </w:tabs>
        <w:ind w:left="7380" w:hanging="360"/>
      </w:pPr>
    </w:lvl>
    <w:lvl w:ilvl="4" w:tplc="0CF2ED50" w:tentative="1">
      <w:start w:val="1"/>
      <w:numFmt w:val="lowerLetter"/>
      <w:lvlText w:val="%5."/>
      <w:lvlJc w:val="left"/>
      <w:pPr>
        <w:tabs>
          <w:tab w:val="num" w:pos="8100"/>
        </w:tabs>
        <w:ind w:left="8100" w:hanging="360"/>
      </w:pPr>
    </w:lvl>
    <w:lvl w:ilvl="5" w:tplc="AADE84D0" w:tentative="1">
      <w:start w:val="1"/>
      <w:numFmt w:val="lowerRoman"/>
      <w:lvlText w:val="%6."/>
      <w:lvlJc w:val="right"/>
      <w:pPr>
        <w:tabs>
          <w:tab w:val="num" w:pos="8820"/>
        </w:tabs>
        <w:ind w:left="8820" w:hanging="180"/>
      </w:pPr>
    </w:lvl>
    <w:lvl w:ilvl="6" w:tplc="A098849C" w:tentative="1">
      <w:start w:val="1"/>
      <w:numFmt w:val="decimal"/>
      <w:lvlText w:val="%7."/>
      <w:lvlJc w:val="left"/>
      <w:pPr>
        <w:tabs>
          <w:tab w:val="num" w:pos="9540"/>
        </w:tabs>
        <w:ind w:left="9540" w:hanging="360"/>
      </w:pPr>
    </w:lvl>
    <w:lvl w:ilvl="7" w:tplc="CF4AEE40" w:tentative="1">
      <w:start w:val="1"/>
      <w:numFmt w:val="lowerLetter"/>
      <w:lvlText w:val="%8."/>
      <w:lvlJc w:val="left"/>
      <w:pPr>
        <w:tabs>
          <w:tab w:val="num" w:pos="10260"/>
        </w:tabs>
        <w:ind w:left="10260" w:hanging="360"/>
      </w:pPr>
    </w:lvl>
    <w:lvl w:ilvl="8" w:tplc="B89A5DAE" w:tentative="1">
      <w:start w:val="1"/>
      <w:numFmt w:val="lowerRoman"/>
      <w:lvlText w:val="%9."/>
      <w:lvlJc w:val="right"/>
      <w:pPr>
        <w:tabs>
          <w:tab w:val="num" w:pos="10980"/>
        </w:tabs>
        <w:ind w:left="10980" w:hanging="180"/>
      </w:pPr>
    </w:lvl>
  </w:abstractNum>
  <w:abstractNum w:abstractNumId="10">
    <w:nsid w:val="4CF62C2B"/>
    <w:multiLevelType w:val="hybridMultilevel"/>
    <w:tmpl w:val="51F0C8F2"/>
    <w:lvl w:ilvl="0" w:tplc="041B000B">
      <w:start w:val="1"/>
      <w:numFmt w:val="bullet"/>
      <w:lvlText w:val=""/>
      <w:lvlJc w:val="left"/>
      <w:pPr>
        <w:tabs>
          <w:tab w:val="num" w:pos="1500"/>
        </w:tabs>
        <w:ind w:left="1500" w:hanging="360"/>
      </w:pPr>
      <w:rPr>
        <w:rFonts w:ascii="Wingdings" w:hAnsi="Wingdings" w:hint="default"/>
      </w:rPr>
    </w:lvl>
    <w:lvl w:ilvl="1" w:tplc="041B0003" w:tentative="1">
      <w:start w:val="1"/>
      <w:numFmt w:val="bullet"/>
      <w:lvlText w:val="o"/>
      <w:lvlJc w:val="left"/>
      <w:pPr>
        <w:tabs>
          <w:tab w:val="num" w:pos="2220"/>
        </w:tabs>
        <w:ind w:left="2220" w:hanging="360"/>
      </w:pPr>
      <w:rPr>
        <w:rFonts w:ascii="Courier New" w:hAnsi="Courier New" w:cs="Courier New" w:hint="default"/>
      </w:rPr>
    </w:lvl>
    <w:lvl w:ilvl="2" w:tplc="041B0005" w:tentative="1">
      <w:start w:val="1"/>
      <w:numFmt w:val="bullet"/>
      <w:lvlText w:val=""/>
      <w:lvlJc w:val="left"/>
      <w:pPr>
        <w:tabs>
          <w:tab w:val="num" w:pos="2940"/>
        </w:tabs>
        <w:ind w:left="2940" w:hanging="360"/>
      </w:pPr>
      <w:rPr>
        <w:rFonts w:ascii="Wingdings" w:hAnsi="Wingdings" w:hint="default"/>
      </w:rPr>
    </w:lvl>
    <w:lvl w:ilvl="3" w:tplc="041B0001" w:tentative="1">
      <w:start w:val="1"/>
      <w:numFmt w:val="bullet"/>
      <w:lvlText w:val=""/>
      <w:lvlJc w:val="left"/>
      <w:pPr>
        <w:tabs>
          <w:tab w:val="num" w:pos="3660"/>
        </w:tabs>
        <w:ind w:left="3660" w:hanging="360"/>
      </w:pPr>
      <w:rPr>
        <w:rFonts w:ascii="Symbol" w:hAnsi="Symbol" w:hint="default"/>
      </w:rPr>
    </w:lvl>
    <w:lvl w:ilvl="4" w:tplc="041B0003" w:tentative="1">
      <w:start w:val="1"/>
      <w:numFmt w:val="bullet"/>
      <w:lvlText w:val="o"/>
      <w:lvlJc w:val="left"/>
      <w:pPr>
        <w:tabs>
          <w:tab w:val="num" w:pos="4380"/>
        </w:tabs>
        <w:ind w:left="4380" w:hanging="360"/>
      </w:pPr>
      <w:rPr>
        <w:rFonts w:ascii="Courier New" w:hAnsi="Courier New" w:cs="Courier New" w:hint="default"/>
      </w:rPr>
    </w:lvl>
    <w:lvl w:ilvl="5" w:tplc="041B0005" w:tentative="1">
      <w:start w:val="1"/>
      <w:numFmt w:val="bullet"/>
      <w:lvlText w:val=""/>
      <w:lvlJc w:val="left"/>
      <w:pPr>
        <w:tabs>
          <w:tab w:val="num" w:pos="5100"/>
        </w:tabs>
        <w:ind w:left="5100" w:hanging="360"/>
      </w:pPr>
      <w:rPr>
        <w:rFonts w:ascii="Wingdings" w:hAnsi="Wingdings" w:hint="default"/>
      </w:rPr>
    </w:lvl>
    <w:lvl w:ilvl="6" w:tplc="041B0001" w:tentative="1">
      <w:start w:val="1"/>
      <w:numFmt w:val="bullet"/>
      <w:lvlText w:val=""/>
      <w:lvlJc w:val="left"/>
      <w:pPr>
        <w:tabs>
          <w:tab w:val="num" w:pos="5820"/>
        </w:tabs>
        <w:ind w:left="5820" w:hanging="360"/>
      </w:pPr>
      <w:rPr>
        <w:rFonts w:ascii="Symbol" w:hAnsi="Symbol" w:hint="default"/>
      </w:rPr>
    </w:lvl>
    <w:lvl w:ilvl="7" w:tplc="041B0003" w:tentative="1">
      <w:start w:val="1"/>
      <w:numFmt w:val="bullet"/>
      <w:lvlText w:val="o"/>
      <w:lvlJc w:val="left"/>
      <w:pPr>
        <w:tabs>
          <w:tab w:val="num" w:pos="6540"/>
        </w:tabs>
        <w:ind w:left="6540" w:hanging="360"/>
      </w:pPr>
      <w:rPr>
        <w:rFonts w:ascii="Courier New" w:hAnsi="Courier New" w:cs="Courier New" w:hint="default"/>
      </w:rPr>
    </w:lvl>
    <w:lvl w:ilvl="8" w:tplc="041B0005" w:tentative="1">
      <w:start w:val="1"/>
      <w:numFmt w:val="bullet"/>
      <w:lvlText w:val=""/>
      <w:lvlJc w:val="left"/>
      <w:pPr>
        <w:tabs>
          <w:tab w:val="num" w:pos="7260"/>
        </w:tabs>
        <w:ind w:left="7260" w:hanging="360"/>
      </w:pPr>
      <w:rPr>
        <w:rFonts w:ascii="Wingdings" w:hAnsi="Wingdings" w:hint="default"/>
      </w:rPr>
    </w:lvl>
  </w:abstractNum>
  <w:abstractNum w:abstractNumId="11">
    <w:nsid w:val="56A0023F"/>
    <w:multiLevelType w:val="hybridMultilevel"/>
    <w:tmpl w:val="0A0CB62A"/>
    <w:lvl w:ilvl="0" w:tplc="74EC26B4">
      <w:start w:val="3"/>
      <w:numFmt w:val="bullet"/>
      <w:lvlText w:val="-"/>
      <w:lvlJc w:val="left"/>
      <w:pPr>
        <w:tabs>
          <w:tab w:val="num" w:pos="644"/>
        </w:tabs>
        <w:ind w:left="644" w:hanging="360"/>
      </w:pPr>
      <w:rPr>
        <w:rFonts w:ascii="Arial" w:eastAsia="Times New Roman" w:hAnsi="Arial" w:cs="Arial" w:hint="default"/>
      </w:rPr>
    </w:lvl>
    <w:lvl w:ilvl="1" w:tplc="041B0003" w:tentative="1">
      <w:start w:val="1"/>
      <w:numFmt w:val="bullet"/>
      <w:lvlText w:val="o"/>
      <w:lvlJc w:val="left"/>
      <w:pPr>
        <w:tabs>
          <w:tab w:val="num" w:pos="1364"/>
        </w:tabs>
        <w:ind w:left="1364" w:hanging="360"/>
      </w:pPr>
      <w:rPr>
        <w:rFonts w:ascii="Courier New" w:hAnsi="Courier New" w:cs="Courier New" w:hint="default"/>
      </w:rPr>
    </w:lvl>
    <w:lvl w:ilvl="2" w:tplc="041B0005" w:tentative="1">
      <w:start w:val="1"/>
      <w:numFmt w:val="bullet"/>
      <w:lvlText w:val=""/>
      <w:lvlJc w:val="left"/>
      <w:pPr>
        <w:tabs>
          <w:tab w:val="num" w:pos="2084"/>
        </w:tabs>
        <w:ind w:left="2084" w:hanging="360"/>
      </w:pPr>
      <w:rPr>
        <w:rFonts w:ascii="Wingdings" w:hAnsi="Wingdings" w:hint="default"/>
      </w:rPr>
    </w:lvl>
    <w:lvl w:ilvl="3" w:tplc="041B0001" w:tentative="1">
      <w:start w:val="1"/>
      <w:numFmt w:val="bullet"/>
      <w:lvlText w:val=""/>
      <w:lvlJc w:val="left"/>
      <w:pPr>
        <w:tabs>
          <w:tab w:val="num" w:pos="2804"/>
        </w:tabs>
        <w:ind w:left="2804" w:hanging="360"/>
      </w:pPr>
      <w:rPr>
        <w:rFonts w:ascii="Symbol" w:hAnsi="Symbol" w:hint="default"/>
      </w:rPr>
    </w:lvl>
    <w:lvl w:ilvl="4" w:tplc="041B0003" w:tentative="1">
      <w:start w:val="1"/>
      <w:numFmt w:val="bullet"/>
      <w:lvlText w:val="o"/>
      <w:lvlJc w:val="left"/>
      <w:pPr>
        <w:tabs>
          <w:tab w:val="num" w:pos="3524"/>
        </w:tabs>
        <w:ind w:left="3524" w:hanging="360"/>
      </w:pPr>
      <w:rPr>
        <w:rFonts w:ascii="Courier New" w:hAnsi="Courier New" w:cs="Courier New" w:hint="default"/>
      </w:rPr>
    </w:lvl>
    <w:lvl w:ilvl="5" w:tplc="041B0005" w:tentative="1">
      <w:start w:val="1"/>
      <w:numFmt w:val="bullet"/>
      <w:lvlText w:val=""/>
      <w:lvlJc w:val="left"/>
      <w:pPr>
        <w:tabs>
          <w:tab w:val="num" w:pos="4244"/>
        </w:tabs>
        <w:ind w:left="4244" w:hanging="360"/>
      </w:pPr>
      <w:rPr>
        <w:rFonts w:ascii="Wingdings" w:hAnsi="Wingdings" w:hint="default"/>
      </w:rPr>
    </w:lvl>
    <w:lvl w:ilvl="6" w:tplc="041B0001" w:tentative="1">
      <w:start w:val="1"/>
      <w:numFmt w:val="bullet"/>
      <w:lvlText w:val=""/>
      <w:lvlJc w:val="left"/>
      <w:pPr>
        <w:tabs>
          <w:tab w:val="num" w:pos="4964"/>
        </w:tabs>
        <w:ind w:left="4964" w:hanging="360"/>
      </w:pPr>
      <w:rPr>
        <w:rFonts w:ascii="Symbol" w:hAnsi="Symbol" w:hint="default"/>
      </w:rPr>
    </w:lvl>
    <w:lvl w:ilvl="7" w:tplc="041B0003" w:tentative="1">
      <w:start w:val="1"/>
      <w:numFmt w:val="bullet"/>
      <w:lvlText w:val="o"/>
      <w:lvlJc w:val="left"/>
      <w:pPr>
        <w:tabs>
          <w:tab w:val="num" w:pos="5684"/>
        </w:tabs>
        <w:ind w:left="5684" w:hanging="360"/>
      </w:pPr>
      <w:rPr>
        <w:rFonts w:ascii="Courier New" w:hAnsi="Courier New" w:cs="Courier New" w:hint="default"/>
      </w:rPr>
    </w:lvl>
    <w:lvl w:ilvl="8" w:tplc="041B0005" w:tentative="1">
      <w:start w:val="1"/>
      <w:numFmt w:val="bullet"/>
      <w:lvlText w:val=""/>
      <w:lvlJc w:val="left"/>
      <w:pPr>
        <w:tabs>
          <w:tab w:val="num" w:pos="6404"/>
        </w:tabs>
        <w:ind w:left="6404" w:hanging="360"/>
      </w:pPr>
      <w:rPr>
        <w:rFonts w:ascii="Wingdings" w:hAnsi="Wingdings" w:hint="default"/>
      </w:rPr>
    </w:lvl>
  </w:abstractNum>
  <w:abstractNum w:abstractNumId="12">
    <w:nsid w:val="5B71561D"/>
    <w:multiLevelType w:val="multilevel"/>
    <w:tmpl w:val="B18859D2"/>
    <w:lvl w:ilvl="0">
      <w:start w:val="3"/>
      <w:numFmt w:val="decimal"/>
      <w:lvlText w:val="%1."/>
      <w:lvlJc w:val="left"/>
      <w:pPr>
        <w:ind w:left="390" w:hanging="390"/>
      </w:pPr>
      <w:rPr>
        <w:rFonts w:hint="default"/>
        <w:b/>
        <w:color w:val="000000"/>
      </w:rPr>
    </w:lvl>
    <w:lvl w:ilvl="1">
      <w:start w:val="3"/>
      <w:numFmt w:val="decimal"/>
      <w:lvlText w:val="%1.%2."/>
      <w:lvlJc w:val="left"/>
      <w:pPr>
        <w:ind w:left="720" w:hanging="72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1080" w:hanging="108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440" w:hanging="144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800" w:hanging="1800"/>
      </w:pPr>
      <w:rPr>
        <w:rFonts w:hint="default"/>
        <w:b/>
        <w:color w:val="000000"/>
      </w:rPr>
    </w:lvl>
    <w:lvl w:ilvl="8">
      <w:start w:val="1"/>
      <w:numFmt w:val="decimal"/>
      <w:lvlText w:val="%1.%2.%3.%4.%5.%6.%7.%8.%9."/>
      <w:lvlJc w:val="left"/>
      <w:pPr>
        <w:ind w:left="2160" w:hanging="2160"/>
      </w:pPr>
      <w:rPr>
        <w:rFonts w:hint="default"/>
        <w:b/>
        <w:color w:val="000000"/>
      </w:rPr>
    </w:lvl>
  </w:abstractNum>
  <w:abstractNum w:abstractNumId="13">
    <w:nsid w:val="5EC56337"/>
    <w:multiLevelType w:val="singleLevel"/>
    <w:tmpl w:val="041B000F"/>
    <w:lvl w:ilvl="0">
      <w:start w:val="1"/>
      <w:numFmt w:val="decimal"/>
      <w:lvlText w:val="%1."/>
      <w:lvlJc w:val="left"/>
      <w:pPr>
        <w:tabs>
          <w:tab w:val="num" w:pos="360"/>
        </w:tabs>
        <w:ind w:left="360" w:hanging="360"/>
      </w:pPr>
    </w:lvl>
  </w:abstractNum>
  <w:abstractNum w:abstractNumId="14">
    <w:nsid w:val="6B295E26"/>
    <w:multiLevelType w:val="hybridMultilevel"/>
    <w:tmpl w:val="2E7EEA62"/>
    <w:lvl w:ilvl="0" w:tplc="041B000B">
      <w:start w:val="1"/>
      <w:numFmt w:val="bullet"/>
      <w:lvlText w:val=""/>
      <w:lvlJc w:val="left"/>
      <w:pPr>
        <w:tabs>
          <w:tab w:val="num" w:pos="709"/>
        </w:tabs>
        <w:ind w:left="709" w:hanging="360"/>
      </w:pPr>
      <w:rPr>
        <w:rFonts w:ascii="Wingdings" w:hAnsi="Wingdings" w:hint="default"/>
      </w:rPr>
    </w:lvl>
    <w:lvl w:ilvl="1" w:tplc="041B0003" w:tentative="1">
      <w:start w:val="1"/>
      <w:numFmt w:val="bullet"/>
      <w:lvlText w:val="o"/>
      <w:lvlJc w:val="left"/>
      <w:pPr>
        <w:tabs>
          <w:tab w:val="num" w:pos="1429"/>
        </w:tabs>
        <w:ind w:left="1429" w:hanging="360"/>
      </w:pPr>
      <w:rPr>
        <w:rFonts w:ascii="Courier New" w:hAnsi="Courier New" w:cs="Courier New" w:hint="default"/>
      </w:rPr>
    </w:lvl>
    <w:lvl w:ilvl="2" w:tplc="041B0005" w:tentative="1">
      <w:start w:val="1"/>
      <w:numFmt w:val="bullet"/>
      <w:lvlText w:val=""/>
      <w:lvlJc w:val="left"/>
      <w:pPr>
        <w:tabs>
          <w:tab w:val="num" w:pos="2149"/>
        </w:tabs>
        <w:ind w:left="2149" w:hanging="360"/>
      </w:pPr>
      <w:rPr>
        <w:rFonts w:ascii="Wingdings" w:hAnsi="Wingdings" w:hint="default"/>
      </w:rPr>
    </w:lvl>
    <w:lvl w:ilvl="3" w:tplc="041B0001" w:tentative="1">
      <w:start w:val="1"/>
      <w:numFmt w:val="bullet"/>
      <w:lvlText w:val=""/>
      <w:lvlJc w:val="left"/>
      <w:pPr>
        <w:tabs>
          <w:tab w:val="num" w:pos="2869"/>
        </w:tabs>
        <w:ind w:left="2869" w:hanging="360"/>
      </w:pPr>
      <w:rPr>
        <w:rFonts w:ascii="Symbol" w:hAnsi="Symbol" w:hint="default"/>
      </w:rPr>
    </w:lvl>
    <w:lvl w:ilvl="4" w:tplc="041B0003" w:tentative="1">
      <w:start w:val="1"/>
      <w:numFmt w:val="bullet"/>
      <w:lvlText w:val="o"/>
      <w:lvlJc w:val="left"/>
      <w:pPr>
        <w:tabs>
          <w:tab w:val="num" w:pos="3589"/>
        </w:tabs>
        <w:ind w:left="3589" w:hanging="360"/>
      </w:pPr>
      <w:rPr>
        <w:rFonts w:ascii="Courier New" w:hAnsi="Courier New" w:cs="Courier New" w:hint="default"/>
      </w:rPr>
    </w:lvl>
    <w:lvl w:ilvl="5" w:tplc="041B0005" w:tentative="1">
      <w:start w:val="1"/>
      <w:numFmt w:val="bullet"/>
      <w:lvlText w:val=""/>
      <w:lvlJc w:val="left"/>
      <w:pPr>
        <w:tabs>
          <w:tab w:val="num" w:pos="4309"/>
        </w:tabs>
        <w:ind w:left="4309" w:hanging="360"/>
      </w:pPr>
      <w:rPr>
        <w:rFonts w:ascii="Wingdings" w:hAnsi="Wingdings" w:hint="default"/>
      </w:rPr>
    </w:lvl>
    <w:lvl w:ilvl="6" w:tplc="041B0001" w:tentative="1">
      <w:start w:val="1"/>
      <w:numFmt w:val="bullet"/>
      <w:lvlText w:val=""/>
      <w:lvlJc w:val="left"/>
      <w:pPr>
        <w:tabs>
          <w:tab w:val="num" w:pos="5029"/>
        </w:tabs>
        <w:ind w:left="5029" w:hanging="360"/>
      </w:pPr>
      <w:rPr>
        <w:rFonts w:ascii="Symbol" w:hAnsi="Symbol" w:hint="default"/>
      </w:rPr>
    </w:lvl>
    <w:lvl w:ilvl="7" w:tplc="041B0003" w:tentative="1">
      <w:start w:val="1"/>
      <w:numFmt w:val="bullet"/>
      <w:lvlText w:val="o"/>
      <w:lvlJc w:val="left"/>
      <w:pPr>
        <w:tabs>
          <w:tab w:val="num" w:pos="5749"/>
        </w:tabs>
        <w:ind w:left="5749" w:hanging="360"/>
      </w:pPr>
      <w:rPr>
        <w:rFonts w:ascii="Courier New" w:hAnsi="Courier New" w:cs="Courier New" w:hint="default"/>
      </w:rPr>
    </w:lvl>
    <w:lvl w:ilvl="8" w:tplc="041B0005" w:tentative="1">
      <w:start w:val="1"/>
      <w:numFmt w:val="bullet"/>
      <w:lvlText w:val=""/>
      <w:lvlJc w:val="left"/>
      <w:pPr>
        <w:tabs>
          <w:tab w:val="num" w:pos="6469"/>
        </w:tabs>
        <w:ind w:left="6469" w:hanging="360"/>
      </w:pPr>
      <w:rPr>
        <w:rFonts w:ascii="Wingdings" w:hAnsi="Wingdings" w:hint="default"/>
      </w:rPr>
    </w:lvl>
  </w:abstractNum>
  <w:abstractNum w:abstractNumId="15">
    <w:nsid w:val="6B352BB2"/>
    <w:multiLevelType w:val="hybridMultilevel"/>
    <w:tmpl w:val="2292ABE2"/>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6F763EAF"/>
    <w:multiLevelType w:val="hybridMultilevel"/>
    <w:tmpl w:val="25162A42"/>
    <w:lvl w:ilvl="0" w:tplc="041B000B">
      <w:start w:val="1"/>
      <w:numFmt w:val="bullet"/>
      <w:lvlText w:val=""/>
      <w:lvlJc w:val="left"/>
      <w:pPr>
        <w:tabs>
          <w:tab w:val="num" w:pos="1440"/>
        </w:tabs>
        <w:ind w:left="1440" w:hanging="360"/>
      </w:pPr>
      <w:rPr>
        <w:rFonts w:ascii="Wingdings" w:hAnsi="Wingdings" w:hint="default"/>
      </w:rPr>
    </w:lvl>
    <w:lvl w:ilvl="1" w:tplc="041B0003" w:tentative="1">
      <w:start w:val="1"/>
      <w:numFmt w:val="bullet"/>
      <w:lvlText w:val="o"/>
      <w:lvlJc w:val="left"/>
      <w:pPr>
        <w:tabs>
          <w:tab w:val="num" w:pos="2160"/>
        </w:tabs>
        <w:ind w:left="2160" w:hanging="360"/>
      </w:pPr>
      <w:rPr>
        <w:rFonts w:ascii="Courier New" w:hAnsi="Courier New" w:cs="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7">
    <w:nsid w:val="78C03774"/>
    <w:multiLevelType w:val="multilevel"/>
    <w:tmpl w:val="3AA8BE44"/>
    <w:lvl w:ilvl="0">
      <w:start w:val="3"/>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7D8F30E1"/>
    <w:multiLevelType w:val="multilevel"/>
    <w:tmpl w:val="6B5C34B0"/>
    <w:lvl w:ilvl="0">
      <w:start w:val="1"/>
      <w:numFmt w:val="decimal"/>
      <w:pStyle w:val="Nadpis1"/>
      <w:lvlText w:val="%1."/>
      <w:lvlJc w:val="left"/>
      <w:pPr>
        <w:tabs>
          <w:tab w:val="num" w:pos="360"/>
        </w:tabs>
        <w:ind w:left="360" w:hanging="360"/>
      </w:pPr>
    </w:lvl>
    <w:lvl w:ilvl="1">
      <w:start w:val="1"/>
      <w:numFmt w:val="none"/>
      <w:lvlText w:val="1.1"/>
      <w:lvlJc w:val="left"/>
      <w:pPr>
        <w:tabs>
          <w:tab w:val="num" w:pos="792"/>
        </w:tabs>
        <w:ind w:left="792" w:hanging="432"/>
      </w:pPr>
    </w:lvl>
    <w:lvl w:ilvl="2">
      <w:start w:val="1"/>
      <w:numFmt w:val="decimal"/>
      <w:pStyle w:val="Nadpis3"/>
      <w:lvlText w:val="%1.1.1"/>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7E3C2AE0"/>
    <w:multiLevelType w:val="multilevel"/>
    <w:tmpl w:val="CD108000"/>
    <w:lvl w:ilvl="0">
      <w:start w:val="2"/>
      <w:numFmt w:val="decimal"/>
      <w:lvlText w:val="%1."/>
      <w:lvlJc w:val="left"/>
      <w:pPr>
        <w:tabs>
          <w:tab w:val="num" w:pos="720"/>
        </w:tabs>
        <w:ind w:left="720" w:hanging="360"/>
      </w:pPr>
      <w:rPr>
        <w:rFonts w:hint="default"/>
      </w:r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9"/>
  </w:num>
  <w:num w:numId="2">
    <w:abstractNumId w:val="5"/>
  </w:num>
  <w:num w:numId="3">
    <w:abstractNumId w:val="18"/>
  </w:num>
  <w:num w:numId="4">
    <w:abstractNumId w:val="0"/>
  </w:num>
  <w:num w:numId="5">
    <w:abstractNumId w:val="14"/>
  </w:num>
  <w:num w:numId="6">
    <w:abstractNumId w:val="19"/>
  </w:num>
  <w:num w:numId="7">
    <w:abstractNumId w:val="8"/>
  </w:num>
  <w:num w:numId="8">
    <w:abstractNumId w:val="3"/>
  </w:num>
  <w:num w:numId="9">
    <w:abstractNumId w:val="16"/>
  </w:num>
  <w:num w:numId="10">
    <w:abstractNumId w:val="11"/>
  </w:num>
  <w:num w:numId="11">
    <w:abstractNumId w:val="17"/>
  </w:num>
  <w:num w:numId="12">
    <w:abstractNumId w:val="15"/>
  </w:num>
  <w:num w:numId="13">
    <w:abstractNumId w:val="10"/>
  </w:num>
  <w:num w:numId="14">
    <w:abstractNumId w:val="2"/>
  </w:num>
  <w:num w:numId="15">
    <w:abstractNumId w:val="6"/>
  </w:num>
  <w:num w:numId="16">
    <w:abstractNumId w:val="12"/>
  </w:num>
  <w:num w:numId="17">
    <w:abstractNumId w:val="1"/>
  </w:num>
  <w:num w:numId="18">
    <w:abstractNumId w:val="7"/>
  </w:num>
  <w:num w:numId="19">
    <w:abstractNumId w:val="13"/>
  </w:num>
  <w:num w:numId="20">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B76"/>
    <w:rsid w:val="000046E7"/>
    <w:rsid w:val="000066EC"/>
    <w:rsid w:val="00025C71"/>
    <w:rsid w:val="00026435"/>
    <w:rsid w:val="00054AB4"/>
    <w:rsid w:val="00074C37"/>
    <w:rsid w:val="00076B05"/>
    <w:rsid w:val="000871F5"/>
    <w:rsid w:val="00087DA3"/>
    <w:rsid w:val="00096632"/>
    <w:rsid w:val="000A2836"/>
    <w:rsid w:val="000A355C"/>
    <w:rsid w:val="000B5A7C"/>
    <w:rsid w:val="000C25AA"/>
    <w:rsid w:val="000C7655"/>
    <w:rsid w:val="000E012E"/>
    <w:rsid w:val="000F5BF1"/>
    <w:rsid w:val="00103A08"/>
    <w:rsid w:val="001045FA"/>
    <w:rsid w:val="001116CB"/>
    <w:rsid w:val="00115741"/>
    <w:rsid w:val="00120A2D"/>
    <w:rsid w:val="00122BD7"/>
    <w:rsid w:val="0013594A"/>
    <w:rsid w:val="001400AF"/>
    <w:rsid w:val="00141FD0"/>
    <w:rsid w:val="00145793"/>
    <w:rsid w:val="00153309"/>
    <w:rsid w:val="0015694A"/>
    <w:rsid w:val="00170E64"/>
    <w:rsid w:val="0018085D"/>
    <w:rsid w:val="00191426"/>
    <w:rsid w:val="001A1135"/>
    <w:rsid w:val="001A4CBC"/>
    <w:rsid w:val="001B20CF"/>
    <w:rsid w:val="001C7AEF"/>
    <w:rsid w:val="001D0314"/>
    <w:rsid w:val="001D0600"/>
    <w:rsid w:val="001D0FCD"/>
    <w:rsid w:val="001D1B44"/>
    <w:rsid w:val="001E1B8A"/>
    <w:rsid w:val="001E1CBE"/>
    <w:rsid w:val="001E20C2"/>
    <w:rsid w:val="002037F9"/>
    <w:rsid w:val="0021534F"/>
    <w:rsid w:val="00221B11"/>
    <w:rsid w:val="00222B97"/>
    <w:rsid w:val="00230E8D"/>
    <w:rsid w:val="00233410"/>
    <w:rsid w:val="00241345"/>
    <w:rsid w:val="00242047"/>
    <w:rsid w:val="00247DCE"/>
    <w:rsid w:val="00252CF5"/>
    <w:rsid w:val="002568F8"/>
    <w:rsid w:val="002667C1"/>
    <w:rsid w:val="0029385B"/>
    <w:rsid w:val="002A5CBE"/>
    <w:rsid w:val="002B34A0"/>
    <w:rsid w:val="002C5161"/>
    <w:rsid w:val="002D4ADF"/>
    <w:rsid w:val="002E701B"/>
    <w:rsid w:val="002F18A7"/>
    <w:rsid w:val="00301449"/>
    <w:rsid w:val="003152CF"/>
    <w:rsid w:val="0032100D"/>
    <w:rsid w:val="003215BF"/>
    <w:rsid w:val="00321754"/>
    <w:rsid w:val="003261FA"/>
    <w:rsid w:val="00347392"/>
    <w:rsid w:val="00356ECC"/>
    <w:rsid w:val="0037457F"/>
    <w:rsid w:val="00374D6B"/>
    <w:rsid w:val="00375DB3"/>
    <w:rsid w:val="0038108E"/>
    <w:rsid w:val="00392264"/>
    <w:rsid w:val="003A6CF3"/>
    <w:rsid w:val="003B0253"/>
    <w:rsid w:val="003B76F0"/>
    <w:rsid w:val="003C1A7D"/>
    <w:rsid w:val="003E1029"/>
    <w:rsid w:val="003F7C26"/>
    <w:rsid w:val="00405326"/>
    <w:rsid w:val="00411F98"/>
    <w:rsid w:val="00415580"/>
    <w:rsid w:val="00415F50"/>
    <w:rsid w:val="00430578"/>
    <w:rsid w:val="00435B59"/>
    <w:rsid w:val="00445B8E"/>
    <w:rsid w:val="00453BB1"/>
    <w:rsid w:val="00455546"/>
    <w:rsid w:val="004572D0"/>
    <w:rsid w:val="004621B1"/>
    <w:rsid w:val="00473782"/>
    <w:rsid w:val="00475AA9"/>
    <w:rsid w:val="004764FC"/>
    <w:rsid w:val="00485707"/>
    <w:rsid w:val="004B536A"/>
    <w:rsid w:val="004C2BC8"/>
    <w:rsid w:val="004C31D6"/>
    <w:rsid w:val="004D0C8A"/>
    <w:rsid w:val="004D1194"/>
    <w:rsid w:val="004D2C1E"/>
    <w:rsid w:val="004D781A"/>
    <w:rsid w:val="004D7CF7"/>
    <w:rsid w:val="004E52D9"/>
    <w:rsid w:val="004F4973"/>
    <w:rsid w:val="004F761A"/>
    <w:rsid w:val="00504C33"/>
    <w:rsid w:val="00506E81"/>
    <w:rsid w:val="00514213"/>
    <w:rsid w:val="00520F4D"/>
    <w:rsid w:val="005211A4"/>
    <w:rsid w:val="00526204"/>
    <w:rsid w:val="0053100D"/>
    <w:rsid w:val="00531395"/>
    <w:rsid w:val="00531A2A"/>
    <w:rsid w:val="00536121"/>
    <w:rsid w:val="00541557"/>
    <w:rsid w:val="00556ECB"/>
    <w:rsid w:val="00557E34"/>
    <w:rsid w:val="005603E8"/>
    <w:rsid w:val="00564222"/>
    <w:rsid w:val="005740EF"/>
    <w:rsid w:val="0057621C"/>
    <w:rsid w:val="00585F3B"/>
    <w:rsid w:val="005910A7"/>
    <w:rsid w:val="0059780B"/>
    <w:rsid w:val="005A2C24"/>
    <w:rsid w:val="005A3601"/>
    <w:rsid w:val="005B148C"/>
    <w:rsid w:val="005B32C3"/>
    <w:rsid w:val="005C0EDE"/>
    <w:rsid w:val="005C1964"/>
    <w:rsid w:val="005C1D59"/>
    <w:rsid w:val="005D3158"/>
    <w:rsid w:val="005F5757"/>
    <w:rsid w:val="005F683C"/>
    <w:rsid w:val="0060142F"/>
    <w:rsid w:val="00606EC5"/>
    <w:rsid w:val="006311A6"/>
    <w:rsid w:val="00632522"/>
    <w:rsid w:val="00641E12"/>
    <w:rsid w:val="006436AD"/>
    <w:rsid w:val="00655763"/>
    <w:rsid w:val="00657CB2"/>
    <w:rsid w:val="00671848"/>
    <w:rsid w:val="0067527D"/>
    <w:rsid w:val="00676334"/>
    <w:rsid w:val="006827B9"/>
    <w:rsid w:val="00683921"/>
    <w:rsid w:val="00694B7C"/>
    <w:rsid w:val="006A0268"/>
    <w:rsid w:val="006A6D2D"/>
    <w:rsid w:val="006A7745"/>
    <w:rsid w:val="006B4EA6"/>
    <w:rsid w:val="006B55BD"/>
    <w:rsid w:val="006C1AC5"/>
    <w:rsid w:val="006D1D5C"/>
    <w:rsid w:val="006E50AF"/>
    <w:rsid w:val="006E5D57"/>
    <w:rsid w:val="006E6452"/>
    <w:rsid w:val="006F33F4"/>
    <w:rsid w:val="00703521"/>
    <w:rsid w:val="00704D7E"/>
    <w:rsid w:val="007154B3"/>
    <w:rsid w:val="0072204C"/>
    <w:rsid w:val="007230A8"/>
    <w:rsid w:val="0072485E"/>
    <w:rsid w:val="00726B8E"/>
    <w:rsid w:val="00744906"/>
    <w:rsid w:val="007543A6"/>
    <w:rsid w:val="00774F4A"/>
    <w:rsid w:val="00777AB9"/>
    <w:rsid w:val="00782064"/>
    <w:rsid w:val="00786DD0"/>
    <w:rsid w:val="00786FDE"/>
    <w:rsid w:val="00790AB8"/>
    <w:rsid w:val="007A06EB"/>
    <w:rsid w:val="007B15F9"/>
    <w:rsid w:val="007B2A41"/>
    <w:rsid w:val="007E6210"/>
    <w:rsid w:val="007E792B"/>
    <w:rsid w:val="0080376C"/>
    <w:rsid w:val="00805848"/>
    <w:rsid w:val="00814DE9"/>
    <w:rsid w:val="00820518"/>
    <w:rsid w:val="0082085D"/>
    <w:rsid w:val="00832168"/>
    <w:rsid w:val="008322FA"/>
    <w:rsid w:val="008345C6"/>
    <w:rsid w:val="0083676A"/>
    <w:rsid w:val="00841FFC"/>
    <w:rsid w:val="008422B6"/>
    <w:rsid w:val="00851C76"/>
    <w:rsid w:val="00852B0B"/>
    <w:rsid w:val="00860730"/>
    <w:rsid w:val="00860DED"/>
    <w:rsid w:val="008615AA"/>
    <w:rsid w:val="00864E2E"/>
    <w:rsid w:val="008734D0"/>
    <w:rsid w:val="00880AA9"/>
    <w:rsid w:val="008904E5"/>
    <w:rsid w:val="00893085"/>
    <w:rsid w:val="008A37C1"/>
    <w:rsid w:val="008A4011"/>
    <w:rsid w:val="008A43C5"/>
    <w:rsid w:val="008B226A"/>
    <w:rsid w:val="008B5598"/>
    <w:rsid w:val="008C76A0"/>
    <w:rsid w:val="008C788E"/>
    <w:rsid w:val="008D1DC6"/>
    <w:rsid w:val="008D4284"/>
    <w:rsid w:val="008E0AA4"/>
    <w:rsid w:val="008F0186"/>
    <w:rsid w:val="008F5CDC"/>
    <w:rsid w:val="008F6014"/>
    <w:rsid w:val="0090439B"/>
    <w:rsid w:val="009143AF"/>
    <w:rsid w:val="009166DE"/>
    <w:rsid w:val="00924CC6"/>
    <w:rsid w:val="00941B7E"/>
    <w:rsid w:val="00952D81"/>
    <w:rsid w:val="0095335F"/>
    <w:rsid w:val="0097392A"/>
    <w:rsid w:val="00973CAF"/>
    <w:rsid w:val="00991FE0"/>
    <w:rsid w:val="00995B76"/>
    <w:rsid w:val="0099625B"/>
    <w:rsid w:val="00996976"/>
    <w:rsid w:val="009B5D9F"/>
    <w:rsid w:val="009C0D64"/>
    <w:rsid w:val="009C3DC7"/>
    <w:rsid w:val="009D53B8"/>
    <w:rsid w:val="009F05A3"/>
    <w:rsid w:val="009F48BB"/>
    <w:rsid w:val="009F5EF0"/>
    <w:rsid w:val="00A02473"/>
    <w:rsid w:val="00A31599"/>
    <w:rsid w:val="00A4666B"/>
    <w:rsid w:val="00A51015"/>
    <w:rsid w:val="00A6696B"/>
    <w:rsid w:val="00A70CDF"/>
    <w:rsid w:val="00A76E58"/>
    <w:rsid w:val="00A835DE"/>
    <w:rsid w:val="00A84BF6"/>
    <w:rsid w:val="00A86F35"/>
    <w:rsid w:val="00AA19F8"/>
    <w:rsid w:val="00AA7232"/>
    <w:rsid w:val="00AC5056"/>
    <w:rsid w:val="00AC5393"/>
    <w:rsid w:val="00AD21FB"/>
    <w:rsid w:val="00AD7728"/>
    <w:rsid w:val="00AE3AF5"/>
    <w:rsid w:val="00AF6367"/>
    <w:rsid w:val="00B04981"/>
    <w:rsid w:val="00B1606E"/>
    <w:rsid w:val="00B166A4"/>
    <w:rsid w:val="00B30FD8"/>
    <w:rsid w:val="00B3450E"/>
    <w:rsid w:val="00B45A54"/>
    <w:rsid w:val="00B46B48"/>
    <w:rsid w:val="00B556F0"/>
    <w:rsid w:val="00B62E7E"/>
    <w:rsid w:val="00B63243"/>
    <w:rsid w:val="00B96CA3"/>
    <w:rsid w:val="00BA41A4"/>
    <w:rsid w:val="00BC6519"/>
    <w:rsid w:val="00BD7236"/>
    <w:rsid w:val="00BE226F"/>
    <w:rsid w:val="00C04AC7"/>
    <w:rsid w:val="00C07717"/>
    <w:rsid w:val="00C16D2D"/>
    <w:rsid w:val="00C4530D"/>
    <w:rsid w:val="00C54ECA"/>
    <w:rsid w:val="00C65250"/>
    <w:rsid w:val="00C830D8"/>
    <w:rsid w:val="00C83F30"/>
    <w:rsid w:val="00C84727"/>
    <w:rsid w:val="00C96396"/>
    <w:rsid w:val="00C971F1"/>
    <w:rsid w:val="00CA14A9"/>
    <w:rsid w:val="00CA2333"/>
    <w:rsid w:val="00CA3E44"/>
    <w:rsid w:val="00CA615A"/>
    <w:rsid w:val="00CC1F0C"/>
    <w:rsid w:val="00CC768B"/>
    <w:rsid w:val="00CE37E7"/>
    <w:rsid w:val="00CE3D8C"/>
    <w:rsid w:val="00CE4723"/>
    <w:rsid w:val="00CE549A"/>
    <w:rsid w:val="00CE5B4B"/>
    <w:rsid w:val="00CE6BDF"/>
    <w:rsid w:val="00CF09C6"/>
    <w:rsid w:val="00CF2E5C"/>
    <w:rsid w:val="00D07D06"/>
    <w:rsid w:val="00D10434"/>
    <w:rsid w:val="00D1232F"/>
    <w:rsid w:val="00D17D96"/>
    <w:rsid w:val="00D23FCB"/>
    <w:rsid w:val="00D27AB7"/>
    <w:rsid w:val="00D33579"/>
    <w:rsid w:val="00D35AB4"/>
    <w:rsid w:val="00D40A40"/>
    <w:rsid w:val="00D41528"/>
    <w:rsid w:val="00D463CA"/>
    <w:rsid w:val="00D64A39"/>
    <w:rsid w:val="00D6616E"/>
    <w:rsid w:val="00D733B9"/>
    <w:rsid w:val="00D80CD5"/>
    <w:rsid w:val="00D813DB"/>
    <w:rsid w:val="00D85D90"/>
    <w:rsid w:val="00D935E2"/>
    <w:rsid w:val="00D93F59"/>
    <w:rsid w:val="00D96029"/>
    <w:rsid w:val="00DA7095"/>
    <w:rsid w:val="00DD6CDF"/>
    <w:rsid w:val="00DD7B69"/>
    <w:rsid w:val="00DE331D"/>
    <w:rsid w:val="00DF3CEA"/>
    <w:rsid w:val="00DF661F"/>
    <w:rsid w:val="00E06169"/>
    <w:rsid w:val="00E20A54"/>
    <w:rsid w:val="00E334A4"/>
    <w:rsid w:val="00E335A2"/>
    <w:rsid w:val="00E43338"/>
    <w:rsid w:val="00E433FE"/>
    <w:rsid w:val="00E46240"/>
    <w:rsid w:val="00E54AD5"/>
    <w:rsid w:val="00E61D70"/>
    <w:rsid w:val="00E65525"/>
    <w:rsid w:val="00E65D6C"/>
    <w:rsid w:val="00E83E1B"/>
    <w:rsid w:val="00E85F4A"/>
    <w:rsid w:val="00E9026E"/>
    <w:rsid w:val="00E9343E"/>
    <w:rsid w:val="00EA25A1"/>
    <w:rsid w:val="00EB3A73"/>
    <w:rsid w:val="00EE1AD5"/>
    <w:rsid w:val="00EE2D56"/>
    <w:rsid w:val="00EE6908"/>
    <w:rsid w:val="00EF5F12"/>
    <w:rsid w:val="00F47107"/>
    <w:rsid w:val="00F53757"/>
    <w:rsid w:val="00F54459"/>
    <w:rsid w:val="00F572A7"/>
    <w:rsid w:val="00F732AA"/>
    <w:rsid w:val="00F82FA7"/>
    <w:rsid w:val="00F841D7"/>
    <w:rsid w:val="00F85FD2"/>
    <w:rsid w:val="00F91D81"/>
    <w:rsid w:val="00F94961"/>
    <w:rsid w:val="00F97BDB"/>
    <w:rsid w:val="00FB2697"/>
    <w:rsid w:val="00FB6B4F"/>
    <w:rsid w:val="00FF18C4"/>
    <w:rsid w:val="00FF48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20A54"/>
    <w:rPr>
      <w:sz w:val="24"/>
      <w:szCs w:val="24"/>
    </w:rPr>
  </w:style>
  <w:style w:type="paragraph" w:styleId="Nadpis1">
    <w:name w:val="heading 1"/>
    <w:basedOn w:val="Normlny"/>
    <w:next w:val="Normlny"/>
    <w:qFormat/>
    <w:rsid w:val="00485707"/>
    <w:pPr>
      <w:keepNext/>
      <w:numPr>
        <w:numId w:val="3"/>
      </w:numPr>
      <w:spacing w:before="240" w:after="120" w:line="360" w:lineRule="auto"/>
      <w:jc w:val="both"/>
      <w:outlineLvl w:val="0"/>
    </w:pPr>
    <w:rPr>
      <w:rFonts w:ascii="Arial" w:hAnsi="Arial"/>
      <w:b/>
      <w:kern w:val="28"/>
      <w:sz w:val="28"/>
      <w:szCs w:val="20"/>
    </w:rPr>
  </w:style>
  <w:style w:type="paragraph" w:styleId="Nadpis2">
    <w:name w:val="heading 2"/>
    <w:basedOn w:val="Normlny"/>
    <w:next w:val="Normlny"/>
    <w:link w:val="Nadpis2Char"/>
    <w:qFormat/>
    <w:rsid w:val="00E20A54"/>
    <w:pPr>
      <w:keepNext/>
      <w:jc w:val="both"/>
      <w:outlineLvl w:val="1"/>
    </w:pPr>
    <w:rPr>
      <w:rFonts w:ascii="Arial" w:hAnsi="Arial"/>
      <w:b/>
      <w:sz w:val="22"/>
      <w:szCs w:val="20"/>
    </w:rPr>
  </w:style>
  <w:style w:type="paragraph" w:styleId="Nadpis3">
    <w:name w:val="heading 3"/>
    <w:basedOn w:val="Normlny"/>
    <w:next w:val="Normlny"/>
    <w:qFormat/>
    <w:rsid w:val="00485707"/>
    <w:pPr>
      <w:keepNext/>
      <w:numPr>
        <w:ilvl w:val="2"/>
        <w:numId w:val="3"/>
      </w:numPr>
      <w:tabs>
        <w:tab w:val="clear" w:pos="1440"/>
        <w:tab w:val="num" w:pos="360"/>
      </w:tabs>
      <w:spacing w:before="120" w:after="60" w:line="360" w:lineRule="auto"/>
      <w:ind w:left="360" w:hanging="360"/>
      <w:jc w:val="both"/>
      <w:outlineLvl w:val="2"/>
    </w:pPr>
    <w:rPr>
      <w:rFonts w:ascii="Arial" w:hAnsi="Arial"/>
      <w:b/>
      <w:szCs w:val="20"/>
    </w:rPr>
  </w:style>
  <w:style w:type="paragraph" w:styleId="Nadpis4">
    <w:name w:val="heading 4"/>
    <w:basedOn w:val="Normlny"/>
    <w:next w:val="Normlny"/>
    <w:qFormat/>
    <w:rsid w:val="00E20A54"/>
    <w:pPr>
      <w:keepNext/>
      <w:outlineLvl w:val="3"/>
    </w:pPr>
    <w:rPr>
      <w:rFonts w:ascii="Arial" w:hAnsi="Arial"/>
      <w:szCs w:val="20"/>
    </w:rPr>
  </w:style>
  <w:style w:type="paragraph" w:styleId="Nadpis6">
    <w:name w:val="heading 6"/>
    <w:basedOn w:val="Normlny"/>
    <w:next w:val="Normlny"/>
    <w:qFormat/>
    <w:rsid w:val="00485707"/>
    <w:pPr>
      <w:keepNext/>
      <w:tabs>
        <w:tab w:val="left" w:pos="567"/>
        <w:tab w:val="left" w:pos="709"/>
        <w:tab w:val="decimal" w:pos="8222"/>
      </w:tabs>
      <w:spacing w:before="240" w:after="120" w:line="360" w:lineRule="auto"/>
      <w:jc w:val="center"/>
      <w:outlineLvl w:val="5"/>
    </w:pPr>
    <w:rPr>
      <w:rFonts w:ascii="Arial" w:hAnsi="Arial"/>
      <w:b/>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arCharChar">
    <w:name w:val="Car Char Char"/>
    <w:basedOn w:val="Normlny"/>
    <w:rsid w:val="00E20A54"/>
    <w:pPr>
      <w:spacing w:after="160" w:line="240" w:lineRule="exact"/>
    </w:pPr>
    <w:rPr>
      <w:rFonts w:ascii="Tahoma" w:hAnsi="Tahoma" w:cs="Tahoma"/>
      <w:sz w:val="20"/>
      <w:szCs w:val="20"/>
      <w:lang w:val="en-US" w:eastAsia="en-US"/>
    </w:rPr>
  </w:style>
  <w:style w:type="paragraph" w:styleId="Zarkazkladnhotextu">
    <w:name w:val="Body Text Indent"/>
    <w:basedOn w:val="Normlny"/>
    <w:link w:val="ZarkazkladnhotextuChar"/>
    <w:rsid w:val="00E20A54"/>
    <w:pPr>
      <w:ind w:left="360"/>
      <w:jc w:val="both"/>
    </w:pPr>
    <w:rPr>
      <w:rFonts w:ascii="Arial" w:hAnsi="Arial"/>
      <w:szCs w:val="20"/>
    </w:rPr>
  </w:style>
  <w:style w:type="paragraph" w:styleId="Pta">
    <w:name w:val="footer"/>
    <w:basedOn w:val="Normlny"/>
    <w:link w:val="PtaChar"/>
    <w:rsid w:val="00E20A54"/>
    <w:pPr>
      <w:tabs>
        <w:tab w:val="center" w:pos="4536"/>
        <w:tab w:val="right" w:pos="9072"/>
      </w:tabs>
    </w:pPr>
    <w:rPr>
      <w:sz w:val="20"/>
      <w:szCs w:val="20"/>
      <w:lang w:eastAsia="cs-CZ"/>
    </w:rPr>
  </w:style>
  <w:style w:type="paragraph" w:styleId="Zkladntext">
    <w:name w:val="Body Text"/>
    <w:basedOn w:val="Normlny"/>
    <w:link w:val="ZkladntextChar"/>
    <w:rsid w:val="00E20A54"/>
    <w:rPr>
      <w:rFonts w:ascii="Arial" w:hAnsi="Arial"/>
      <w:color w:val="000000"/>
      <w:sz w:val="20"/>
      <w:szCs w:val="20"/>
      <w:lang w:eastAsia="cs-CZ"/>
    </w:rPr>
  </w:style>
  <w:style w:type="character" w:styleId="Hypertextovprepojenie">
    <w:name w:val="Hyperlink"/>
    <w:basedOn w:val="Predvolenpsmoodseku"/>
    <w:rsid w:val="00E20A54"/>
    <w:rPr>
      <w:color w:val="0000FF"/>
      <w:u w:val="single"/>
    </w:rPr>
  </w:style>
  <w:style w:type="character" w:styleId="PouitHypertextovPrepojenie">
    <w:name w:val="FollowedHyperlink"/>
    <w:basedOn w:val="Predvolenpsmoodseku"/>
    <w:rsid w:val="00FF48A1"/>
    <w:rPr>
      <w:color w:val="800080"/>
      <w:u w:val="single"/>
    </w:rPr>
  </w:style>
  <w:style w:type="paragraph" w:styleId="Textbubliny">
    <w:name w:val="Balloon Text"/>
    <w:basedOn w:val="Normlny"/>
    <w:link w:val="TextbublinyChar"/>
    <w:rsid w:val="00557E34"/>
    <w:rPr>
      <w:rFonts w:ascii="Tahoma" w:hAnsi="Tahoma" w:cs="Tahoma"/>
      <w:sz w:val="16"/>
      <w:szCs w:val="16"/>
    </w:rPr>
  </w:style>
  <w:style w:type="paragraph" w:styleId="Hlavika">
    <w:name w:val="header"/>
    <w:basedOn w:val="Normlny"/>
    <w:rsid w:val="00657CB2"/>
    <w:pPr>
      <w:tabs>
        <w:tab w:val="center" w:pos="4536"/>
        <w:tab w:val="right" w:pos="9072"/>
      </w:tabs>
    </w:pPr>
    <w:rPr>
      <w:rFonts w:ascii="Arial" w:hAnsi="Arial"/>
      <w:szCs w:val="20"/>
    </w:rPr>
  </w:style>
  <w:style w:type="paragraph" w:styleId="Zkladntext2">
    <w:name w:val="Body Text 2"/>
    <w:basedOn w:val="Normlny"/>
    <w:link w:val="Zkladntext2Char"/>
    <w:rsid w:val="00657CB2"/>
    <w:pPr>
      <w:spacing w:after="120" w:line="480" w:lineRule="auto"/>
    </w:pPr>
    <w:rPr>
      <w:rFonts w:ascii="Arial" w:hAnsi="Arial"/>
      <w:szCs w:val="20"/>
    </w:rPr>
  </w:style>
  <w:style w:type="paragraph" w:styleId="Zkladntext3">
    <w:name w:val="Body Text 3"/>
    <w:basedOn w:val="Normlny"/>
    <w:rsid w:val="00657CB2"/>
    <w:pPr>
      <w:spacing w:after="120"/>
    </w:pPr>
    <w:rPr>
      <w:rFonts w:ascii="Arial" w:hAnsi="Arial"/>
      <w:sz w:val="16"/>
      <w:szCs w:val="16"/>
    </w:rPr>
  </w:style>
  <w:style w:type="paragraph" w:styleId="Zarkazkladnhotextu3">
    <w:name w:val="Body Text Indent 3"/>
    <w:basedOn w:val="Normlny"/>
    <w:link w:val="Zarkazkladnhotextu3Char"/>
    <w:rsid w:val="00485707"/>
    <w:pPr>
      <w:spacing w:after="120"/>
      <w:ind w:left="283"/>
    </w:pPr>
    <w:rPr>
      <w:rFonts w:ascii="Arial" w:hAnsi="Arial"/>
      <w:sz w:val="16"/>
      <w:szCs w:val="16"/>
    </w:rPr>
  </w:style>
  <w:style w:type="paragraph" w:styleId="Zarkazkladnhotextu2">
    <w:name w:val="Body Text Indent 2"/>
    <w:basedOn w:val="Normlny"/>
    <w:link w:val="Zarkazkladnhotextu2Char"/>
    <w:rsid w:val="00485707"/>
    <w:pPr>
      <w:spacing w:after="120" w:line="480" w:lineRule="auto"/>
      <w:ind w:left="283"/>
    </w:pPr>
    <w:rPr>
      <w:rFonts w:ascii="Arial" w:hAnsi="Arial"/>
      <w:szCs w:val="20"/>
    </w:rPr>
  </w:style>
  <w:style w:type="character" w:styleId="slostrany">
    <w:name w:val="page number"/>
    <w:basedOn w:val="Predvolenpsmoodseku"/>
    <w:rsid w:val="00485707"/>
  </w:style>
  <w:style w:type="paragraph" w:customStyle="1" w:styleId="kSk">
    <w:name w:val="kSk"/>
    <w:basedOn w:val="Normlny"/>
    <w:rsid w:val="00485707"/>
    <w:pPr>
      <w:tabs>
        <w:tab w:val="left" w:pos="426"/>
        <w:tab w:val="decimal" w:pos="8080"/>
      </w:tabs>
      <w:spacing w:after="240" w:line="360" w:lineRule="auto"/>
    </w:pPr>
    <w:rPr>
      <w:rFonts w:ascii="Arial" w:hAnsi="Arial"/>
      <w:szCs w:val="20"/>
    </w:rPr>
  </w:style>
  <w:style w:type="table" w:styleId="Mriekatabuky">
    <w:name w:val="Table Grid"/>
    <w:basedOn w:val="Normlnatabuka"/>
    <w:rsid w:val="004857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eobecn">
    <w:name w:val="Všeobecný"/>
    <w:basedOn w:val="Normlny"/>
    <w:rsid w:val="00485707"/>
    <w:pPr>
      <w:jc w:val="both"/>
    </w:pPr>
    <w:rPr>
      <w:rFonts w:ascii="Arial" w:hAnsi="Arial"/>
      <w:szCs w:val="20"/>
      <w:lang w:eastAsia="cs-CZ"/>
    </w:rPr>
  </w:style>
  <w:style w:type="paragraph" w:customStyle="1" w:styleId="Char">
    <w:name w:val="Char"/>
    <w:basedOn w:val="Normlny"/>
    <w:rsid w:val="00475AA9"/>
    <w:pPr>
      <w:spacing w:after="160" w:line="240" w:lineRule="exact"/>
    </w:pPr>
    <w:rPr>
      <w:rFonts w:ascii="Tahoma" w:hAnsi="Tahoma" w:cs="Tahoma"/>
      <w:sz w:val="20"/>
      <w:szCs w:val="20"/>
      <w:lang w:val="en-US" w:eastAsia="en-US"/>
    </w:rPr>
  </w:style>
  <w:style w:type="paragraph" w:styleId="truktradokumentu">
    <w:name w:val="Document Map"/>
    <w:basedOn w:val="Normlny"/>
    <w:semiHidden/>
    <w:rsid w:val="003B0253"/>
    <w:pPr>
      <w:shd w:val="clear" w:color="auto" w:fill="000080"/>
    </w:pPr>
    <w:rPr>
      <w:rFonts w:ascii="Tahoma" w:hAnsi="Tahoma" w:cs="Tahoma"/>
      <w:sz w:val="20"/>
      <w:szCs w:val="20"/>
    </w:rPr>
  </w:style>
  <w:style w:type="numbering" w:customStyle="1" w:styleId="Bezzoznamu1">
    <w:name w:val="Bez zoznamu1"/>
    <w:next w:val="Bezzoznamu"/>
    <w:uiPriority w:val="99"/>
    <w:semiHidden/>
    <w:unhideWhenUsed/>
    <w:rsid w:val="008F5CDC"/>
  </w:style>
  <w:style w:type="character" w:customStyle="1" w:styleId="Nadpis2Char">
    <w:name w:val="Nadpis 2 Char"/>
    <w:basedOn w:val="Predvolenpsmoodseku"/>
    <w:link w:val="Nadpis2"/>
    <w:rsid w:val="008F5CDC"/>
    <w:rPr>
      <w:rFonts w:ascii="Arial" w:hAnsi="Arial"/>
      <w:b/>
      <w:sz w:val="22"/>
    </w:rPr>
  </w:style>
  <w:style w:type="character" w:customStyle="1" w:styleId="Zarkazkladnhotextu3Char">
    <w:name w:val="Zarážka základného textu 3 Char"/>
    <w:basedOn w:val="Predvolenpsmoodseku"/>
    <w:link w:val="Zarkazkladnhotextu3"/>
    <w:rsid w:val="008F5CDC"/>
    <w:rPr>
      <w:rFonts w:ascii="Arial" w:hAnsi="Arial"/>
      <w:sz w:val="16"/>
      <w:szCs w:val="16"/>
    </w:rPr>
  </w:style>
  <w:style w:type="character" w:customStyle="1" w:styleId="ZarkazkladnhotextuChar">
    <w:name w:val="Zarážka základného textu Char"/>
    <w:basedOn w:val="Predvolenpsmoodseku"/>
    <w:link w:val="Zarkazkladnhotextu"/>
    <w:rsid w:val="008F5CDC"/>
    <w:rPr>
      <w:rFonts w:ascii="Arial" w:hAnsi="Arial"/>
      <w:sz w:val="24"/>
    </w:rPr>
  </w:style>
  <w:style w:type="character" w:customStyle="1" w:styleId="ZkladntextChar">
    <w:name w:val="Základný text Char"/>
    <w:basedOn w:val="Predvolenpsmoodseku"/>
    <w:link w:val="Zkladntext"/>
    <w:rsid w:val="008F5CDC"/>
    <w:rPr>
      <w:rFonts w:ascii="Arial" w:hAnsi="Arial"/>
      <w:color w:val="000000"/>
      <w:lang w:eastAsia="cs-CZ"/>
    </w:rPr>
  </w:style>
  <w:style w:type="character" w:customStyle="1" w:styleId="Zarkazkladnhotextu2Char">
    <w:name w:val="Zarážka základného textu 2 Char"/>
    <w:basedOn w:val="Predvolenpsmoodseku"/>
    <w:link w:val="Zarkazkladnhotextu2"/>
    <w:rsid w:val="008F5CDC"/>
    <w:rPr>
      <w:rFonts w:ascii="Arial" w:hAnsi="Arial"/>
      <w:sz w:val="24"/>
    </w:rPr>
  </w:style>
  <w:style w:type="character" w:customStyle="1" w:styleId="Zkladntext2Char">
    <w:name w:val="Základný text 2 Char"/>
    <w:basedOn w:val="Predvolenpsmoodseku"/>
    <w:link w:val="Zkladntext2"/>
    <w:rsid w:val="008F5CDC"/>
    <w:rPr>
      <w:rFonts w:ascii="Arial" w:hAnsi="Arial"/>
      <w:sz w:val="24"/>
    </w:rPr>
  </w:style>
  <w:style w:type="character" w:customStyle="1" w:styleId="PtaChar">
    <w:name w:val="Päta Char"/>
    <w:basedOn w:val="Predvolenpsmoodseku"/>
    <w:link w:val="Pta"/>
    <w:rsid w:val="008F5CDC"/>
    <w:rPr>
      <w:lang w:eastAsia="cs-CZ"/>
    </w:rPr>
  </w:style>
  <w:style w:type="character" w:customStyle="1" w:styleId="TextbublinyChar">
    <w:name w:val="Text bubliny Char"/>
    <w:basedOn w:val="Predvolenpsmoodseku"/>
    <w:link w:val="Textbubliny"/>
    <w:rsid w:val="008F5CDC"/>
    <w:rPr>
      <w:rFonts w:ascii="Tahoma" w:hAnsi="Tahoma" w:cs="Tahoma"/>
      <w:sz w:val="16"/>
      <w:szCs w:val="16"/>
    </w:rPr>
  </w:style>
  <w:style w:type="paragraph" w:styleId="Odsekzoznamu">
    <w:name w:val="List Paragraph"/>
    <w:basedOn w:val="Normlny"/>
    <w:uiPriority w:val="34"/>
    <w:qFormat/>
    <w:rsid w:val="008F5CDC"/>
    <w:pPr>
      <w:ind w:left="720"/>
      <w:contextualSpacing/>
    </w:pPr>
    <w:rPr>
      <w:rFonts w:ascii="Arial" w:hAnsi="Arial"/>
      <w:szCs w:val="20"/>
    </w:rPr>
  </w:style>
  <w:style w:type="numbering" w:customStyle="1" w:styleId="Bezzoznamu2">
    <w:name w:val="Bez zoznamu2"/>
    <w:next w:val="Bezzoznamu"/>
    <w:uiPriority w:val="99"/>
    <w:semiHidden/>
    <w:unhideWhenUsed/>
    <w:rsid w:val="00D93F59"/>
  </w:style>
  <w:style w:type="numbering" w:customStyle="1" w:styleId="Bezzoznamu3">
    <w:name w:val="Bez zoznamu3"/>
    <w:next w:val="Bezzoznamu"/>
    <w:uiPriority w:val="99"/>
    <w:semiHidden/>
    <w:unhideWhenUsed/>
    <w:rsid w:val="00D93F59"/>
  </w:style>
  <w:style w:type="numbering" w:customStyle="1" w:styleId="Bezzoznamu4">
    <w:name w:val="Bez zoznamu4"/>
    <w:next w:val="Bezzoznamu"/>
    <w:uiPriority w:val="99"/>
    <w:semiHidden/>
    <w:unhideWhenUsed/>
    <w:rsid w:val="00A70CDF"/>
  </w:style>
  <w:style w:type="numbering" w:customStyle="1" w:styleId="Bezzoznamu5">
    <w:name w:val="Bez zoznamu5"/>
    <w:next w:val="Bezzoznamu"/>
    <w:uiPriority w:val="99"/>
    <w:semiHidden/>
    <w:unhideWhenUsed/>
    <w:rsid w:val="00445B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20A54"/>
    <w:rPr>
      <w:sz w:val="24"/>
      <w:szCs w:val="24"/>
    </w:rPr>
  </w:style>
  <w:style w:type="paragraph" w:styleId="Nadpis1">
    <w:name w:val="heading 1"/>
    <w:basedOn w:val="Normlny"/>
    <w:next w:val="Normlny"/>
    <w:qFormat/>
    <w:rsid w:val="00485707"/>
    <w:pPr>
      <w:keepNext/>
      <w:numPr>
        <w:numId w:val="3"/>
      </w:numPr>
      <w:spacing w:before="240" w:after="120" w:line="360" w:lineRule="auto"/>
      <w:jc w:val="both"/>
      <w:outlineLvl w:val="0"/>
    </w:pPr>
    <w:rPr>
      <w:rFonts w:ascii="Arial" w:hAnsi="Arial"/>
      <w:b/>
      <w:kern w:val="28"/>
      <w:sz w:val="28"/>
      <w:szCs w:val="20"/>
    </w:rPr>
  </w:style>
  <w:style w:type="paragraph" w:styleId="Nadpis2">
    <w:name w:val="heading 2"/>
    <w:basedOn w:val="Normlny"/>
    <w:next w:val="Normlny"/>
    <w:link w:val="Nadpis2Char"/>
    <w:qFormat/>
    <w:rsid w:val="00E20A54"/>
    <w:pPr>
      <w:keepNext/>
      <w:jc w:val="both"/>
      <w:outlineLvl w:val="1"/>
    </w:pPr>
    <w:rPr>
      <w:rFonts w:ascii="Arial" w:hAnsi="Arial"/>
      <w:b/>
      <w:sz w:val="22"/>
      <w:szCs w:val="20"/>
    </w:rPr>
  </w:style>
  <w:style w:type="paragraph" w:styleId="Nadpis3">
    <w:name w:val="heading 3"/>
    <w:basedOn w:val="Normlny"/>
    <w:next w:val="Normlny"/>
    <w:qFormat/>
    <w:rsid w:val="00485707"/>
    <w:pPr>
      <w:keepNext/>
      <w:numPr>
        <w:ilvl w:val="2"/>
        <w:numId w:val="3"/>
      </w:numPr>
      <w:tabs>
        <w:tab w:val="clear" w:pos="1440"/>
        <w:tab w:val="num" w:pos="360"/>
      </w:tabs>
      <w:spacing w:before="120" w:after="60" w:line="360" w:lineRule="auto"/>
      <w:ind w:left="360" w:hanging="360"/>
      <w:jc w:val="both"/>
      <w:outlineLvl w:val="2"/>
    </w:pPr>
    <w:rPr>
      <w:rFonts w:ascii="Arial" w:hAnsi="Arial"/>
      <w:b/>
      <w:szCs w:val="20"/>
    </w:rPr>
  </w:style>
  <w:style w:type="paragraph" w:styleId="Nadpis4">
    <w:name w:val="heading 4"/>
    <w:basedOn w:val="Normlny"/>
    <w:next w:val="Normlny"/>
    <w:qFormat/>
    <w:rsid w:val="00E20A54"/>
    <w:pPr>
      <w:keepNext/>
      <w:outlineLvl w:val="3"/>
    </w:pPr>
    <w:rPr>
      <w:rFonts w:ascii="Arial" w:hAnsi="Arial"/>
      <w:szCs w:val="20"/>
    </w:rPr>
  </w:style>
  <w:style w:type="paragraph" w:styleId="Nadpis6">
    <w:name w:val="heading 6"/>
    <w:basedOn w:val="Normlny"/>
    <w:next w:val="Normlny"/>
    <w:qFormat/>
    <w:rsid w:val="00485707"/>
    <w:pPr>
      <w:keepNext/>
      <w:tabs>
        <w:tab w:val="left" w:pos="567"/>
        <w:tab w:val="left" w:pos="709"/>
        <w:tab w:val="decimal" w:pos="8222"/>
      </w:tabs>
      <w:spacing w:before="240" w:after="120" w:line="360" w:lineRule="auto"/>
      <w:jc w:val="center"/>
      <w:outlineLvl w:val="5"/>
    </w:pPr>
    <w:rPr>
      <w:rFonts w:ascii="Arial" w:hAnsi="Arial"/>
      <w:b/>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arCharChar">
    <w:name w:val="Car Char Char"/>
    <w:basedOn w:val="Normlny"/>
    <w:rsid w:val="00E20A54"/>
    <w:pPr>
      <w:spacing w:after="160" w:line="240" w:lineRule="exact"/>
    </w:pPr>
    <w:rPr>
      <w:rFonts w:ascii="Tahoma" w:hAnsi="Tahoma" w:cs="Tahoma"/>
      <w:sz w:val="20"/>
      <w:szCs w:val="20"/>
      <w:lang w:val="en-US" w:eastAsia="en-US"/>
    </w:rPr>
  </w:style>
  <w:style w:type="paragraph" w:styleId="Zarkazkladnhotextu">
    <w:name w:val="Body Text Indent"/>
    <w:basedOn w:val="Normlny"/>
    <w:link w:val="ZarkazkladnhotextuChar"/>
    <w:rsid w:val="00E20A54"/>
    <w:pPr>
      <w:ind w:left="360"/>
      <w:jc w:val="both"/>
    </w:pPr>
    <w:rPr>
      <w:rFonts w:ascii="Arial" w:hAnsi="Arial"/>
      <w:szCs w:val="20"/>
    </w:rPr>
  </w:style>
  <w:style w:type="paragraph" w:styleId="Pta">
    <w:name w:val="footer"/>
    <w:basedOn w:val="Normlny"/>
    <w:link w:val="PtaChar"/>
    <w:rsid w:val="00E20A54"/>
    <w:pPr>
      <w:tabs>
        <w:tab w:val="center" w:pos="4536"/>
        <w:tab w:val="right" w:pos="9072"/>
      </w:tabs>
    </w:pPr>
    <w:rPr>
      <w:sz w:val="20"/>
      <w:szCs w:val="20"/>
      <w:lang w:eastAsia="cs-CZ"/>
    </w:rPr>
  </w:style>
  <w:style w:type="paragraph" w:styleId="Zkladntext">
    <w:name w:val="Body Text"/>
    <w:basedOn w:val="Normlny"/>
    <w:link w:val="ZkladntextChar"/>
    <w:rsid w:val="00E20A54"/>
    <w:rPr>
      <w:rFonts w:ascii="Arial" w:hAnsi="Arial"/>
      <w:color w:val="000000"/>
      <w:sz w:val="20"/>
      <w:szCs w:val="20"/>
      <w:lang w:eastAsia="cs-CZ"/>
    </w:rPr>
  </w:style>
  <w:style w:type="character" w:styleId="Hypertextovprepojenie">
    <w:name w:val="Hyperlink"/>
    <w:basedOn w:val="Predvolenpsmoodseku"/>
    <w:rsid w:val="00E20A54"/>
    <w:rPr>
      <w:color w:val="0000FF"/>
      <w:u w:val="single"/>
    </w:rPr>
  </w:style>
  <w:style w:type="character" w:styleId="PouitHypertextovPrepojenie">
    <w:name w:val="FollowedHyperlink"/>
    <w:basedOn w:val="Predvolenpsmoodseku"/>
    <w:rsid w:val="00FF48A1"/>
    <w:rPr>
      <w:color w:val="800080"/>
      <w:u w:val="single"/>
    </w:rPr>
  </w:style>
  <w:style w:type="paragraph" w:styleId="Textbubliny">
    <w:name w:val="Balloon Text"/>
    <w:basedOn w:val="Normlny"/>
    <w:link w:val="TextbublinyChar"/>
    <w:rsid w:val="00557E34"/>
    <w:rPr>
      <w:rFonts w:ascii="Tahoma" w:hAnsi="Tahoma" w:cs="Tahoma"/>
      <w:sz w:val="16"/>
      <w:szCs w:val="16"/>
    </w:rPr>
  </w:style>
  <w:style w:type="paragraph" w:styleId="Hlavika">
    <w:name w:val="header"/>
    <w:basedOn w:val="Normlny"/>
    <w:rsid w:val="00657CB2"/>
    <w:pPr>
      <w:tabs>
        <w:tab w:val="center" w:pos="4536"/>
        <w:tab w:val="right" w:pos="9072"/>
      </w:tabs>
    </w:pPr>
    <w:rPr>
      <w:rFonts w:ascii="Arial" w:hAnsi="Arial"/>
      <w:szCs w:val="20"/>
    </w:rPr>
  </w:style>
  <w:style w:type="paragraph" w:styleId="Zkladntext2">
    <w:name w:val="Body Text 2"/>
    <w:basedOn w:val="Normlny"/>
    <w:link w:val="Zkladntext2Char"/>
    <w:rsid w:val="00657CB2"/>
    <w:pPr>
      <w:spacing w:after="120" w:line="480" w:lineRule="auto"/>
    </w:pPr>
    <w:rPr>
      <w:rFonts w:ascii="Arial" w:hAnsi="Arial"/>
      <w:szCs w:val="20"/>
    </w:rPr>
  </w:style>
  <w:style w:type="paragraph" w:styleId="Zkladntext3">
    <w:name w:val="Body Text 3"/>
    <w:basedOn w:val="Normlny"/>
    <w:rsid w:val="00657CB2"/>
    <w:pPr>
      <w:spacing w:after="120"/>
    </w:pPr>
    <w:rPr>
      <w:rFonts w:ascii="Arial" w:hAnsi="Arial"/>
      <w:sz w:val="16"/>
      <w:szCs w:val="16"/>
    </w:rPr>
  </w:style>
  <w:style w:type="paragraph" w:styleId="Zarkazkladnhotextu3">
    <w:name w:val="Body Text Indent 3"/>
    <w:basedOn w:val="Normlny"/>
    <w:link w:val="Zarkazkladnhotextu3Char"/>
    <w:rsid w:val="00485707"/>
    <w:pPr>
      <w:spacing w:after="120"/>
      <w:ind w:left="283"/>
    </w:pPr>
    <w:rPr>
      <w:rFonts w:ascii="Arial" w:hAnsi="Arial"/>
      <w:sz w:val="16"/>
      <w:szCs w:val="16"/>
    </w:rPr>
  </w:style>
  <w:style w:type="paragraph" w:styleId="Zarkazkladnhotextu2">
    <w:name w:val="Body Text Indent 2"/>
    <w:basedOn w:val="Normlny"/>
    <w:link w:val="Zarkazkladnhotextu2Char"/>
    <w:rsid w:val="00485707"/>
    <w:pPr>
      <w:spacing w:after="120" w:line="480" w:lineRule="auto"/>
      <w:ind w:left="283"/>
    </w:pPr>
    <w:rPr>
      <w:rFonts w:ascii="Arial" w:hAnsi="Arial"/>
      <w:szCs w:val="20"/>
    </w:rPr>
  </w:style>
  <w:style w:type="character" w:styleId="slostrany">
    <w:name w:val="page number"/>
    <w:basedOn w:val="Predvolenpsmoodseku"/>
    <w:rsid w:val="00485707"/>
  </w:style>
  <w:style w:type="paragraph" w:customStyle="1" w:styleId="kSk">
    <w:name w:val="kSk"/>
    <w:basedOn w:val="Normlny"/>
    <w:rsid w:val="00485707"/>
    <w:pPr>
      <w:tabs>
        <w:tab w:val="left" w:pos="426"/>
        <w:tab w:val="decimal" w:pos="8080"/>
      </w:tabs>
      <w:spacing w:after="240" w:line="360" w:lineRule="auto"/>
    </w:pPr>
    <w:rPr>
      <w:rFonts w:ascii="Arial" w:hAnsi="Arial"/>
      <w:szCs w:val="20"/>
    </w:rPr>
  </w:style>
  <w:style w:type="table" w:styleId="Mriekatabuky">
    <w:name w:val="Table Grid"/>
    <w:basedOn w:val="Normlnatabuka"/>
    <w:rsid w:val="004857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eobecn">
    <w:name w:val="Všeobecný"/>
    <w:basedOn w:val="Normlny"/>
    <w:rsid w:val="00485707"/>
    <w:pPr>
      <w:jc w:val="both"/>
    </w:pPr>
    <w:rPr>
      <w:rFonts w:ascii="Arial" w:hAnsi="Arial"/>
      <w:szCs w:val="20"/>
      <w:lang w:eastAsia="cs-CZ"/>
    </w:rPr>
  </w:style>
  <w:style w:type="paragraph" w:customStyle="1" w:styleId="Char">
    <w:name w:val="Char"/>
    <w:basedOn w:val="Normlny"/>
    <w:rsid w:val="00475AA9"/>
    <w:pPr>
      <w:spacing w:after="160" w:line="240" w:lineRule="exact"/>
    </w:pPr>
    <w:rPr>
      <w:rFonts w:ascii="Tahoma" w:hAnsi="Tahoma" w:cs="Tahoma"/>
      <w:sz w:val="20"/>
      <w:szCs w:val="20"/>
      <w:lang w:val="en-US" w:eastAsia="en-US"/>
    </w:rPr>
  </w:style>
  <w:style w:type="paragraph" w:styleId="truktradokumentu">
    <w:name w:val="Document Map"/>
    <w:basedOn w:val="Normlny"/>
    <w:semiHidden/>
    <w:rsid w:val="003B0253"/>
    <w:pPr>
      <w:shd w:val="clear" w:color="auto" w:fill="000080"/>
    </w:pPr>
    <w:rPr>
      <w:rFonts w:ascii="Tahoma" w:hAnsi="Tahoma" w:cs="Tahoma"/>
      <w:sz w:val="20"/>
      <w:szCs w:val="20"/>
    </w:rPr>
  </w:style>
  <w:style w:type="numbering" w:customStyle="1" w:styleId="Bezzoznamu1">
    <w:name w:val="Bez zoznamu1"/>
    <w:next w:val="Bezzoznamu"/>
    <w:uiPriority w:val="99"/>
    <w:semiHidden/>
    <w:unhideWhenUsed/>
    <w:rsid w:val="008F5CDC"/>
  </w:style>
  <w:style w:type="character" w:customStyle="1" w:styleId="Nadpis2Char">
    <w:name w:val="Nadpis 2 Char"/>
    <w:basedOn w:val="Predvolenpsmoodseku"/>
    <w:link w:val="Nadpis2"/>
    <w:rsid w:val="008F5CDC"/>
    <w:rPr>
      <w:rFonts w:ascii="Arial" w:hAnsi="Arial"/>
      <w:b/>
      <w:sz w:val="22"/>
    </w:rPr>
  </w:style>
  <w:style w:type="character" w:customStyle="1" w:styleId="Zarkazkladnhotextu3Char">
    <w:name w:val="Zarážka základného textu 3 Char"/>
    <w:basedOn w:val="Predvolenpsmoodseku"/>
    <w:link w:val="Zarkazkladnhotextu3"/>
    <w:rsid w:val="008F5CDC"/>
    <w:rPr>
      <w:rFonts w:ascii="Arial" w:hAnsi="Arial"/>
      <w:sz w:val="16"/>
      <w:szCs w:val="16"/>
    </w:rPr>
  </w:style>
  <w:style w:type="character" w:customStyle="1" w:styleId="ZarkazkladnhotextuChar">
    <w:name w:val="Zarážka základného textu Char"/>
    <w:basedOn w:val="Predvolenpsmoodseku"/>
    <w:link w:val="Zarkazkladnhotextu"/>
    <w:rsid w:val="008F5CDC"/>
    <w:rPr>
      <w:rFonts w:ascii="Arial" w:hAnsi="Arial"/>
      <w:sz w:val="24"/>
    </w:rPr>
  </w:style>
  <w:style w:type="character" w:customStyle="1" w:styleId="ZkladntextChar">
    <w:name w:val="Základný text Char"/>
    <w:basedOn w:val="Predvolenpsmoodseku"/>
    <w:link w:val="Zkladntext"/>
    <w:rsid w:val="008F5CDC"/>
    <w:rPr>
      <w:rFonts w:ascii="Arial" w:hAnsi="Arial"/>
      <w:color w:val="000000"/>
      <w:lang w:eastAsia="cs-CZ"/>
    </w:rPr>
  </w:style>
  <w:style w:type="character" w:customStyle="1" w:styleId="Zarkazkladnhotextu2Char">
    <w:name w:val="Zarážka základného textu 2 Char"/>
    <w:basedOn w:val="Predvolenpsmoodseku"/>
    <w:link w:val="Zarkazkladnhotextu2"/>
    <w:rsid w:val="008F5CDC"/>
    <w:rPr>
      <w:rFonts w:ascii="Arial" w:hAnsi="Arial"/>
      <w:sz w:val="24"/>
    </w:rPr>
  </w:style>
  <w:style w:type="character" w:customStyle="1" w:styleId="Zkladntext2Char">
    <w:name w:val="Základný text 2 Char"/>
    <w:basedOn w:val="Predvolenpsmoodseku"/>
    <w:link w:val="Zkladntext2"/>
    <w:rsid w:val="008F5CDC"/>
    <w:rPr>
      <w:rFonts w:ascii="Arial" w:hAnsi="Arial"/>
      <w:sz w:val="24"/>
    </w:rPr>
  </w:style>
  <w:style w:type="character" w:customStyle="1" w:styleId="PtaChar">
    <w:name w:val="Päta Char"/>
    <w:basedOn w:val="Predvolenpsmoodseku"/>
    <w:link w:val="Pta"/>
    <w:rsid w:val="008F5CDC"/>
    <w:rPr>
      <w:lang w:eastAsia="cs-CZ"/>
    </w:rPr>
  </w:style>
  <w:style w:type="character" w:customStyle="1" w:styleId="TextbublinyChar">
    <w:name w:val="Text bubliny Char"/>
    <w:basedOn w:val="Predvolenpsmoodseku"/>
    <w:link w:val="Textbubliny"/>
    <w:rsid w:val="008F5CDC"/>
    <w:rPr>
      <w:rFonts w:ascii="Tahoma" w:hAnsi="Tahoma" w:cs="Tahoma"/>
      <w:sz w:val="16"/>
      <w:szCs w:val="16"/>
    </w:rPr>
  </w:style>
  <w:style w:type="paragraph" w:styleId="Odsekzoznamu">
    <w:name w:val="List Paragraph"/>
    <w:basedOn w:val="Normlny"/>
    <w:uiPriority w:val="34"/>
    <w:qFormat/>
    <w:rsid w:val="008F5CDC"/>
    <w:pPr>
      <w:ind w:left="720"/>
      <w:contextualSpacing/>
    </w:pPr>
    <w:rPr>
      <w:rFonts w:ascii="Arial" w:hAnsi="Arial"/>
      <w:szCs w:val="20"/>
    </w:rPr>
  </w:style>
  <w:style w:type="numbering" w:customStyle="1" w:styleId="Bezzoznamu2">
    <w:name w:val="Bez zoznamu2"/>
    <w:next w:val="Bezzoznamu"/>
    <w:uiPriority w:val="99"/>
    <w:semiHidden/>
    <w:unhideWhenUsed/>
    <w:rsid w:val="00D93F59"/>
  </w:style>
  <w:style w:type="numbering" w:customStyle="1" w:styleId="Bezzoznamu3">
    <w:name w:val="Bez zoznamu3"/>
    <w:next w:val="Bezzoznamu"/>
    <w:uiPriority w:val="99"/>
    <w:semiHidden/>
    <w:unhideWhenUsed/>
    <w:rsid w:val="00D93F59"/>
  </w:style>
  <w:style w:type="numbering" w:customStyle="1" w:styleId="Bezzoznamu4">
    <w:name w:val="Bez zoznamu4"/>
    <w:next w:val="Bezzoznamu"/>
    <w:uiPriority w:val="99"/>
    <w:semiHidden/>
    <w:unhideWhenUsed/>
    <w:rsid w:val="00A70CDF"/>
  </w:style>
  <w:style w:type="numbering" w:customStyle="1" w:styleId="Bezzoznamu5">
    <w:name w:val="Bez zoznamu5"/>
    <w:next w:val="Bezzoznamu"/>
    <w:uiPriority w:val="99"/>
    <w:semiHidden/>
    <w:unhideWhenUsed/>
    <w:rsid w:val="00445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802223">
      <w:bodyDiv w:val="1"/>
      <w:marLeft w:val="0"/>
      <w:marRight w:val="0"/>
      <w:marTop w:val="0"/>
      <w:marBottom w:val="0"/>
      <w:divBdr>
        <w:top w:val="none" w:sz="0" w:space="0" w:color="auto"/>
        <w:left w:val="none" w:sz="0" w:space="0" w:color="auto"/>
        <w:bottom w:val="none" w:sz="0" w:space="0" w:color="auto"/>
        <w:right w:val="none" w:sz="0" w:space="0" w:color="auto"/>
      </w:divBdr>
    </w:div>
    <w:div w:id="169707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epi.sk/Main/Default.aspx?Template=~/Main/TArticles.ascx&amp;phContent=~/ZzSR/ShowRule.ascx&amp;RuleId=0&amp;FragmentId1=5345907&amp;FragmentId2=5345908" TargetMode="Externa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5"/>
      <c:rotY val="0"/>
      <c:rAngAx val="0"/>
      <c:perspective val="0"/>
    </c:view3D>
    <c:floor>
      <c:thickness val="0"/>
    </c:floor>
    <c:sideWall>
      <c:thickness val="0"/>
    </c:sideWall>
    <c:backWall>
      <c:thickness val="0"/>
    </c:backWall>
    <c:plotArea>
      <c:layout>
        <c:manualLayout>
          <c:layoutTarget val="inner"/>
          <c:xMode val="edge"/>
          <c:yMode val="edge"/>
          <c:x val="0.22188466313392199"/>
          <c:y val="0.22000047743159165"/>
          <c:w val="0.55775117376814642"/>
          <c:h val="0.56222344232517862"/>
        </c:manualLayout>
      </c:layout>
      <c:pie3DChart>
        <c:varyColors val="1"/>
        <c:ser>
          <c:idx val="0"/>
          <c:order val="0"/>
          <c:spPr>
            <a:solidFill>
              <a:srgbClr val="9999FF"/>
            </a:solidFill>
            <a:ln w="12700">
              <a:solidFill>
                <a:srgbClr val="000000"/>
              </a:solidFill>
              <a:prstDash val="solid"/>
            </a:ln>
          </c:spPr>
          <c:explosion val="16"/>
          <c:dPt>
            <c:idx val="0"/>
            <c:bubble3D val="0"/>
            <c:explosion val="8"/>
            <c:spPr>
              <a:pattFill prst="pct70">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700">
                <a:solidFill>
                  <a:srgbClr val="000000"/>
                </a:solidFill>
                <a:prstDash val="solid"/>
              </a:ln>
            </c:spPr>
          </c:dPt>
          <c:dPt>
            <c:idx val="1"/>
            <c:bubble3D val="0"/>
            <c:explosion val="2"/>
            <c:spPr>
              <a:pattFill prst="smConfetti">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dPt>
          <c:dPt>
            <c:idx val="2"/>
            <c:bubble3D val="0"/>
            <c:explosion val="27"/>
            <c:spPr>
              <a:solidFill>
                <a:srgbClr val="FFFFFF"/>
              </a:solidFill>
              <a:ln w="12700">
                <a:solidFill>
                  <a:srgbClr val="000000"/>
                </a:solidFill>
                <a:prstDash val="solid"/>
              </a:ln>
            </c:spPr>
          </c:dPt>
          <c:dPt>
            <c:idx val="3"/>
            <c:bubble3D val="0"/>
            <c:spPr>
              <a:pattFill prst="pct60">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700">
                <a:solidFill>
                  <a:srgbClr val="000000"/>
                </a:solidFill>
                <a:prstDash val="solid"/>
              </a:ln>
            </c:spPr>
          </c:dPt>
          <c:dPt>
            <c:idx val="4"/>
            <c:bubble3D val="0"/>
            <c:spPr>
              <a:pattFill prst="wdDn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dPt>
          <c:dPt>
            <c:idx val="5"/>
            <c:bubble3D val="0"/>
            <c:spPr>
              <a:solidFill>
                <a:srgbClr val="FFFFFF"/>
              </a:solidFill>
              <a:ln w="12700">
                <a:solidFill>
                  <a:srgbClr val="000000"/>
                </a:solidFill>
                <a:prstDash val="solid"/>
              </a:ln>
            </c:spPr>
          </c:dPt>
          <c:dLbls>
            <c:dLbl>
              <c:idx val="0"/>
              <c:layout>
                <c:manualLayout>
                  <c:x val="8.2482121029475469E-2"/>
                  <c:y val="7.4342531725760524E-2"/>
                </c:manualLayout>
              </c:layout>
              <c:dLblPos val="bestFit"/>
              <c:showLegendKey val="0"/>
              <c:showVal val="0"/>
              <c:showCatName val="1"/>
              <c:showSerName val="0"/>
              <c:showPercent val="1"/>
              <c:showBubbleSize val="0"/>
            </c:dLbl>
            <c:dLbl>
              <c:idx val="1"/>
              <c:layout>
                <c:manualLayout>
                  <c:x val="-0.10861320027923835"/>
                  <c:y val="3.075591540877979E-3"/>
                </c:manualLayout>
              </c:layout>
              <c:tx>
                <c:rich>
                  <a:bodyPr/>
                  <a:lstStyle/>
                  <a:p>
                    <a:pPr>
                      <a:defRPr sz="800" b="0" i="0" u="none" strike="noStrike" baseline="0">
                        <a:solidFill>
                          <a:srgbClr val="000000"/>
                        </a:solidFill>
                        <a:latin typeface="Arial"/>
                        <a:ea typeface="Arial"/>
                        <a:cs typeface="Arial"/>
                      </a:defRPr>
                    </a:pPr>
                    <a:r>
                      <a:rPr lang="sk-SK"/>
                      <a:t>predčasné star.
3,51%</a:t>
                    </a:r>
                  </a:p>
                </c:rich>
              </c:tx>
              <c:spPr>
                <a:noFill/>
                <a:ln w="25400">
                  <a:noFill/>
                </a:ln>
              </c:spPr>
              <c:dLblPos val="bestFit"/>
              <c:showLegendKey val="0"/>
              <c:showVal val="0"/>
              <c:showCatName val="0"/>
              <c:showSerName val="0"/>
              <c:showPercent val="0"/>
              <c:showBubbleSize val="0"/>
            </c:dLbl>
            <c:dLbl>
              <c:idx val="2"/>
              <c:layout>
                <c:manualLayout>
                  <c:x val="-8.5241643487577887E-2"/>
                  <c:y val="-4.0663635267564002E-2"/>
                </c:manualLayout>
              </c:layout>
              <c:tx>
                <c:rich>
                  <a:bodyPr/>
                  <a:lstStyle/>
                  <a:p>
                    <a:pPr>
                      <a:defRPr sz="800" b="0" i="0" u="none" strike="noStrike" baseline="0">
                        <a:solidFill>
                          <a:srgbClr val="000000"/>
                        </a:solidFill>
                        <a:latin typeface="Arial"/>
                        <a:ea typeface="Arial"/>
                        <a:cs typeface="Arial"/>
                      </a:defRPr>
                    </a:pPr>
                    <a:r>
                      <a:rPr lang="sk-SK"/>
                      <a:t>vdovecké
0,77%</a:t>
                    </a:r>
                  </a:p>
                </c:rich>
              </c:tx>
              <c:spPr>
                <a:noFill/>
                <a:ln w="25400">
                  <a:noFill/>
                </a:ln>
              </c:spPr>
              <c:dLblPos val="bestFit"/>
              <c:showLegendKey val="0"/>
              <c:showVal val="0"/>
              <c:showCatName val="0"/>
              <c:showSerName val="0"/>
              <c:showPercent val="0"/>
              <c:showBubbleSize val="0"/>
            </c:dLbl>
            <c:dLbl>
              <c:idx val="3"/>
              <c:layout>
                <c:manualLayout>
                  <c:x val="-3.1619756631724401E-2"/>
                  <c:y val="-0.1229935149860228"/>
                </c:manualLayout>
              </c:layout>
              <c:dLblPos val="bestFit"/>
              <c:showLegendKey val="0"/>
              <c:showVal val="0"/>
              <c:showCatName val="1"/>
              <c:showSerName val="0"/>
              <c:showPercent val="1"/>
              <c:showBubbleSize val="0"/>
            </c:dLbl>
            <c:dLbl>
              <c:idx val="4"/>
              <c:layout>
                <c:manualLayout>
                  <c:x val="-2.2717156563455319E-2"/>
                  <c:y val="-0.12752293819677032"/>
                </c:manualLayout>
              </c:layout>
              <c:tx>
                <c:rich>
                  <a:bodyPr/>
                  <a:lstStyle/>
                  <a:p>
                    <a:pPr>
                      <a:defRPr sz="800" b="0" i="0" u="none" strike="noStrike" baseline="0">
                        <a:solidFill>
                          <a:srgbClr val="000000"/>
                        </a:solidFill>
                        <a:latin typeface="Arial"/>
                        <a:ea typeface="Arial"/>
                        <a:cs typeface="Arial"/>
                      </a:defRPr>
                    </a:pPr>
                    <a:r>
                      <a:rPr lang="sk-SK"/>
                      <a:t>invalidné
12,72%</a:t>
                    </a:r>
                  </a:p>
                </c:rich>
              </c:tx>
              <c:spPr>
                <a:noFill/>
                <a:ln w="25400">
                  <a:noFill/>
                </a:ln>
              </c:spPr>
              <c:dLblPos val="bestFit"/>
              <c:showLegendKey val="0"/>
              <c:showVal val="0"/>
              <c:showCatName val="0"/>
              <c:showSerName val="0"/>
              <c:showPercent val="0"/>
              <c:showBubbleSize val="0"/>
            </c:dLbl>
            <c:dLbl>
              <c:idx val="5"/>
              <c:layout>
                <c:manualLayout>
                  <c:x val="7.9262171920881849E-3"/>
                  <c:y val="-0.16670439924921993"/>
                </c:manualLayout>
              </c:layout>
              <c:dLblPos val="bestFit"/>
              <c:showLegendKey val="0"/>
              <c:showVal val="0"/>
              <c:showCatName val="1"/>
              <c:showSerName val="0"/>
              <c:showPercent val="1"/>
              <c:showBubbleSize val="0"/>
            </c:dLbl>
            <c:numFmt formatCode="0.00%" sourceLinked="0"/>
            <c:spPr>
              <a:noFill/>
              <a:ln w="25400">
                <a:noFill/>
              </a:ln>
            </c:spPr>
            <c:txPr>
              <a:bodyPr/>
              <a:lstStyle/>
              <a:p>
                <a:pPr>
                  <a:defRPr sz="800" b="0" i="0" u="none" strike="noStrike" baseline="0">
                    <a:solidFill>
                      <a:srgbClr val="000000"/>
                    </a:solidFill>
                    <a:latin typeface="Arial"/>
                    <a:ea typeface="Arial"/>
                    <a:cs typeface="Arial"/>
                  </a:defRPr>
                </a:pPr>
                <a:endParaRPr lang="sk-SK"/>
              </a:p>
            </c:txPr>
            <c:showLegendKey val="0"/>
            <c:showVal val="0"/>
            <c:showCatName val="1"/>
            <c:showSerName val="0"/>
            <c:showPercent val="1"/>
            <c:showBubbleSize val="0"/>
            <c:showLeaderLines val="1"/>
          </c:dLbls>
          <c:cat>
            <c:strRef>
              <c:f>Grafy!$B$121:$G$121</c:f>
              <c:strCache>
                <c:ptCount val="6"/>
                <c:pt idx="0">
                  <c:v>starobné </c:v>
                </c:pt>
                <c:pt idx="1">
                  <c:v>predčasné starobné</c:v>
                </c:pt>
                <c:pt idx="2">
                  <c:v>vdovecké</c:v>
                </c:pt>
                <c:pt idx="3">
                  <c:v>vdovské</c:v>
                </c:pt>
                <c:pt idx="4">
                  <c:v>invalidné</c:v>
                </c:pt>
                <c:pt idx="5">
                  <c:v>sirotské</c:v>
                </c:pt>
              </c:strCache>
            </c:strRef>
          </c:cat>
          <c:val>
            <c:numRef>
              <c:f>Grafy!$B$122:$G$122</c:f>
              <c:numCache>
                <c:formatCode>0.00</c:formatCode>
                <c:ptCount val="6"/>
                <c:pt idx="0" formatCode="General">
                  <c:v>72.599999999999994</c:v>
                </c:pt>
                <c:pt idx="1">
                  <c:v>3.51</c:v>
                </c:pt>
                <c:pt idx="2" formatCode="General">
                  <c:v>0.77</c:v>
                </c:pt>
                <c:pt idx="3">
                  <c:v>9.57</c:v>
                </c:pt>
                <c:pt idx="4" formatCode="General">
                  <c:v>12.72</c:v>
                </c:pt>
                <c:pt idx="5" formatCode="General">
                  <c:v>0.83</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solidFill>
      <a:srgbClr val="FFFFFF"/>
    </a:solidFill>
    <a:ln w="9525">
      <a:noFill/>
    </a:ln>
  </c:spPr>
  <c:txPr>
    <a:bodyPr/>
    <a:lstStyle/>
    <a:p>
      <a:pPr>
        <a:defRPr sz="1075" b="0" i="0" u="none" strike="noStrike" baseline="0">
          <a:solidFill>
            <a:srgbClr val="000000"/>
          </a:solidFill>
          <a:latin typeface="Arial"/>
          <a:ea typeface="Arial"/>
          <a:cs typeface="Arial"/>
        </a:defRPr>
      </a:pPr>
      <a:endParaRPr lang="sk-SK"/>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335728211799622"/>
          <c:y val="0.14345128907395996"/>
          <c:w val="0.75444927255856198"/>
          <c:h val="0.65904432806442481"/>
        </c:manualLayout>
      </c:layout>
      <c:lineChart>
        <c:grouping val="standard"/>
        <c:varyColors val="0"/>
        <c:ser>
          <c:idx val="0"/>
          <c:order val="0"/>
          <c:tx>
            <c:strRef>
              <c:f>'C:\Documents and Settings\farkasova_k\Local Settings\Temporary Internet Files\Content.Outlook\GXSR5XIZ\[Rozbor 2011.xlsx]Grafy'!$A$5</c:f>
              <c:strCache>
                <c:ptCount val="1"/>
                <c:pt idx="0">
                  <c:v>rok</c:v>
                </c:pt>
              </c:strCache>
            </c:strRef>
          </c:tx>
          <c:spPr>
            <a:ln w="12700">
              <a:solidFill>
                <a:srgbClr val="000080"/>
              </a:solidFill>
              <a:prstDash val="solid"/>
            </a:ln>
          </c:spPr>
          <c:marker>
            <c:symbol val="diamond"/>
            <c:size val="5"/>
            <c:spPr>
              <a:pattFill prst="dashVert">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a:solidFill>
                  <a:srgbClr val="000080"/>
                </a:solidFill>
                <a:prstDash val="solid"/>
              </a:ln>
            </c:spPr>
          </c:marker>
          <c:dLbls>
            <c:dLbl>
              <c:idx val="0"/>
              <c:layout>
                <c:manualLayout>
                  <c:x val="-1.8626022953565122E-2"/>
                  <c:y val="-9.1362326937514185E-2"/>
                </c:manualLayout>
              </c:layout>
              <c:dLblPos val="r"/>
              <c:showLegendKey val="0"/>
              <c:showVal val="1"/>
              <c:showCatName val="0"/>
              <c:showSerName val="0"/>
              <c:showPercent val="0"/>
              <c:showBubbleSize val="0"/>
            </c:dLbl>
            <c:dLbl>
              <c:idx val="1"/>
              <c:layout>
                <c:manualLayout>
                  <c:x val="-2.2489145961312476E-2"/>
                  <c:y val="-8.4261396372016698E-2"/>
                </c:manualLayout>
              </c:layout>
              <c:dLblPos val="r"/>
              <c:showLegendKey val="0"/>
              <c:showVal val="1"/>
              <c:showCatName val="0"/>
              <c:showSerName val="0"/>
              <c:showPercent val="0"/>
              <c:showBubbleSize val="0"/>
            </c:dLbl>
            <c:dLbl>
              <c:idx val="2"/>
              <c:layout>
                <c:manualLayout>
                  <c:x val="-2.2192621364688664E-2"/>
                  <c:y val="-8.1070121223760561E-2"/>
                </c:manualLayout>
              </c:layout>
              <c:dLblPos val="r"/>
              <c:showLegendKey val="0"/>
              <c:showVal val="1"/>
              <c:showCatName val="0"/>
              <c:showSerName val="0"/>
              <c:showPercent val="0"/>
              <c:showBubbleSize val="0"/>
            </c:dLbl>
            <c:dLbl>
              <c:idx val="3"/>
              <c:layout>
                <c:manualLayout>
                  <c:x val="-2.4268575007212571E-2"/>
                  <c:y val="-8.3210130884415506E-2"/>
                </c:manualLayout>
              </c:layout>
              <c:dLblPos val="r"/>
              <c:showLegendKey val="0"/>
              <c:showVal val="1"/>
              <c:showCatName val="0"/>
              <c:showSerName val="0"/>
              <c:showPercent val="0"/>
              <c:showBubbleSize val="0"/>
            </c:dLbl>
            <c:dLbl>
              <c:idx val="4"/>
              <c:layout>
                <c:manualLayout>
                  <c:x val="-1.8040714079640849E-2"/>
                  <c:y val="-9.0398123737858715E-2"/>
                </c:manualLayout>
              </c:layout>
              <c:dLblPos val="r"/>
              <c:showLegendKey val="0"/>
              <c:showVal val="1"/>
              <c:showCatName val="0"/>
              <c:showSerName val="0"/>
              <c:showPercent val="0"/>
              <c:showBubbleSize val="0"/>
            </c:dLbl>
            <c:dLbl>
              <c:idx val="5"/>
              <c:layout>
                <c:manualLayout>
                  <c:x val="-1.7744330216095641E-2"/>
                  <c:y val="-9.2597959623118065E-2"/>
                </c:manualLayout>
              </c:layout>
              <c:dLblPos val="r"/>
              <c:showLegendKey val="0"/>
              <c:showVal val="1"/>
              <c:showCatName val="0"/>
              <c:showSerName val="0"/>
              <c:showPercent val="0"/>
              <c:showBubbleSize val="0"/>
            </c:dLbl>
            <c:dLbl>
              <c:idx val="6"/>
              <c:layout>
                <c:manualLayout>
                  <c:x val="-2.5735435885527715E-2"/>
                  <c:y val="-8.9192287771123951E-2"/>
                </c:manualLayout>
              </c:layout>
              <c:dLblPos val="r"/>
              <c:showLegendKey val="0"/>
              <c:showVal val="1"/>
              <c:showCatName val="0"/>
              <c:showSerName val="0"/>
              <c:showPercent val="0"/>
              <c:showBubbleSize val="0"/>
            </c:dLbl>
            <c:dLbl>
              <c:idx val="7"/>
              <c:layout>
                <c:manualLayout>
                  <c:x val="-2.1279122951454125E-2"/>
                  <c:y val="-8.0317754072315242E-2"/>
                </c:manualLayout>
              </c:layout>
              <c:dLblPos val="r"/>
              <c:showLegendKey val="0"/>
              <c:showVal val="1"/>
              <c:showCatName val="0"/>
              <c:showSerName val="0"/>
              <c:showPercent val="0"/>
              <c:showBubbleSize val="0"/>
            </c:dLbl>
            <c:dLbl>
              <c:idx val="8"/>
              <c:layout>
                <c:manualLayout>
                  <c:x val="-2.6328485078775339E-2"/>
                  <c:y val="-8.3839819357391862E-2"/>
                </c:manualLayout>
              </c:layout>
              <c:dLblPos val="r"/>
              <c:showLegendKey val="0"/>
              <c:showVal val="1"/>
              <c:showCatName val="0"/>
              <c:showSerName val="0"/>
              <c:showPercent val="0"/>
              <c:showBubbleSize val="0"/>
            </c:dLbl>
            <c:dLbl>
              <c:idx val="9"/>
              <c:layout>
                <c:manualLayout>
                  <c:x val="-2.6047863320034056E-2"/>
                  <c:y val="-8.6624183063591556E-2"/>
                </c:manualLayout>
              </c:layout>
              <c:dLblPos val="r"/>
              <c:showLegendKey val="0"/>
              <c:showVal val="1"/>
              <c:showCatName val="0"/>
              <c:showSerName val="0"/>
              <c:showPercent val="0"/>
              <c:showBubbleSize val="0"/>
            </c:dLbl>
            <c:dLbl>
              <c:idx val="10"/>
              <c:layout>
                <c:manualLayout>
                  <c:x val="-2.8123816962557963E-2"/>
                  <c:y val="-9.0713782728378461E-2"/>
                </c:manualLayout>
              </c:layout>
              <c:dLblPos val="r"/>
              <c:showLegendKey val="0"/>
              <c:showVal val="1"/>
              <c:showCatName val="0"/>
              <c:showSerName val="0"/>
              <c:showPercent val="0"/>
              <c:showBubbleSize val="0"/>
            </c:dLbl>
            <c:dLbl>
              <c:idx val="11"/>
              <c:layout>
                <c:manualLayout>
                  <c:x val="-2.3082335887638711E-2"/>
                  <c:y val="-8.1413714638220114E-2"/>
                </c:manualLayout>
              </c:layout>
              <c:dLblPos val="r"/>
              <c:showLegendKey val="0"/>
              <c:showVal val="1"/>
              <c:showCatName val="0"/>
              <c:showSerName val="0"/>
              <c:showPercent val="0"/>
              <c:showBubbleSize val="0"/>
            </c:dLbl>
            <c:dLbl>
              <c:idx val="12"/>
              <c:layout>
                <c:manualLayout>
                  <c:x val="-2.2785811291014896E-2"/>
                  <c:y val="-9.128085153435643E-2"/>
                </c:manualLayout>
              </c:layout>
              <c:dLblPos val="r"/>
              <c:showLegendKey val="0"/>
              <c:showVal val="1"/>
              <c:showCatName val="0"/>
              <c:showSerName val="0"/>
              <c:showPercent val="0"/>
              <c:showBubbleSize val="0"/>
            </c:dLbl>
            <c:dLbl>
              <c:idx val="13"/>
              <c:layout>
                <c:manualLayout>
                  <c:x val="-1.6510241849795586E-2"/>
                  <c:y val="-8.7275287928255091E-2"/>
                </c:manualLayout>
              </c:layout>
              <c:dLblPos val="r"/>
              <c:showLegendKey val="0"/>
              <c:showVal val="1"/>
              <c:showCatName val="0"/>
              <c:showSerName val="0"/>
              <c:showPercent val="0"/>
              <c:showBubbleSize val="0"/>
            </c:dLbl>
            <c:dLbl>
              <c:idx val="14"/>
              <c:layout>
                <c:manualLayout>
                  <c:x val="-1.9851948801306002E-2"/>
                  <c:y val="-9.444256275060961E-2"/>
                </c:manualLayout>
              </c:layout>
              <c:dLblPos val="r"/>
              <c:showLegendKey val="0"/>
              <c:showVal val="1"/>
              <c:showCatName val="0"/>
              <c:showSerName val="0"/>
              <c:showPercent val="0"/>
              <c:showBubbleSize val="0"/>
            </c:dLbl>
            <c:dLbl>
              <c:idx val="15"/>
              <c:layout>
                <c:manualLayout>
                  <c:x val="-2.4268434274133964E-2"/>
                  <c:y val="-8.2617455523159383E-2"/>
                </c:manualLayout>
              </c:layout>
              <c:dLblPos val="r"/>
              <c:showLegendKey val="0"/>
              <c:showVal val="1"/>
              <c:showCatName val="0"/>
              <c:showSerName val="0"/>
              <c:showPercent val="0"/>
              <c:showBubbleSize val="0"/>
            </c:dLbl>
            <c:dLbl>
              <c:idx val="16"/>
              <c:layout>
                <c:manualLayout>
                  <c:x val="-2.0515223800778255E-2"/>
                  <c:y val="-9.3818693949287379E-2"/>
                </c:manualLayout>
              </c:layout>
              <c:dLblPos val="r"/>
              <c:showLegendKey val="0"/>
              <c:showVal val="1"/>
              <c:showCatName val="0"/>
              <c:showSerName val="0"/>
              <c:showPercent val="0"/>
              <c:showBubbleSize val="0"/>
            </c:dLbl>
            <c:dLbl>
              <c:idx val="17"/>
              <c:layout>
                <c:manualLayout>
                  <c:x val="-1.9000091476501096E-2"/>
                  <c:y val="-0.1020730834366325"/>
                </c:manualLayout>
              </c:layout>
              <c:dLblPos val="r"/>
              <c:showLegendKey val="0"/>
              <c:showVal val="1"/>
              <c:showCatName val="0"/>
              <c:showSerName val="0"/>
              <c:showPercent val="0"/>
              <c:showBubbleSize val="0"/>
            </c:dLbl>
            <c:dLbl>
              <c:idx val="18"/>
              <c:layout>
                <c:manualLayout>
                  <c:xMode val="edge"/>
                  <c:yMode val="edge"/>
                  <c:x val="0.78766402040705208"/>
                  <c:y val="0.15384631002134838"/>
                </c:manualLayout>
              </c:layout>
              <c:dLblPos val="r"/>
              <c:showLegendKey val="0"/>
              <c:showVal val="1"/>
              <c:showCatName val="0"/>
              <c:showSerName val="0"/>
              <c:showPercent val="0"/>
              <c:showBubbleSize val="0"/>
            </c:dLbl>
            <c:dLbl>
              <c:idx val="19"/>
              <c:layout>
                <c:manualLayout>
                  <c:xMode val="edge"/>
                  <c:yMode val="edge"/>
                  <c:x val="0.82562373223389796"/>
                  <c:y val="0.13305626812657156"/>
                </c:manualLayout>
              </c:layout>
              <c:dLblPos val="r"/>
              <c:showLegendKey val="0"/>
              <c:showVal val="1"/>
              <c:showCatName val="0"/>
              <c:showSerName val="0"/>
              <c:showPercent val="0"/>
              <c:showBubbleSize val="0"/>
            </c:dLbl>
            <c:dLbl>
              <c:idx val="20"/>
              <c:layout>
                <c:manualLayout>
                  <c:xMode val="edge"/>
                  <c:yMode val="edge"/>
                  <c:x val="0.85409351610403239"/>
                  <c:y val="0.12889825974761621"/>
                </c:manualLayout>
              </c:layout>
              <c:dLblPos val="r"/>
              <c:showLegendKey val="0"/>
              <c:showVal val="1"/>
              <c:showCatName val="0"/>
              <c:showSerName val="0"/>
              <c:showPercent val="0"/>
              <c:showBubbleSize val="0"/>
            </c:dLbl>
            <c:dLbl>
              <c:idx val="21"/>
              <c:layout>
                <c:manualLayout>
                  <c:xMode val="edge"/>
                  <c:yMode val="edge"/>
                  <c:x val="0.89086698693628941"/>
                  <c:y val="9.7713196905450994E-2"/>
                </c:manualLayout>
              </c:layout>
              <c:dLblPos val="r"/>
              <c:showLegendKey val="0"/>
              <c:showVal val="1"/>
              <c:showCatName val="0"/>
              <c:showSerName val="0"/>
              <c:showPercent val="0"/>
              <c:showBubbleSize val="0"/>
            </c:dLbl>
            <c:dLbl>
              <c:idx val="22"/>
              <c:layout>
                <c:manualLayout>
                  <c:xMode val="edge"/>
                  <c:yMode val="edge"/>
                  <c:x val="0.9205230118010127"/>
                  <c:y val="6.4449129873808103E-2"/>
                </c:manualLayout>
              </c:layout>
              <c:dLblPos val="r"/>
              <c:showLegendKey val="0"/>
              <c:showVal val="1"/>
              <c:showCatName val="0"/>
              <c:showSerName val="0"/>
              <c:showPercent val="0"/>
              <c:showBubbleSize val="0"/>
            </c:dLbl>
            <c:dLbl>
              <c:idx val="23"/>
              <c:layout>
                <c:manualLayout>
                  <c:xMode val="edge"/>
                  <c:yMode val="edge"/>
                  <c:x val="0.95255151865491394"/>
                  <c:y val="3.7422075410598249E-2"/>
                </c:manualLayout>
              </c:layout>
              <c:dLblPos val="r"/>
              <c:showLegendKey val="0"/>
              <c:showVal val="1"/>
              <c:showCatName val="0"/>
              <c:showSerName val="0"/>
              <c:showPercent val="0"/>
              <c:showBubbleSize val="0"/>
            </c:dLbl>
            <c:numFmt formatCode="#,##0" sourceLinked="0"/>
            <c:spPr>
              <a:noFill/>
              <a:ln w="25400">
                <a:noFill/>
              </a:ln>
            </c:spPr>
            <c:txPr>
              <a:bodyPr rot="-5400000" vert="horz"/>
              <a:lstStyle/>
              <a:p>
                <a:pPr algn="ctr" rtl="0">
                  <a:defRPr/>
                </a:pPr>
                <a:endParaRPr lang="sk-SK"/>
              </a:p>
            </c:txPr>
            <c:showLegendKey val="0"/>
            <c:showVal val="1"/>
            <c:showCatName val="0"/>
            <c:showSerName val="0"/>
            <c:showPercent val="0"/>
            <c:showBubbleSize val="0"/>
            <c:showLeaderLines val="0"/>
          </c:dLbls>
          <c:cat>
            <c:strRef>
              <c:f>'C:\Documents and Settings\farkasova_k\Local Settings\Temporary Internet Files\Content.Outlook\GXSR5XIZ\[Rozbor 2011.xlsx]Grafy'!$B$4:$S$4</c:f>
              <c:strCache>
                <c:ptCount val="18"/>
                <c:pt idx="0">
                  <c:v>k 31.1.2010</c:v>
                </c:pt>
                <c:pt idx="1">
                  <c:v>k 28.2.2010</c:v>
                </c:pt>
                <c:pt idx="2">
                  <c:v>k 31.3.2010</c:v>
                </c:pt>
                <c:pt idx="3">
                  <c:v>k 30.4.2010</c:v>
                </c:pt>
                <c:pt idx="4">
                  <c:v>k 31.5.2010</c:v>
                </c:pt>
                <c:pt idx="5">
                  <c:v>k 30.6.2010</c:v>
                </c:pt>
                <c:pt idx="6">
                  <c:v>k 31.7.2010</c:v>
                </c:pt>
                <c:pt idx="7">
                  <c:v>k 31.8.2010</c:v>
                </c:pt>
                <c:pt idx="8">
                  <c:v>k 30.9.2010</c:v>
                </c:pt>
                <c:pt idx="9">
                  <c:v>k 31.10.2010</c:v>
                </c:pt>
                <c:pt idx="10">
                  <c:v>k 30.11.2010</c:v>
                </c:pt>
                <c:pt idx="11">
                  <c:v>k 31.12.2010</c:v>
                </c:pt>
                <c:pt idx="12">
                  <c:v>k 31.1.2011</c:v>
                </c:pt>
                <c:pt idx="13">
                  <c:v>k 28.2.2011</c:v>
                </c:pt>
                <c:pt idx="14">
                  <c:v>k 31.3.2011</c:v>
                </c:pt>
                <c:pt idx="15">
                  <c:v>k 30.4.2011</c:v>
                </c:pt>
                <c:pt idx="16">
                  <c:v>k 31.5.2011</c:v>
                </c:pt>
                <c:pt idx="17">
                  <c:v>k 30.6.2011</c:v>
                </c:pt>
              </c:strCache>
            </c:strRef>
          </c:cat>
          <c:val>
            <c:numRef>
              <c:f>'C:\Documents and Settings\farkasova_k\Local Settings\Temporary Internet Files\Content.Outlook\GXSR5XIZ\[Rozbor 2011.xlsx]Grafy'!$B$5:$S$5</c:f>
              <c:numCache>
                <c:formatCode>General</c:formatCode>
                <c:ptCount val="18"/>
                <c:pt idx="0">
                  <c:v>1573831</c:v>
                </c:pt>
                <c:pt idx="1">
                  <c:v>1569898</c:v>
                </c:pt>
                <c:pt idx="2">
                  <c:v>1570033</c:v>
                </c:pt>
                <c:pt idx="3">
                  <c:v>1572841</c:v>
                </c:pt>
                <c:pt idx="4">
                  <c:v>1575064</c:v>
                </c:pt>
                <c:pt idx="5">
                  <c:v>1577360</c:v>
                </c:pt>
                <c:pt idx="6">
                  <c:v>1578637</c:v>
                </c:pt>
                <c:pt idx="7">
                  <c:v>1580219</c:v>
                </c:pt>
                <c:pt idx="8">
                  <c:v>1581558</c:v>
                </c:pt>
                <c:pt idx="9">
                  <c:v>1584899</c:v>
                </c:pt>
                <c:pt idx="10">
                  <c:v>1590207</c:v>
                </c:pt>
                <c:pt idx="11">
                  <c:v>1595772</c:v>
                </c:pt>
                <c:pt idx="12">
                  <c:v>1599184</c:v>
                </c:pt>
                <c:pt idx="13">
                  <c:v>1597730</c:v>
                </c:pt>
                <c:pt idx="14">
                  <c:v>1588616</c:v>
                </c:pt>
                <c:pt idx="15">
                  <c:v>1588812</c:v>
                </c:pt>
                <c:pt idx="16">
                  <c:v>1589031</c:v>
                </c:pt>
                <c:pt idx="17">
                  <c:v>1588977</c:v>
                </c:pt>
              </c:numCache>
            </c:numRef>
          </c:val>
          <c:smooth val="0"/>
        </c:ser>
        <c:dLbls>
          <c:showLegendKey val="0"/>
          <c:showVal val="0"/>
          <c:showCatName val="0"/>
          <c:showSerName val="0"/>
          <c:showPercent val="0"/>
          <c:showBubbleSize val="0"/>
        </c:dLbls>
        <c:dropLines>
          <c:spPr>
            <a:ln w="3175">
              <a:solidFill>
                <a:srgbClr val="000000"/>
              </a:solidFill>
              <a:prstDash val="solid"/>
            </a:ln>
          </c:spPr>
        </c:dropLines>
        <c:marker val="1"/>
        <c:smooth val="0"/>
        <c:axId val="154942464"/>
        <c:axId val="172106496"/>
      </c:lineChart>
      <c:catAx>
        <c:axId val="154942464"/>
        <c:scaling>
          <c:orientation val="minMax"/>
        </c:scaling>
        <c:delete val="0"/>
        <c:axPos val="b"/>
        <c:numFmt formatCode="General" sourceLinked="1"/>
        <c:majorTickMark val="out"/>
        <c:minorTickMark val="none"/>
        <c:tickLblPos val="nextTo"/>
        <c:spPr>
          <a:ln w="3175">
            <a:solidFill>
              <a:srgbClr val="000000"/>
            </a:solidFill>
            <a:prstDash val="solid"/>
          </a:ln>
        </c:spPr>
        <c:txPr>
          <a:bodyPr rot="-3600000" vert="horz"/>
          <a:lstStyle/>
          <a:p>
            <a:pPr>
              <a:defRPr/>
            </a:pPr>
            <a:endParaRPr lang="sk-SK"/>
          </a:p>
        </c:txPr>
        <c:crossAx val="172106496"/>
        <c:crosses val="autoZero"/>
        <c:auto val="1"/>
        <c:lblAlgn val="ctr"/>
        <c:lblOffset val="100"/>
        <c:tickLblSkip val="1"/>
        <c:tickMarkSkip val="1"/>
        <c:noMultiLvlLbl val="0"/>
      </c:catAx>
      <c:valAx>
        <c:axId val="172106496"/>
        <c:scaling>
          <c:orientation val="minMax"/>
          <c:max val="1610000"/>
          <c:min val="1530000"/>
        </c:scaling>
        <c:delete val="0"/>
        <c:axPos val="l"/>
        <c:title>
          <c:tx>
            <c:rich>
              <a:bodyPr/>
              <a:lstStyle/>
              <a:p>
                <a:pPr>
                  <a:defRPr/>
                </a:pPr>
                <a:r>
                  <a:rPr lang="sk-SK"/>
                  <a:t>počty</a:t>
                </a:r>
              </a:p>
            </c:rich>
          </c:tx>
          <c:layout>
            <c:manualLayout>
              <c:xMode val="edge"/>
              <c:yMode val="edge"/>
              <c:x val="8.5409377208631829E-2"/>
              <c:y val="0.4324328689683020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sk-SK"/>
          </a:p>
        </c:txPr>
        <c:crossAx val="154942464"/>
        <c:crosses val="autoZero"/>
        <c:crossBetween val="between"/>
        <c:majorUnit val="10000"/>
      </c:valAx>
      <c:spPr>
        <a:solidFill>
          <a:srgbClr val="FFFFFF"/>
        </a:solidFill>
        <a:ln w="25400">
          <a:noFill/>
        </a:ln>
      </c:spPr>
    </c:plotArea>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sk-SK"/>
    </a:p>
  </c:txPr>
  <c:externalData r:id="rId2">
    <c:autoUpdate val="0"/>
  </c:externalData>
</c:chartSpac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0980A-4A24-4EA6-83AC-A2BA585EE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6945</Words>
  <Characters>39590</Characters>
  <Application>Microsoft Office Word</Application>
  <DocSecurity>0</DocSecurity>
  <Lines>329</Lines>
  <Paragraphs>92</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46443</CharactersWithSpaces>
  <SharedDoc>false</SharedDoc>
  <HLinks>
    <vt:vector size="6" baseType="variant">
      <vt:variant>
        <vt:i4>8126497</vt:i4>
      </vt:variant>
      <vt:variant>
        <vt:i4>0</vt:i4>
      </vt:variant>
      <vt:variant>
        <vt:i4>0</vt:i4>
      </vt:variant>
      <vt:variant>
        <vt:i4>5</vt:i4>
      </vt:variant>
      <vt:variant>
        <vt:lpwstr>http://www.epi.sk/Main/Default.aspx?Template=~/Main/TArticles.ascx&amp;phContent=~/ZzSR/ShowRule.ascx&amp;RuleId=0&amp;FragmentId1=5345907&amp;FragmentId2=5345908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szabova_z</dc:creator>
  <cp:keywords/>
  <dc:description/>
  <cp:lastModifiedBy>Horák Peter</cp:lastModifiedBy>
  <cp:revision>2</cp:revision>
  <cp:lastPrinted>2011-03-30T06:07:00Z</cp:lastPrinted>
  <dcterms:created xsi:type="dcterms:W3CDTF">2011-08-22T13:33:00Z</dcterms:created>
  <dcterms:modified xsi:type="dcterms:W3CDTF">2011-08-22T13:33:00Z</dcterms:modified>
</cp:coreProperties>
</file>