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B14" w:rsidRPr="00CA3B14" w:rsidRDefault="00CA3B14" w:rsidP="00CA3B14">
      <w:pPr>
        <w:overflowPunct w:val="0"/>
        <w:ind w:left="426"/>
        <w:textAlignment w:val="baseline"/>
        <w:rPr>
          <w:sz w:val="22"/>
          <w:szCs w:val="22"/>
        </w:rPr>
      </w:pPr>
    </w:p>
    <w:p w:rsidR="00CA3B14" w:rsidRPr="00CA3B14" w:rsidRDefault="00CA3B14" w:rsidP="00F94A02">
      <w:pPr>
        <w:overflowPunct w:val="0"/>
        <w:jc w:val="both"/>
        <w:textAlignment w:val="baseline"/>
        <w:rPr>
          <w:b/>
          <w:sz w:val="22"/>
          <w:szCs w:val="22"/>
          <w:u w:val="single"/>
        </w:rPr>
      </w:pPr>
    </w:p>
    <w:p w:rsidR="00CA3B14" w:rsidRPr="00CA3B14" w:rsidRDefault="00CA3B14" w:rsidP="00CA3B14">
      <w:pPr>
        <w:tabs>
          <w:tab w:val="left" w:pos="1701"/>
          <w:tab w:val="right" w:pos="9072"/>
        </w:tabs>
        <w:overflowPunct w:val="0"/>
        <w:spacing w:after="120"/>
        <w:jc w:val="center"/>
        <w:textAlignment w:val="baseline"/>
        <w:rPr>
          <w:b/>
          <w:bCs/>
          <w:i/>
          <w:sz w:val="22"/>
          <w:szCs w:val="22"/>
        </w:rPr>
      </w:pPr>
      <w:r w:rsidRPr="00CA3B14">
        <w:rPr>
          <w:b/>
          <w:i/>
          <w:sz w:val="22"/>
          <w:szCs w:val="22"/>
        </w:rPr>
        <w:t xml:space="preserve">Príloha č. 1 k </w:t>
      </w:r>
      <w:r w:rsidRPr="00CA3B14">
        <w:rPr>
          <w:b/>
          <w:bCs/>
          <w:i/>
          <w:sz w:val="22"/>
          <w:szCs w:val="22"/>
        </w:rPr>
        <w:t>Zmluve o zabezpečení plnenia bezpečnostných opatrení a notifikačných povinností.</w:t>
      </w:r>
    </w:p>
    <w:p w:rsidR="00F94A02" w:rsidRDefault="00F94A02" w:rsidP="00F94A02">
      <w:pPr>
        <w:overflowPunct w:val="0"/>
        <w:ind w:left="2832" w:firstLine="708"/>
        <w:jc w:val="both"/>
        <w:textAlignment w:val="baseline"/>
        <w:rPr>
          <w:b/>
          <w:u w:val="single"/>
        </w:rPr>
      </w:pPr>
    </w:p>
    <w:p w:rsidR="00F94A02" w:rsidRPr="00CA3B14" w:rsidRDefault="00F94A02" w:rsidP="00F94A02">
      <w:pPr>
        <w:overflowPunct w:val="0"/>
        <w:ind w:left="2832" w:firstLine="708"/>
        <w:jc w:val="both"/>
        <w:textAlignment w:val="baseline"/>
        <w:rPr>
          <w:b/>
          <w:u w:val="single"/>
        </w:rPr>
      </w:pPr>
      <w:r w:rsidRPr="00CA3B14">
        <w:rPr>
          <w:b/>
          <w:u w:val="single"/>
        </w:rPr>
        <w:t>Bezpečnostné politiky</w:t>
      </w:r>
    </w:p>
    <w:p w:rsidR="00CA3B14" w:rsidRPr="00CA3B14" w:rsidRDefault="00CA3B14" w:rsidP="00CA3B14">
      <w:pPr>
        <w:overflowPunct w:val="0"/>
        <w:ind w:left="2832" w:firstLine="708"/>
        <w:jc w:val="both"/>
        <w:textAlignment w:val="baseline"/>
        <w:rPr>
          <w:b/>
          <w:sz w:val="22"/>
          <w:szCs w:val="22"/>
        </w:rPr>
      </w:pPr>
    </w:p>
    <w:p w:rsidR="00CA3B14" w:rsidRPr="00CA3B14" w:rsidRDefault="00CA3B14" w:rsidP="00CA3B14">
      <w:pPr>
        <w:overflowPunct w:val="0"/>
        <w:jc w:val="both"/>
        <w:textAlignment w:val="baseline"/>
        <w:rPr>
          <w:b/>
          <w:sz w:val="22"/>
          <w:szCs w:val="22"/>
        </w:rPr>
      </w:pPr>
    </w:p>
    <w:p w:rsidR="00CA3B14" w:rsidRPr="00CA3B14" w:rsidRDefault="00CA3B14" w:rsidP="00CA3B14">
      <w:pPr>
        <w:overflowPunct w:val="0"/>
        <w:jc w:val="both"/>
        <w:textAlignment w:val="baseline"/>
        <w:rPr>
          <w:b/>
          <w:sz w:val="22"/>
          <w:szCs w:val="22"/>
        </w:rPr>
      </w:pPr>
      <w:r w:rsidRPr="00CA3B14">
        <w:rPr>
          <w:b/>
          <w:sz w:val="22"/>
          <w:szCs w:val="22"/>
        </w:rPr>
        <w:t>1.         Všeobecné ustanovenia</w:t>
      </w:r>
    </w:p>
    <w:p w:rsidR="00CA3B14" w:rsidRPr="00CA3B14" w:rsidRDefault="00CA3B14" w:rsidP="00CA3B14">
      <w:pPr>
        <w:overflowPunct w:val="0"/>
        <w:jc w:val="both"/>
        <w:textAlignment w:val="baseline"/>
        <w:rPr>
          <w:sz w:val="22"/>
          <w:szCs w:val="22"/>
        </w:rPr>
      </w:pPr>
    </w:p>
    <w:p w:rsidR="00CA3B14" w:rsidRPr="00CA3B14" w:rsidRDefault="00CA3B14" w:rsidP="00365CAA">
      <w:pPr>
        <w:widowControl/>
        <w:numPr>
          <w:ilvl w:val="0"/>
          <w:numId w:val="13"/>
        </w:numPr>
        <w:overflowPunct w:val="0"/>
        <w:jc w:val="both"/>
        <w:textAlignment w:val="baseline"/>
        <w:rPr>
          <w:sz w:val="22"/>
          <w:szCs w:val="22"/>
        </w:rPr>
      </w:pPr>
      <w:r w:rsidRPr="00CA3B14">
        <w:rPr>
          <w:sz w:val="22"/>
          <w:szCs w:val="22"/>
        </w:rPr>
        <w:t>Dodávateľ sa zaväzuje pri plnení zmluvy dodržiavať platné a účinné všeobecne záväzné právne predpisy Slovenskej republiky ako aj právne akty Európskej únie (ďalej „EÚ").</w:t>
      </w:r>
    </w:p>
    <w:p w:rsidR="00CA3B14" w:rsidRPr="00CA3B14" w:rsidRDefault="00CA3B14" w:rsidP="00CA3B14">
      <w:pPr>
        <w:overflowPunct w:val="0"/>
        <w:ind w:left="284"/>
        <w:jc w:val="both"/>
        <w:textAlignment w:val="baseline"/>
        <w:rPr>
          <w:sz w:val="22"/>
          <w:szCs w:val="22"/>
        </w:rPr>
      </w:pPr>
    </w:p>
    <w:p w:rsidR="00CA3B14" w:rsidRPr="00365CAA" w:rsidRDefault="00CA3B14" w:rsidP="00365CAA">
      <w:pPr>
        <w:pStyle w:val="Odsekzoznamu"/>
        <w:numPr>
          <w:ilvl w:val="0"/>
          <w:numId w:val="13"/>
        </w:numPr>
        <w:overflowPunct w:val="0"/>
        <w:jc w:val="both"/>
        <w:textAlignment w:val="baseline"/>
        <w:rPr>
          <w:sz w:val="22"/>
          <w:szCs w:val="22"/>
        </w:rPr>
      </w:pPr>
      <w:r w:rsidRPr="00365CAA">
        <w:rPr>
          <w:sz w:val="22"/>
          <w:szCs w:val="22"/>
        </w:rPr>
        <w:t>Vstup a pohyb zamestnancov dodávateľa, resp. jeho subdodávateľa, prípadne iných tretích osôb, prostredníctvom ktorých dodávateľ poskytuje služby (ďalej len „tretia osoba“) do priestorov prevádzkovateľa v súvislosti splnením predmetu zmluvy s prevádzkovateľom je možný iba  v sprievode na to určeného zamestnanca prevádzkovateľa.</w:t>
      </w:r>
    </w:p>
    <w:p w:rsidR="00CA3B14" w:rsidRPr="00CA3B14" w:rsidRDefault="00CA3B14" w:rsidP="00CA3B14">
      <w:pPr>
        <w:overflowPunct w:val="0"/>
        <w:spacing w:after="120"/>
        <w:jc w:val="both"/>
        <w:textAlignment w:val="baseline"/>
        <w:rPr>
          <w:sz w:val="22"/>
          <w:szCs w:val="22"/>
        </w:rPr>
      </w:pPr>
    </w:p>
    <w:p w:rsidR="00CA3B14" w:rsidRPr="00CA3B14" w:rsidRDefault="00CA3B14" w:rsidP="00CA3B14">
      <w:pPr>
        <w:overflowPunct w:val="0"/>
        <w:spacing w:after="120"/>
        <w:jc w:val="both"/>
        <w:textAlignment w:val="baseline"/>
        <w:rPr>
          <w:b/>
          <w:sz w:val="22"/>
          <w:szCs w:val="22"/>
        </w:rPr>
      </w:pPr>
      <w:r w:rsidRPr="00CA3B14">
        <w:rPr>
          <w:b/>
          <w:sz w:val="22"/>
          <w:szCs w:val="22"/>
        </w:rPr>
        <w:t>2.         Mobilné zariadenia a práca na diaľku</w:t>
      </w:r>
    </w:p>
    <w:p w:rsidR="00CA3B14" w:rsidRPr="00CA3B14" w:rsidRDefault="00CA3B14" w:rsidP="00CA3B14">
      <w:pPr>
        <w:overflowPunct w:val="0"/>
        <w:spacing w:after="120"/>
        <w:jc w:val="both"/>
        <w:textAlignment w:val="baseline"/>
        <w:rPr>
          <w:b/>
          <w:sz w:val="22"/>
          <w:szCs w:val="22"/>
        </w:rPr>
      </w:pPr>
      <w:r w:rsidRPr="00CA3B14">
        <w:rPr>
          <w:b/>
          <w:sz w:val="22"/>
          <w:szCs w:val="22"/>
        </w:rPr>
        <w:t>2.1</w:t>
      </w:r>
      <w:r w:rsidRPr="00CA3B14">
        <w:rPr>
          <w:b/>
          <w:sz w:val="22"/>
          <w:szCs w:val="22"/>
        </w:rPr>
        <w:tab/>
        <w:t>Politika pre mobilné zariadenia</w:t>
      </w:r>
    </w:p>
    <w:p w:rsidR="00CA3B14" w:rsidRPr="00365CAA" w:rsidRDefault="00CA3B14" w:rsidP="00365CAA">
      <w:pPr>
        <w:pStyle w:val="Odsekzoznamu"/>
        <w:numPr>
          <w:ilvl w:val="0"/>
          <w:numId w:val="14"/>
        </w:numPr>
        <w:overflowPunct w:val="0"/>
        <w:spacing w:after="120"/>
        <w:jc w:val="both"/>
        <w:textAlignment w:val="baseline"/>
        <w:rPr>
          <w:sz w:val="22"/>
          <w:szCs w:val="22"/>
        </w:rPr>
      </w:pPr>
      <w:r w:rsidRPr="00365CAA">
        <w:rPr>
          <w:sz w:val="22"/>
          <w:szCs w:val="22"/>
        </w:rPr>
        <w:t>Spracúvať osobné údaje a iné citlivé údaje prostredníctvom mobilného telefónu je možné len za predpokladu, že citlivé údaje sú uchovávané v zašifrovanej forme a sieťové pripojenie je zabezpečené šifrovaním.</w:t>
      </w:r>
    </w:p>
    <w:p w:rsidR="00CA3B14" w:rsidRDefault="00CA3B14" w:rsidP="00365CAA">
      <w:pPr>
        <w:pStyle w:val="Odsekzoznamu"/>
        <w:numPr>
          <w:ilvl w:val="0"/>
          <w:numId w:val="14"/>
        </w:numPr>
        <w:overflowPunct w:val="0"/>
        <w:spacing w:after="120"/>
        <w:jc w:val="both"/>
        <w:textAlignment w:val="baseline"/>
        <w:rPr>
          <w:sz w:val="22"/>
          <w:szCs w:val="22"/>
        </w:rPr>
      </w:pPr>
      <w:r w:rsidRPr="00365CAA">
        <w:rPr>
          <w:sz w:val="22"/>
          <w:szCs w:val="22"/>
        </w:rPr>
        <w:t>Spracúvať osobné údaje prostredníctvom notebooku je možné len za predpokladu, že osobné údaje sú uchovávané v pseudonymizovanej alebo v zašifrovanej forme a sieťové pripojenie je zabezpečené šifrovaním.</w:t>
      </w:r>
    </w:p>
    <w:p w:rsidR="00365CAA" w:rsidRPr="00365CAA" w:rsidRDefault="00365CAA" w:rsidP="00365CAA">
      <w:pPr>
        <w:overflowPunct w:val="0"/>
        <w:spacing w:after="120"/>
        <w:jc w:val="both"/>
        <w:textAlignment w:val="baseline"/>
        <w:rPr>
          <w:sz w:val="22"/>
          <w:szCs w:val="22"/>
        </w:rPr>
      </w:pPr>
    </w:p>
    <w:p w:rsidR="00CA3B14" w:rsidRPr="00CA3B14" w:rsidRDefault="00CA3B14" w:rsidP="00CA3B14">
      <w:pPr>
        <w:overflowPunct w:val="0"/>
        <w:spacing w:after="120"/>
        <w:jc w:val="both"/>
        <w:textAlignment w:val="baseline"/>
        <w:rPr>
          <w:b/>
          <w:sz w:val="22"/>
          <w:szCs w:val="22"/>
        </w:rPr>
      </w:pPr>
      <w:r w:rsidRPr="00CA3B14">
        <w:rPr>
          <w:b/>
          <w:sz w:val="22"/>
          <w:szCs w:val="22"/>
        </w:rPr>
        <w:t>2.2</w:t>
      </w:r>
      <w:r w:rsidRPr="00CA3B14">
        <w:rPr>
          <w:b/>
          <w:sz w:val="22"/>
          <w:szCs w:val="22"/>
        </w:rPr>
        <w:tab/>
        <w:t>Práca na diaľku</w:t>
      </w:r>
    </w:p>
    <w:p w:rsidR="00CA3B14" w:rsidRPr="00365CAA" w:rsidRDefault="00CA3B14" w:rsidP="00365CAA">
      <w:pPr>
        <w:pStyle w:val="Odsekzoznamu"/>
        <w:numPr>
          <w:ilvl w:val="0"/>
          <w:numId w:val="16"/>
        </w:numPr>
        <w:overflowPunct w:val="0"/>
        <w:jc w:val="both"/>
        <w:textAlignment w:val="baseline"/>
        <w:rPr>
          <w:sz w:val="22"/>
          <w:szCs w:val="22"/>
        </w:rPr>
      </w:pPr>
      <w:r w:rsidRPr="00365CAA">
        <w:rPr>
          <w:sz w:val="22"/>
          <w:szCs w:val="22"/>
        </w:rPr>
        <w:t>Vzdialený prístup zamestnancov dodávateľa, resp. jeho subdodávateľa, prípadne inej tretej osoby do informačných systémov a ostatného softvéru prevádzkovateľa nie je možný. Prístup je možné povoliť iba v odôvodniteľných prípadoch, a to iba s dohľadom na to určeného zodpovedného zamestnanca dodávateľa, ak sa dodávateľ s prevádzkovateľom písomne nedohodne inak.</w:t>
      </w:r>
    </w:p>
    <w:p w:rsidR="00CA3B14" w:rsidRPr="00CA3B14" w:rsidRDefault="00CA3B14" w:rsidP="00CA3B14">
      <w:pPr>
        <w:overflowPunct w:val="0"/>
        <w:jc w:val="both"/>
        <w:textAlignment w:val="baseline"/>
        <w:rPr>
          <w:sz w:val="22"/>
          <w:szCs w:val="22"/>
        </w:rPr>
      </w:pPr>
    </w:p>
    <w:p w:rsidR="00CA3B14" w:rsidRPr="00365CAA" w:rsidRDefault="00CA3B14" w:rsidP="00365CAA">
      <w:pPr>
        <w:pStyle w:val="Odsekzoznamu"/>
        <w:numPr>
          <w:ilvl w:val="0"/>
          <w:numId w:val="16"/>
        </w:numPr>
        <w:overflowPunct w:val="0"/>
        <w:spacing w:after="120"/>
        <w:jc w:val="both"/>
        <w:textAlignment w:val="baseline"/>
        <w:rPr>
          <w:sz w:val="22"/>
          <w:szCs w:val="22"/>
        </w:rPr>
      </w:pPr>
      <w:r w:rsidRPr="00365CAA">
        <w:rPr>
          <w:sz w:val="22"/>
          <w:szCs w:val="22"/>
        </w:rPr>
        <w:t>Práca na diaľku sa povoľuje len pre určitý okruh zamestnancov dodávateľa, iba pre určité druhy práce, a musí byť adekvátne zabezpečený aj priestor pracoviska, z ktorého je vykonávaná.</w:t>
      </w:r>
    </w:p>
    <w:p w:rsidR="00CA3B14" w:rsidRPr="00365CAA" w:rsidRDefault="00CA3B14" w:rsidP="00365CAA">
      <w:pPr>
        <w:pStyle w:val="Odsekzoznamu"/>
        <w:numPr>
          <w:ilvl w:val="0"/>
          <w:numId w:val="16"/>
        </w:numPr>
        <w:overflowPunct w:val="0"/>
        <w:spacing w:after="120"/>
        <w:jc w:val="both"/>
        <w:textAlignment w:val="baseline"/>
        <w:rPr>
          <w:sz w:val="22"/>
          <w:szCs w:val="22"/>
        </w:rPr>
      </w:pPr>
      <w:r w:rsidRPr="00365CAA">
        <w:rPr>
          <w:sz w:val="22"/>
          <w:szCs w:val="22"/>
        </w:rPr>
        <w:t>Práca nesmie prebiehať na prostriedkoch v súkromnom vlastníctve, ktoré nie sú pod kontrolou dodávateľa.</w:t>
      </w:r>
    </w:p>
    <w:p w:rsidR="00CA3B14" w:rsidRPr="00365CAA" w:rsidRDefault="00CA3B14" w:rsidP="00365CAA">
      <w:pPr>
        <w:pStyle w:val="Odsekzoznamu"/>
        <w:numPr>
          <w:ilvl w:val="0"/>
          <w:numId w:val="16"/>
        </w:numPr>
        <w:overflowPunct w:val="0"/>
        <w:spacing w:after="120"/>
        <w:jc w:val="both"/>
        <w:textAlignment w:val="baseline"/>
        <w:rPr>
          <w:sz w:val="22"/>
          <w:szCs w:val="22"/>
        </w:rPr>
      </w:pPr>
      <w:r w:rsidRPr="00365CAA">
        <w:rPr>
          <w:sz w:val="22"/>
          <w:szCs w:val="22"/>
        </w:rPr>
        <w:t xml:space="preserve">Zamestnanec dodávateľa, jeho subdodávateľa, prípadne tretia osoba musia byť adekvátne poučený a zmluvne zaviazaný neporušiť pravidlá na zabezpečenie ochrany, odcudzenia alebo vyzradenia chránených údajov. </w:t>
      </w:r>
    </w:p>
    <w:p w:rsidR="00CA3B14" w:rsidRPr="00365CAA" w:rsidRDefault="00CA3B14" w:rsidP="00365CAA">
      <w:pPr>
        <w:pStyle w:val="Odsekzoznamu"/>
        <w:numPr>
          <w:ilvl w:val="0"/>
          <w:numId w:val="16"/>
        </w:numPr>
        <w:overflowPunct w:val="0"/>
        <w:spacing w:after="120"/>
        <w:jc w:val="both"/>
        <w:textAlignment w:val="baseline"/>
        <w:rPr>
          <w:sz w:val="22"/>
          <w:szCs w:val="22"/>
        </w:rPr>
      </w:pPr>
      <w:r w:rsidRPr="00365CAA">
        <w:rPr>
          <w:sz w:val="22"/>
          <w:szCs w:val="22"/>
        </w:rPr>
        <w:t>Fyzická bezpečnosť musí byť odkontrolovaná na mieste výkonu práce. Kontrolu zabezpečí dodávateľom určený zamestnanec, o čom sa vyhotoví záznam, pričom prevádzkovateľ  si vyhradzuje právo kontroly priestorov dodávateľa, resp. jeho subdodávateľa, alebo tretej osoby, z ktorých sa práca na diaľku uskutočňuje.</w:t>
      </w:r>
    </w:p>
    <w:p w:rsidR="00CA3B14" w:rsidRPr="00365CAA" w:rsidRDefault="00CA3B14" w:rsidP="00365CAA">
      <w:pPr>
        <w:pStyle w:val="Odsekzoznamu"/>
        <w:numPr>
          <w:ilvl w:val="0"/>
          <w:numId w:val="16"/>
        </w:numPr>
        <w:overflowPunct w:val="0"/>
        <w:spacing w:after="120"/>
        <w:jc w:val="both"/>
        <w:textAlignment w:val="baseline"/>
        <w:rPr>
          <w:sz w:val="22"/>
          <w:szCs w:val="22"/>
        </w:rPr>
      </w:pPr>
      <w:r w:rsidRPr="00365CAA">
        <w:rPr>
          <w:sz w:val="22"/>
          <w:szCs w:val="22"/>
        </w:rPr>
        <w:t>Žiadosť o zriadenie vzdialeného prístupu pre zamestnanca dodávateľa, resp. jeho subdodávateľa, alebo tretiu osobu postúpi príslušný zmluvný kontakt prevádzkovateľa  oddeleniu centrálneho dispečingu a monitorovania služieb IS SP. V žiadosti špecifikuje rozsah prístupových oprávnení. Po schválení žiadosti riaditeľom odboru bezpečnosti informačných systémov prevádzkovateľa a riaditeľa sekcie informatiky prevádzkovateľa a po doručení záznamu o vykonaní kontroly fyzickej bezpečnosti na mieste výkonu práce, zrealizuje požiadavku príslušný administrátor.</w:t>
      </w:r>
    </w:p>
    <w:p w:rsidR="00CA3B14" w:rsidRDefault="00CA3B14" w:rsidP="00CA3B14">
      <w:pPr>
        <w:overflowPunct w:val="0"/>
        <w:spacing w:after="120"/>
        <w:jc w:val="both"/>
        <w:textAlignment w:val="baseline"/>
        <w:rPr>
          <w:b/>
          <w:sz w:val="22"/>
          <w:szCs w:val="22"/>
        </w:rPr>
      </w:pPr>
    </w:p>
    <w:p w:rsidR="00CA3B14" w:rsidRPr="00CA3B14" w:rsidRDefault="00CA3B14" w:rsidP="00CA3B14">
      <w:pPr>
        <w:overflowPunct w:val="0"/>
        <w:spacing w:after="120"/>
        <w:jc w:val="both"/>
        <w:textAlignment w:val="baseline"/>
        <w:rPr>
          <w:b/>
          <w:sz w:val="22"/>
          <w:szCs w:val="22"/>
        </w:rPr>
      </w:pPr>
      <w:r w:rsidRPr="00CA3B14">
        <w:rPr>
          <w:b/>
          <w:sz w:val="22"/>
          <w:szCs w:val="22"/>
        </w:rPr>
        <w:t>2.3</w:t>
      </w:r>
      <w:r w:rsidRPr="00CA3B14">
        <w:rPr>
          <w:b/>
          <w:sz w:val="22"/>
          <w:szCs w:val="22"/>
        </w:rPr>
        <w:tab/>
        <w:t>Klasifikácia informácií</w:t>
      </w:r>
    </w:p>
    <w:p w:rsidR="00CA3B14" w:rsidRPr="00365CAA" w:rsidRDefault="00CA3B14" w:rsidP="00365CAA">
      <w:pPr>
        <w:pStyle w:val="Odsekzoznamu"/>
        <w:numPr>
          <w:ilvl w:val="0"/>
          <w:numId w:val="20"/>
        </w:numPr>
        <w:overflowPunct w:val="0"/>
        <w:jc w:val="both"/>
        <w:textAlignment w:val="baseline"/>
        <w:rPr>
          <w:sz w:val="22"/>
          <w:szCs w:val="22"/>
        </w:rPr>
      </w:pPr>
      <w:r w:rsidRPr="00365CAA">
        <w:rPr>
          <w:sz w:val="22"/>
          <w:szCs w:val="22"/>
        </w:rPr>
        <w:t>Pre potrebu ochrany informácií platí ich nasledovná klasifikačná schéma:</w:t>
      </w:r>
    </w:p>
    <w:p w:rsidR="00CA3B14" w:rsidRPr="00365CAA" w:rsidRDefault="00CA3B14" w:rsidP="00365CAA">
      <w:pPr>
        <w:pStyle w:val="Odsekzoznamu"/>
        <w:numPr>
          <w:ilvl w:val="1"/>
          <w:numId w:val="20"/>
        </w:numPr>
        <w:overflowPunct w:val="0"/>
        <w:jc w:val="both"/>
        <w:textAlignment w:val="baseline"/>
        <w:rPr>
          <w:sz w:val="22"/>
          <w:szCs w:val="22"/>
        </w:rPr>
      </w:pPr>
      <w:r w:rsidRPr="00365CAA">
        <w:rPr>
          <w:sz w:val="22"/>
          <w:szCs w:val="22"/>
        </w:rPr>
        <w:t>citlivé,</w:t>
      </w:r>
    </w:p>
    <w:p w:rsidR="00CA3B14" w:rsidRPr="00365CAA" w:rsidRDefault="00CA3B14" w:rsidP="00365CAA">
      <w:pPr>
        <w:pStyle w:val="Odsekzoznamu"/>
        <w:numPr>
          <w:ilvl w:val="1"/>
          <w:numId w:val="20"/>
        </w:numPr>
        <w:overflowPunct w:val="0"/>
        <w:jc w:val="both"/>
        <w:textAlignment w:val="baseline"/>
        <w:rPr>
          <w:sz w:val="22"/>
          <w:szCs w:val="22"/>
        </w:rPr>
      </w:pPr>
      <w:r w:rsidRPr="00365CAA">
        <w:rPr>
          <w:sz w:val="22"/>
          <w:szCs w:val="22"/>
        </w:rPr>
        <w:t>interné,</w:t>
      </w:r>
    </w:p>
    <w:p w:rsidR="00CA3B14" w:rsidRPr="00365CAA" w:rsidRDefault="00CA3B14" w:rsidP="00365CAA">
      <w:pPr>
        <w:pStyle w:val="Odsekzoznamu"/>
        <w:numPr>
          <w:ilvl w:val="1"/>
          <w:numId w:val="20"/>
        </w:numPr>
        <w:overflowPunct w:val="0"/>
        <w:jc w:val="both"/>
        <w:textAlignment w:val="baseline"/>
        <w:rPr>
          <w:sz w:val="22"/>
          <w:szCs w:val="22"/>
        </w:rPr>
      </w:pPr>
      <w:r w:rsidRPr="00365CAA">
        <w:rPr>
          <w:sz w:val="22"/>
          <w:szCs w:val="22"/>
        </w:rPr>
        <w:t>verejné.</w:t>
      </w:r>
    </w:p>
    <w:p w:rsidR="00CA3B14" w:rsidRPr="00365CAA" w:rsidRDefault="00CA3B14" w:rsidP="00365CAA">
      <w:pPr>
        <w:pStyle w:val="Odsekzoznamu"/>
        <w:numPr>
          <w:ilvl w:val="0"/>
          <w:numId w:val="20"/>
        </w:numPr>
        <w:overflowPunct w:val="0"/>
        <w:jc w:val="both"/>
        <w:textAlignment w:val="baseline"/>
        <w:rPr>
          <w:sz w:val="22"/>
          <w:szCs w:val="22"/>
        </w:rPr>
      </w:pPr>
      <w:r w:rsidRPr="00365CAA">
        <w:rPr>
          <w:sz w:val="22"/>
          <w:szCs w:val="22"/>
        </w:rPr>
        <w:t xml:space="preserve">Citlivé </w:t>
      </w:r>
      <w:r w:rsidRPr="00365CAA">
        <w:rPr>
          <w:b/>
          <w:sz w:val="22"/>
          <w:szCs w:val="22"/>
        </w:rPr>
        <w:t>-</w:t>
      </w:r>
      <w:r w:rsidRPr="00365CAA">
        <w:rPr>
          <w:sz w:val="22"/>
          <w:szCs w:val="22"/>
        </w:rPr>
        <w:t xml:space="preserve"> sú chránené informácie, a to:</w:t>
      </w:r>
    </w:p>
    <w:p w:rsidR="00CA3B14" w:rsidRPr="00365CAA" w:rsidRDefault="00CA3B14" w:rsidP="00365CAA">
      <w:pPr>
        <w:pStyle w:val="Odsekzoznamu"/>
        <w:numPr>
          <w:ilvl w:val="1"/>
          <w:numId w:val="20"/>
        </w:numPr>
        <w:overflowPunct w:val="0"/>
        <w:jc w:val="both"/>
        <w:textAlignment w:val="baseline"/>
        <w:rPr>
          <w:sz w:val="22"/>
          <w:szCs w:val="22"/>
        </w:rPr>
      </w:pPr>
      <w:r w:rsidRPr="00365CAA">
        <w:rPr>
          <w:sz w:val="22"/>
          <w:szCs w:val="22"/>
        </w:rPr>
        <w:t>osobné údaje poistencov,</w:t>
      </w:r>
    </w:p>
    <w:p w:rsidR="00CA3B14" w:rsidRPr="00365CAA" w:rsidRDefault="00CA3B14" w:rsidP="00365CAA">
      <w:pPr>
        <w:pStyle w:val="Odsekzoznamu"/>
        <w:numPr>
          <w:ilvl w:val="1"/>
          <w:numId w:val="20"/>
        </w:numPr>
        <w:overflowPunct w:val="0"/>
        <w:jc w:val="both"/>
        <w:textAlignment w:val="baseline"/>
        <w:rPr>
          <w:sz w:val="22"/>
          <w:szCs w:val="22"/>
        </w:rPr>
      </w:pPr>
      <w:r w:rsidRPr="00365CAA">
        <w:rPr>
          <w:sz w:val="22"/>
          <w:szCs w:val="22"/>
        </w:rPr>
        <w:t>osobné údaje zamestnancov,</w:t>
      </w:r>
    </w:p>
    <w:p w:rsidR="00CA3B14" w:rsidRPr="00365CAA" w:rsidRDefault="00CA3B14" w:rsidP="00365CAA">
      <w:pPr>
        <w:pStyle w:val="Odsekzoznamu"/>
        <w:numPr>
          <w:ilvl w:val="1"/>
          <w:numId w:val="20"/>
        </w:numPr>
        <w:overflowPunct w:val="0"/>
        <w:jc w:val="both"/>
        <w:textAlignment w:val="baseline"/>
        <w:rPr>
          <w:sz w:val="22"/>
          <w:szCs w:val="22"/>
        </w:rPr>
      </w:pPr>
      <w:r w:rsidRPr="00365CAA">
        <w:rPr>
          <w:sz w:val="22"/>
          <w:szCs w:val="22"/>
        </w:rPr>
        <w:t>osobné údaje tretích strán,</w:t>
      </w:r>
    </w:p>
    <w:p w:rsidR="00CA3B14" w:rsidRPr="00365CAA" w:rsidRDefault="00CA3B14" w:rsidP="00365CAA">
      <w:pPr>
        <w:pStyle w:val="Odsekzoznamu"/>
        <w:numPr>
          <w:ilvl w:val="1"/>
          <w:numId w:val="20"/>
        </w:numPr>
        <w:overflowPunct w:val="0"/>
        <w:jc w:val="both"/>
        <w:textAlignment w:val="baseline"/>
        <w:rPr>
          <w:sz w:val="22"/>
          <w:szCs w:val="22"/>
        </w:rPr>
      </w:pPr>
      <w:r w:rsidRPr="00365CAA">
        <w:rPr>
          <w:sz w:val="22"/>
          <w:szCs w:val="22"/>
        </w:rPr>
        <w:t xml:space="preserve">mzdové náležitosti zamestnancov, </w:t>
      </w:r>
    </w:p>
    <w:p w:rsidR="00CA3B14" w:rsidRPr="00365CAA" w:rsidRDefault="00CA3B14" w:rsidP="00365CAA">
      <w:pPr>
        <w:pStyle w:val="Odsekzoznamu"/>
        <w:numPr>
          <w:ilvl w:val="1"/>
          <w:numId w:val="20"/>
        </w:numPr>
        <w:overflowPunct w:val="0"/>
        <w:jc w:val="both"/>
        <w:textAlignment w:val="baseline"/>
        <w:rPr>
          <w:sz w:val="22"/>
          <w:szCs w:val="22"/>
        </w:rPr>
      </w:pPr>
      <w:r w:rsidRPr="00365CAA">
        <w:rPr>
          <w:sz w:val="22"/>
          <w:szCs w:val="22"/>
        </w:rPr>
        <w:t>vymeriavacie základy poistencov,</w:t>
      </w:r>
    </w:p>
    <w:p w:rsidR="00CA3B14" w:rsidRPr="00365CAA" w:rsidRDefault="00CA3B14" w:rsidP="00365CAA">
      <w:pPr>
        <w:pStyle w:val="Odsekzoznamu"/>
        <w:numPr>
          <w:ilvl w:val="1"/>
          <w:numId w:val="20"/>
        </w:numPr>
        <w:overflowPunct w:val="0"/>
        <w:jc w:val="both"/>
        <w:textAlignment w:val="baseline"/>
        <w:rPr>
          <w:sz w:val="22"/>
          <w:szCs w:val="22"/>
        </w:rPr>
      </w:pPr>
      <w:r w:rsidRPr="00365CAA">
        <w:rPr>
          <w:sz w:val="22"/>
          <w:szCs w:val="22"/>
        </w:rPr>
        <w:t>informácie dôležité pre ochranu osobných údajov v rozsahu: analýza rizík, posúdenie vplyvu na ochranu údajov, bezpečnostný incident, bezpečnostný monitoring, bezpečnostný audit,</w:t>
      </w:r>
    </w:p>
    <w:p w:rsidR="00CA3B14" w:rsidRPr="00365CAA" w:rsidRDefault="00CA3B14" w:rsidP="00365CAA">
      <w:pPr>
        <w:pStyle w:val="Odsekzoznamu"/>
        <w:numPr>
          <w:ilvl w:val="1"/>
          <w:numId w:val="20"/>
        </w:numPr>
        <w:overflowPunct w:val="0"/>
        <w:jc w:val="both"/>
        <w:textAlignment w:val="baseline"/>
        <w:rPr>
          <w:sz w:val="22"/>
          <w:szCs w:val="22"/>
        </w:rPr>
      </w:pPr>
      <w:r w:rsidRPr="00365CAA">
        <w:rPr>
          <w:sz w:val="22"/>
          <w:szCs w:val="22"/>
        </w:rPr>
        <w:t>údaje zhromaždené v IS prevádzkovateľa (ďalej len „IS SP“).</w:t>
      </w:r>
    </w:p>
    <w:p w:rsidR="00CA3B14" w:rsidRPr="00365CAA" w:rsidRDefault="00CA3B14" w:rsidP="00365CAA">
      <w:pPr>
        <w:pStyle w:val="Odsekzoznamu"/>
        <w:numPr>
          <w:ilvl w:val="0"/>
          <w:numId w:val="20"/>
        </w:numPr>
        <w:overflowPunct w:val="0"/>
        <w:jc w:val="both"/>
        <w:textAlignment w:val="baseline"/>
        <w:rPr>
          <w:sz w:val="22"/>
          <w:szCs w:val="22"/>
        </w:rPr>
      </w:pPr>
      <w:r w:rsidRPr="00365CAA">
        <w:rPr>
          <w:sz w:val="22"/>
          <w:szCs w:val="22"/>
        </w:rPr>
        <w:t xml:space="preserve">Interné </w:t>
      </w:r>
      <w:r w:rsidRPr="00365CAA">
        <w:rPr>
          <w:b/>
          <w:sz w:val="22"/>
          <w:szCs w:val="22"/>
        </w:rPr>
        <w:t>-</w:t>
      </w:r>
      <w:r w:rsidRPr="00365CAA">
        <w:rPr>
          <w:sz w:val="22"/>
          <w:szCs w:val="22"/>
        </w:rPr>
        <w:t xml:space="preserve"> sú chránené informácie, kam patria všetky informácie, ktoré nie sú klasifikované ako citlivé alebo verejné, a ktoré:</w:t>
      </w:r>
    </w:p>
    <w:p w:rsidR="00CA3B14" w:rsidRPr="00365CAA" w:rsidRDefault="00CA3B14" w:rsidP="00365CAA">
      <w:pPr>
        <w:pStyle w:val="Odsekzoznamu"/>
        <w:numPr>
          <w:ilvl w:val="1"/>
          <w:numId w:val="20"/>
        </w:numPr>
        <w:overflowPunct w:val="0"/>
        <w:jc w:val="both"/>
        <w:textAlignment w:val="baseline"/>
        <w:rPr>
          <w:sz w:val="22"/>
          <w:szCs w:val="22"/>
        </w:rPr>
      </w:pPr>
      <w:r w:rsidRPr="00365CAA">
        <w:rPr>
          <w:sz w:val="22"/>
          <w:szCs w:val="22"/>
        </w:rPr>
        <w:t>vznikajú v súvislosti s plnením pracovných činností zamestnancov a nie sú určené pre zverejnenie,</w:t>
      </w:r>
    </w:p>
    <w:p w:rsidR="00CA3B14" w:rsidRPr="00365CAA" w:rsidRDefault="00CA3B14" w:rsidP="00365CAA">
      <w:pPr>
        <w:pStyle w:val="Odsekzoznamu"/>
        <w:numPr>
          <w:ilvl w:val="1"/>
          <w:numId w:val="20"/>
        </w:numPr>
        <w:overflowPunct w:val="0"/>
        <w:jc w:val="both"/>
        <w:textAlignment w:val="baseline"/>
        <w:rPr>
          <w:sz w:val="22"/>
          <w:szCs w:val="22"/>
        </w:rPr>
      </w:pPr>
      <w:r w:rsidRPr="00365CAA">
        <w:rPr>
          <w:sz w:val="22"/>
          <w:szCs w:val="22"/>
        </w:rPr>
        <w:t>boli poskytnuté externým subjektom a nie sú určené pre zverejnenie.</w:t>
      </w:r>
    </w:p>
    <w:p w:rsidR="00CA3B14" w:rsidRPr="00365CAA" w:rsidRDefault="00CA3B14" w:rsidP="00365CAA">
      <w:pPr>
        <w:pStyle w:val="Odsekzoznamu"/>
        <w:numPr>
          <w:ilvl w:val="0"/>
          <w:numId w:val="20"/>
        </w:numPr>
        <w:overflowPunct w:val="0"/>
        <w:jc w:val="both"/>
        <w:textAlignment w:val="baseline"/>
        <w:rPr>
          <w:sz w:val="22"/>
          <w:szCs w:val="22"/>
        </w:rPr>
      </w:pPr>
      <w:r w:rsidRPr="00365CAA">
        <w:rPr>
          <w:sz w:val="22"/>
          <w:szCs w:val="22"/>
        </w:rPr>
        <w:t xml:space="preserve">Verejné </w:t>
      </w:r>
      <w:r w:rsidRPr="00365CAA">
        <w:rPr>
          <w:b/>
          <w:sz w:val="22"/>
          <w:szCs w:val="22"/>
        </w:rPr>
        <w:t>-</w:t>
      </w:r>
      <w:r w:rsidRPr="00365CAA">
        <w:rPr>
          <w:sz w:val="22"/>
          <w:szCs w:val="22"/>
        </w:rPr>
        <w:t xml:space="preserve"> nie sú chránené informácie. Patria sem informácie už zverejnené alebo určené na zverejnenie v zmysle platných právnych predpisov a vnútorných predpisov.</w:t>
      </w:r>
    </w:p>
    <w:p w:rsidR="00CA3B14" w:rsidRPr="00CA3B14" w:rsidRDefault="00CA3B14" w:rsidP="00CA3B14">
      <w:pPr>
        <w:overflowPunct w:val="0"/>
        <w:spacing w:after="120"/>
        <w:jc w:val="both"/>
        <w:textAlignment w:val="baseline"/>
        <w:rPr>
          <w:sz w:val="22"/>
          <w:szCs w:val="22"/>
        </w:rPr>
      </w:pPr>
    </w:p>
    <w:p w:rsidR="00CA3B14" w:rsidRPr="00CA3B14" w:rsidRDefault="00CA3B14" w:rsidP="00CA3B14">
      <w:pPr>
        <w:overflowPunct w:val="0"/>
        <w:spacing w:after="120"/>
        <w:jc w:val="both"/>
        <w:textAlignment w:val="baseline"/>
        <w:rPr>
          <w:b/>
          <w:sz w:val="22"/>
          <w:szCs w:val="22"/>
        </w:rPr>
      </w:pPr>
      <w:r w:rsidRPr="00CA3B14">
        <w:rPr>
          <w:b/>
          <w:sz w:val="22"/>
          <w:szCs w:val="22"/>
        </w:rPr>
        <w:t>2.4</w:t>
      </w:r>
      <w:r w:rsidRPr="00CA3B14">
        <w:rPr>
          <w:b/>
          <w:sz w:val="22"/>
          <w:szCs w:val="22"/>
        </w:rPr>
        <w:tab/>
        <w:t>Zaobchádzanie s aktívami</w:t>
      </w:r>
    </w:p>
    <w:p w:rsidR="00CA3B14" w:rsidRPr="00CA3B14" w:rsidRDefault="00CA3B14" w:rsidP="00CA3B14">
      <w:pPr>
        <w:overflowPunct w:val="0"/>
        <w:spacing w:after="120"/>
        <w:jc w:val="both"/>
        <w:textAlignment w:val="baseline"/>
        <w:rPr>
          <w:sz w:val="22"/>
          <w:szCs w:val="22"/>
        </w:rPr>
      </w:pPr>
      <w:r w:rsidRPr="00CA3B14">
        <w:rPr>
          <w:sz w:val="22"/>
          <w:szCs w:val="22"/>
        </w:rPr>
        <w:t>K citlivým informáciám je obmedzený prístup. Prístup k nim majú len oprávnené osoby, ktoré citlivé údaje spracúvajú, alebo len úzky okruh určených osôb prostredníctvom, ktorých dodávateľ plní predmet zmluvy, schválených riaditeľom odboru bezpečnosti informačných systémov prevádzkovateľa a riaditeľom sekcie informatiky prevádzkovateľa.</w:t>
      </w:r>
    </w:p>
    <w:p w:rsidR="00CA3B14" w:rsidRPr="00CA3B14" w:rsidRDefault="00CA3B14" w:rsidP="00CA3B14">
      <w:pPr>
        <w:overflowPunct w:val="0"/>
        <w:jc w:val="both"/>
        <w:textAlignment w:val="baseline"/>
        <w:rPr>
          <w:sz w:val="22"/>
          <w:szCs w:val="22"/>
        </w:rPr>
      </w:pPr>
    </w:p>
    <w:p w:rsidR="00CA3B14" w:rsidRPr="00CA3B14" w:rsidRDefault="00CA3B14" w:rsidP="00CA3B14">
      <w:pPr>
        <w:overflowPunct w:val="0"/>
        <w:spacing w:after="120"/>
        <w:jc w:val="both"/>
        <w:textAlignment w:val="baseline"/>
        <w:rPr>
          <w:b/>
          <w:sz w:val="22"/>
          <w:szCs w:val="22"/>
        </w:rPr>
      </w:pPr>
      <w:r w:rsidRPr="00CA3B14">
        <w:rPr>
          <w:b/>
          <w:sz w:val="22"/>
          <w:szCs w:val="22"/>
        </w:rPr>
        <w:t>2.5</w:t>
      </w:r>
      <w:r w:rsidRPr="00CA3B14">
        <w:rPr>
          <w:b/>
          <w:sz w:val="22"/>
          <w:szCs w:val="22"/>
        </w:rPr>
        <w:tab/>
        <w:t>Zmluvy o dôvernosti alebo utajení</w:t>
      </w:r>
    </w:p>
    <w:p w:rsidR="00CA3B14" w:rsidRPr="00CA3B14" w:rsidRDefault="00CA3B14" w:rsidP="00CA3B14">
      <w:pPr>
        <w:overflowPunct w:val="0"/>
        <w:spacing w:after="120"/>
        <w:jc w:val="both"/>
        <w:textAlignment w:val="baseline"/>
        <w:rPr>
          <w:sz w:val="22"/>
          <w:szCs w:val="22"/>
        </w:rPr>
      </w:pPr>
      <w:r w:rsidRPr="00CA3B14">
        <w:rPr>
          <w:sz w:val="22"/>
          <w:szCs w:val="22"/>
        </w:rPr>
        <w:t>Dohody o zachovaní dôvernosti sú súčasťou zmlúv prevádzkovateľa s dodávateľom. Každá zmluva je pred podpisom odkontrolovaná odborom bezpečnosti informačných systémov na bezpečnostný súlad. Ak sú súčasťou zmluvy osobné údaje, k špecifikácii opatrení na ochranu osobných údajov v oblasti technickej a organizačnej zaujme stanovisko zodpovedná osoba prevádzkovateľa, ktorá vykonáva dohľad nad ochranou osobných údajov u prevádzkovateľa v zmysle GDPR a zákona č. 18/2018 Z. z. o ochrane osobných údajov a o zmene a doplnení niektorých zákonov v znení neskorších predpisov (ďalej len „zodpovedná osoba“).</w:t>
      </w:r>
    </w:p>
    <w:p w:rsidR="00CA3B14" w:rsidRPr="00CA3B14" w:rsidRDefault="00CA3B14" w:rsidP="00CA3B14">
      <w:pPr>
        <w:overflowPunct w:val="0"/>
        <w:spacing w:after="120"/>
        <w:jc w:val="both"/>
        <w:textAlignment w:val="baseline"/>
        <w:rPr>
          <w:sz w:val="22"/>
          <w:szCs w:val="22"/>
        </w:rPr>
      </w:pPr>
    </w:p>
    <w:p w:rsidR="00CA3B14" w:rsidRPr="00CA3B14" w:rsidRDefault="00CA3B14" w:rsidP="00CA3B14">
      <w:pPr>
        <w:overflowPunct w:val="0"/>
        <w:spacing w:after="120"/>
        <w:jc w:val="both"/>
        <w:textAlignment w:val="baseline"/>
        <w:rPr>
          <w:b/>
          <w:sz w:val="22"/>
          <w:szCs w:val="22"/>
        </w:rPr>
      </w:pPr>
      <w:r w:rsidRPr="00CA3B14">
        <w:rPr>
          <w:b/>
          <w:sz w:val="22"/>
          <w:szCs w:val="22"/>
        </w:rPr>
        <w:t>2.6</w:t>
      </w:r>
      <w:r w:rsidRPr="00CA3B14">
        <w:rPr>
          <w:b/>
          <w:sz w:val="22"/>
          <w:szCs w:val="22"/>
        </w:rPr>
        <w:tab/>
        <w:t>Ochrana testovacích údajov</w:t>
      </w:r>
    </w:p>
    <w:p w:rsidR="00CA3B14" w:rsidRPr="00CA3B14" w:rsidRDefault="00CA3B14" w:rsidP="00CA3B14">
      <w:pPr>
        <w:overflowPunct w:val="0"/>
        <w:spacing w:after="120"/>
        <w:jc w:val="both"/>
        <w:textAlignment w:val="baseline"/>
        <w:rPr>
          <w:sz w:val="22"/>
          <w:szCs w:val="22"/>
        </w:rPr>
      </w:pPr>
      <w:r w:rsidRPr="00CA3B14">
        <w:rPr>
          <w:sz w:val="22"/>
          <w:szCs w:val="22"/>
        </w:rPr>
        <w:t>Ak je na účely testovania dodávateľom nevyhnutné použiť prevádzkové údaje, môže byť použitá iba ich pseudonymizovaná kópia na základe súhlasu riaditeľa odboru bezpečnosti informačných systémov prevádzkovateľa a riaditeľa sekcie informatiky prevádzkovateľa. Kópia prevádzkových údajov musí byť bezpečne vymazaná ihneď po skončení testovania. Dozor vykonáva zodpovedná osoba prevádzkovateľa.</w:t>
      </w:r>
    </w:p>
    <w:p w:rsidR="00CA3B14" w:rsidRPr="00CA3B14" w:rsidRDefault="00CA3B14" w:rsidP="00CA3B14">
      <w:pPr>
        <w:overflowPunct w:val="0"/>
        <w:spacing w:after="120"/>
        <w:jc w:val="both"/>
        <w:textAlignment w:val="baseline"/>
        <w:rPr>
          <w:sz w:val="22"/>
          <w:szCs w:val="22"/>
        </w:rPr>
      </w:pPr>
    </w:p>
    <w:p w:rsidR="00CA3B14" w:rsidRDefault="00CA3B14" w:rsidP="00CA3B14">
      <w:pPr>
        <w:overflowPunct w:val="0"/>
        <w:spacing w:after="120"/>
        <w:jc w:val="both"/>
        <w:textAlignment w:val="baseline"/>
        <w:rPr>
          <w:sz w:val="22"/>
          <w:szCs w:val="22"/>
        </w:rPr>
      </w:pPr>
    </w:p>
    <w:p w:rsidR="00CA3B14" w:rsidRDefault="00CA3B14" w:rsidP="00CA3B14">
      <w:pPr>
        <w:overflowPunct w:val="0"/>
        <w:spacing w:after="120"/>
        <w:jc w:val="both"/>
        <w:textAlignment w:val="baseline"/>
        <w:rPr>
          <w:sz w:val="22"/>
          <w:szCs w:val="22"/>
        </w:rPr>
      </w:pPr>
    </w:p>
    <w:p w:rsidR="00CA3B14" w:rsidRDefault="00CA3B14" w:rsidP="00CA3B14">
      <w:pPr>
        <w:overflowPunct w:val="0"/>
        <w:spacing w:after="120"/>
        <w:jc w:val="both"/>
        <w:textAlignment w:val="baseline"/>
        <w:rPr>
          <w:sz w:val="22"/>
          <w:szCs w:val="22"/>
        </w:rPr>
      </w:pPr>
    </w:p>
    <w:p w:rsidR="00CA3B14" w:rsidRPr="00CA3B14" w:rsidRDefault="00CA3B14" w:rsidP="00CA3B14">
      <w:pPr>
        <w:overflowPunct w:val="0"/>
        <w:spacing w:after="120"/>
        <w:jc w:val="both"/>
        <w:textAlignment w:val="baseline"/>
        <w:rPr>
          <w:sz w:val="22"/>
          <w:szCs w:val="22"/>
        </w:rPr>
      </w:pPr>
    </w:p>
    <w:p w:rsidR="00CA3B14" w:rsidRDefault="00CA3B14" w:rsidP="00CA3B14">
      <w:pPr>
        <w:overflowPunct w:val="0"/>
        <w:spacing w:after="120"/>
        <w:jc w:val="both"/>
        <w:textAlignment w:val="baseline"/>
        <w:rPr>
          <w:b/>
          <w:sz w:val="22"/>
          <w:szCs w:val="22"/>
        </w:rPr>
      </w:pPr>
      <w:r w:rsidRPr="00CA3B14">
        <w:rPr>
          <w:b/>
          <w:sz w:val="22"/>
          <w:szCs w:val="22"/>
        </w:rPr>
        <w:t>3.         Riadenie vzťahov s</w:t>
      </w:r>
      <w:r>
        <w:rPr>
          <w:b/>
          <w:sz w:val="22"/>
          <w:szCs w:val="22"/>
        </w:rPr>
        <w:t> </w:t>
      </w:r>
      <w:r w:rsidRPr="00CA3B14">
        <w:rPr>
          <w:b/>
          <w:sz w:val="22"/>
          <w:szCs w:val="22"/>
        </w:rPr>
        <w:t>dodávateľom</w:t>
      </w:r>
    </w:p>
    <w:p w:rsidR="00CA3B14" w:rsidRPr="00CA3B14" w:rsidRDefault="00CA3B14" w:rsidP="00CA3B14">
      <w:pPr>
        <w:overflowPunct w:val="0"/>
        <w:spacing w:after="120"/>
        <w:jc w:val="both"/>
        <w:textAlignment w:val="baseline"/>
        <w:rPr>
          <w:b/>
          <w:sz w:val="22"/>
          <w:szCs w:val="22"/>
        </w:rPr>
      </w:pPr>
    </w:p>
    <w:p w:rsidR="00CA3B14" w:rsidRPr="00CA3B14" w:rsidRDefault="00CA3B14" w:rsidP="00CA3B14">
      <w:pPr>
        <w:overflowPunct w:val="0"/>
        <w:spacing w:after="120"/>
        <w:jc w:val="both"/>
        <w:textAlignment w:val="baseline"/>
        <w:rPr>
          <w:b/>
          <w:sz w:val="22"/>
          <w:szCs w:val="22"/>
        </w:rPr>
      </w:pPr>
      <w:r w:rsidRPr="00CA3B14">
        <w:rPr>
          <w:b/>
          <w:sz w:val="22"/>
          <w:szCs w:val="22"/>
        </w:rPr>
        <w:t>3.1</w:t>
      </w:r>
      <w:r w:rsidRPr="00CA3B14">
        <w:rPr>
          <w:b/>
          <w:sz w:val="22"/>
          <w:szCs w:val="22"/>
        </w:rPr>
        <w:tab/>
        <w:t>Informačná bezpečnosť vo vzťahoch s dodávateľom</w:t>
      </w:r>
    </w:p>
    <w:p w:rsidR="00CA3B14" w:rsidRDefault="00CA3B14" w:rsidP="00CA3B14">
      <w:pPr>
        <w:overflowPunct w:val="0"/>
        <w:spacing w:after="120"/>
        <w:jc w:val="both"/>
        <w:textAlignment w:val="baseline"/>
        <w:rPr>
          <w:sz w:val="22"/>
          <w:szCs w:val="22"/>
        </w:rPr>
      </w:pPr>
      <w:r w:rsidRPr="00CA3B14">
        <w:rPr>
          <w:sz w:val="22"/>
          <w:szCs w:val="22"/>
        </w:rPr>
        <w:t>Cieľom je zabezpečiť ochranu aktív prevádzkovateľa, ku ktorým má prístup dodávateľ samostatne, prostredníctvom subdodávateľa alebo prostredníctvom tretej osoby.</w:t>
      </w:r>
    </w:p>
    <w:p w:rsidR="00CA3B14" w:rsidRPr="00CA3B14" w:rsidRDefault="00CA3B14" w:rsidP="00CA3B14">
      <w:pPr>
        <w:overflowPunct w:val="0"/>
        <w:spacing w:after="120"/>
        <w:jc w:val="both"/>
        <w:textAlignment w:val="baseline"/>
        <w:rPr>
          <w:sz w:val="22"/>
          <w:szCs w:val="22"/>
        </w:rPr>
      </w:pPr>
    </w:p>
    <w:p w:rsidR="00CA3B14" w:rsidRPr="00CA3B14" w:rsidRDefault="00CA3B14" w:rsidP="00CA3B14">
      <w:pPr>
        <w:overflowPunct w:val="0"/>
        <w:spacing w:after="120"/>
        <w:jc w:val="both"/>
        <w:textAlignment w:val="baseline"/>
        <w:rPr>
          <w:b/>
          <w:sz w:val="22"/>
          <w:szCs w:val="22"/>
        </w:rPr>
      </w:pPr>
      <w:r w:rsidRPr="00CA3B14">
        <w:rPr>
          <w:b/>
          <w:sz w:val="22"/>
          <w:szCs w:val="22"/>
        </w:rPr>
        <w:t>3.1.1</w:t>
      </w:r>
      <w:r w:rsidRPr="00CA3B14">
        <w:rPr>
          <w:b/>
          <w:sz w:val="22"/>
          <w:szCs w:val="22"/>
        </w:rPr>
        <w:tab/>
        <w:t>Politika informačnej bezpečnosti na vzťahy s</w:t>
      </w:r>
      <w:r>
        <w:rPr>
          <w:b/>
          <w:sz w:val="22"/>
          <w:szCs w:val="22"/>
        </w:rPr>
        <w:t> </w:t>
      </w:r>
      <w:r w:rsidRPr="00CA3B14">
        <w:rPr>
          <w:b/>
          <w:sz w:val="22"/>
          <w:szCs w:val="22"/>
        </w:rPr>
        <w:t>dodávateľom</w:t>
      </w:r>
    </w:p>
    <w:p w:rsidR="00CA3B14" w:rsidRPr="00CA3B14" w:rsidRDefault="00CA3B14" w:rsidP="00CA3B14">
      <w:pPr>
        <w:pStyle w:val="Odsekzoznamu"/>
        <w:numPr>
          <w:ilvl w:val="0"/>
          <w:numId w:val="4"/>
        </w:numPr>
        <w:overflowPunct w:val="0"/>
        <w:spacing w:after="120"/>
        <w:jc w:val="both"/>
        <w:textAlignment w:val="baseline"/>
        <w:rPr>
          <w:sz w:val="22"/>
          <w:szCs w:val="22"/>
        </w:rPr>
      </w:pPr>
      <w:r w:rsidRPr="00CA3B14">
        <w:rPr>
          <w:sz w:val="22"/>
          <w:szCs w:val="22"/>
        </w:rPr>
        <w:t>Predtým, než sa dodávateľovi, prípadne jeho subdodávateľovi, alebo tretej osobe povolí prístup k chráneným informáciám prevádzkovateľa, musí byť vykonaná identifikácia rizík informačnej bezpečnosti a implementované vhodné opatrenia na pokrytie identifikovaných rizík na strane dodávateľa, prípadne jeho subdodávateľa, alebo tretej osoby. Uvedené posúdenie rizík informačnej bezpečnosti musí byť v písomnej alebo elektronickej forme dodané prevádzkovateľovi v dostatočnom časovom predstihu pred podpisom zmluvy o zabezpečení plnenia bezpečnostných opatrení a notifikačných povinností na jeho preštudovanie.</w:t>
      </w:r>
    </w:p>
    <w:p w:rsidR="00CA3B14" w:rsidRPr="00CA3B14" w:rsidRDefault="00CA3B14" w:rsidP="00CA3B14">
      <w:pPr>
        <w:pStyle w:val="Odsekzoznamu"/>
        <w:numPr>
          <w:ilvl w:val="0"/>
          <w:numId w:val="4"/>
        </w:numPr>
        <w:overflowPunct w:val="0"/>
        <w:spacing w:after="120"/>
        <w:jc w:val="both"/>
        <w:textAlignment w:val="baseline"/>
        <w:rPr>
          <w:sz w:val="22"/>
          <w:szCs w:val="22"/>
        </w:rPr>
      </w:pPr>
      <w:r w:rsidRPr="00CA3B14">
        <w:rPr>
          <w:sz w:val="22"/>
          <w:szCs w:val="22"/>
        </w:rPr>
        <w:t>Prístup zamestnancovi dodávateľa, resp. subdodávateľa, alebo tretej osoby k chráneným informáciám prevádzkovateľa nesmie byť dovolený skôr, ako je podpísaná zmluva o zabezpečení plnenia bezpečnostných opatrení a notifikačných povinností s dodávateľom a ako sú realizované primerané bezpečnostné opatrenia na ochranu aktív prevádzkovateľa.</w:t>
      </w:r>
    </w:p>
    <w:p w:rsidR="00CA3B14" w:rsidRPr="00CA3B14" w:rsidRDefault="00CA3B14" w:rsidP="00CA3B14">
      <w:pPr>
        <w:pStyle w:val="Odsekzoznamu"/>
        <w:numPr>
          <w:ilvl w:val="0"/>
          <w:numId w:val="4"/>
        </w:numPr>
        <w:overflowPunct w:val="0"/>
        <w:spacing w:after="120"/>
        <w:jc w:val="both"/>
        <w:textAlignment w:val="baseline"/>
        <w:rPr>
          <w:sz w:val="22"/>
          <w:szCs w:val="22"/>
        </w:rPr>
      </w:pPr>
      <w:r w:rsidRPr="00CA3B14">
        <w:rPr>
          <w:sz w:val="22"/>
          <w:szCs w:val="22"/>
        </w:rPr>
        <w:t>Zamestnancovi dodávateľa, resp. subdodávateľa, alebo tretej osoby sa zriaďuje prístup na dobu najdlhšie  jeden rok. Po uplynutí jedného roka sa potreba prístupu prehodnocuje.</w:t>
      </w:r>
    </w:p>
    <w:p w:rsidR="00CA3B14" w:rsidRDefault="00CA3B14" w:rsidP="00CA3B14">
      <w:pPr>
        <w:pStyle w:val="Odsekzoznamu"/>
        <w:numPr>
          <w:ilvl w:val="0"/>
          <w:numId w:val="4"/>
        </w:numPr>
        <w:overflowPunct w:val="0"/>
        <w:spacing w:after="120"/>
        <w:jc w:val="both"/>
        <w:textAlignment w:val="baseline"/>
        <w:rPr>
          <w:sz w:val="22"/>
          <w:szCs w:val="22"/>
        </w:rPr>
      </w:pPr>
      <w:r w:rsidRPr="00CA3B14">
        <w:rPr>
          <w:sz w:val="22"/>
          <w:szCs w:val="22"/>
        </w:rPr>
        <w:t>Zriadenie prístupu zamestnancovi dodávateľa, resp. subdodávateľa, alebo tretej osobe za účelom testovania môže byť zriadené len do testovacieho prostredia prevádzkovateľa. Nasadenie vývojovej verzie APV sa musí uskutočniť výhradne v prostredí prevádzkovateľa za prítomnosti určeného zamestnanca sekcie informatiky. Tieto činnosti musia byť zdokumentované.</w:t>
      </w:r>
    </w:p>
    <w:p w:rsidR="00365CAA" w:rsidRPr="00365CAA" w:rsidRDefault="00365CAA" w:rsidP="00365CAA">
      <w:pPr>
        <w:overflowPunct w:val="0"/>
        <w:spacing w:after="120"/>
        <w:jc w:val="both"/>
        <w:textAlignment w:val="baseline"/>
        <w:rPr>
          <w:sz w:val="22"/>
          <w:szCs w:val="22"/>
        </w:rPr>
      </w:pPr>
    </w:p>
    <w:p w:rsidR="00CA3B14" w:rsidRPr="00CA3B14" w:rsidRDefault="00CA3B14" w:rsidP="00CA3B14">
      <w:pPr>
        <w:overflowPunct w:val="0"/>
        <w:spacing w:after="120"/>
        <w:jc w:val="both"/>
        <w:textAlignment w:val="baseline"/>
        <w:rPr>
          <w:b/>
          <w:sz w:val="22"/>
          <w:szCs w:val="22"/>
        </w:rPr>
      </w:pPr>
      <w:r w:rsidRPr="00CA3B14">
        <w:rPr>
          <w:b/>
          <w:sz w:val="22"/>
          <w:szCs w:val="22"/>
        </w:rPr>
        <w:t>3.1.2</w:t>
      </w:r>
      <w:r w:rsidRPr="00CA3B14">
        <w:rPr>
          <w:b/>
          <w:sz w:val="22"/>
          <w:szCs w:val="22"/>
        </w:rPr>
        <w:tab/>
        <w:t>Ošetrenie bezpečnosti v zmluvách s dodávateľom</w:t>
      </w:r>
    </w:p>
    <w:p w:rsidR="00CA3B14" w:rsidRPr="00CA3B14" w:rsidRDefault="00CA3B14" w:rsidP="00CA3B14">
      <w:pPr>
        <w:pStyle w:val="Odsekzoznamu"/>
        <w:numPr>
          <w:ilvl w:val="0"/>
          <w:numId w:val="5"/>
        </w:numPr>
        <w:overflowPunct w:val="0"/>
        <w:spacing w:after="120"/>
        <w:jc w:val="both"/>
        <w:textAlignment w:val="baseline"/>
        <w:rPr>
          <w:sz w:val="22"/>
          <w:szCs w:val="22"/>
        </w:rPr>
      </w:pPr>
      <w:r w:rsidRPr="00CA3B14">
        <w:rPr>
          <w:sz w:val="22"/>
          <w:szCs w:val="22"/>
        </w:rPr>
        <w:t>Zmluvy na výkon činností s dodávateľom musia pokrývať všetky významné bezpečnostné požiadavky. Zmluvy na výkon činností obsahujú samostatné ustanovenia alebo klauzuly, ktoré vyplývajú z bezpečnostne relevantnej legislatívy SR, zo slovenských technických noriem a z najlepších skúseností.</w:t>
      </w:r>
    </w:p>
    <w:p w:rsidR="00CA3B14" w:rsidRPr="00CA3B14" w:rsidRDefault="00CA3B14" w:rsidP="00CA3B14">
      <w:pPr>
        <w:pStyle w:val="Odsekzoznamu"/>
        <w:numPr>
          <w:ilvl w:val="0"/>
          <w:numId w:val="5"/>
        </w:numPr>
        <w:overflowPunct w:val="0"/>
        <w:spacing w:after="120"/>
        <w:jc w:val="both"/>
        <w:textAlignment w:val="baseline"/>
        <w:rPr>
          <w:sz w:val="22"/>
          <w:szCs w:val="22"/>
        </w:rPr>
      </w:pPr>
      <w:r w:rsidRPr="00CA3B14">
        <w:rPr>
          <w:sz w:val="22"/>
          <w:szCs w:val="22"/>
        </w:rPr>
        <w:t>Pred spracúvaním osobných údajov k časti bezpečnostných formulácií v návrhu zmluvy na výkon činností zaujme stanovisko zodpovedná osoba  prevádzkovateľa, ktorá posúdi dostatočnosť a primeranosť špecifikovaných technických a organizačných opatrení na ochranu osobných údajov.</w:t>
      </w:r>
    </w:p>
    <w:p w:rsidR="00CA3B14" w:rsidRPr="00CA3B14" w:rsidRDefault="00CA3B14" w:rsidP="00CA3B14">
      <w:pPr>
        <w:pStyle w:val="Odsekzoznamu"/>
        <w:numPr>
          <w:ilvl w:val="0"/>
          <w:numId w:val="5"/>
        </w:numPr>
        <w:overflowPunct w:val="0"/>
        <w:spacing w:after="120"/>
        <w:jc w:val="both"/>
        <w:textAlignment w:val="baseline"/>
        <w:rPr>
          <w:sz w:val="22"/>
          <w:szCs w:val="22"/>
        </w:rPr>
      </w:pPr>
      <w:r w:rsidRPr="00CA3B14">
        <w:rPr>
          <w:sz w:val="22"/>
          <w:szCs w:val="22"/>
        </w:rPr>
        <w:t>K bezpečnostným formuláciám v návrhu zmluvy na výkon činností s dodávateľom zaujme stanovisko riaditeľ odboru bezpečnosti informačných systémov, ktorý posúdi dostatočnosť bezpečnostných opatrení a notifikačných povinností, ktoré musia platiť počas celej doby platnosti zmluvy na výkon činností pre zaistenie kybernetickej bezpečnosti.</w:t>
      </w:r>
    </w:p>
    <w:p w:rsidR="00CA3B14" w:rsidRDefault="00CA3B14" w:rsidP="00CA3B14">
      <w:pPr>
        <w:pStyle w:val="Odsekzoznamu"/>
        <w:numPr>
          <w:ilvl w:val="0"/>
          <w:numId w:val="5"/>
        </w:numPr>
        <w:overflowPunct w:val="0"/>
        <w:spacing w:after="120"/>
        <w:jc w:val="both"/>
        <w:textAlignment w:val="baseline"/>
        <w:rPr>
          <w:sz w:val="22"/>
          <w:szCs w:val="22"/>
        </w:rPr>
      </w:pPr>
      <w:r w:rsidRPr="00CA3B14">
        <w:rPr>
          <w:sz w:val="22"/>
          <w:szCs w:val="22"/>
        </w:rPr>
        <w:t>Nie je prípustné v zmluve na výkon činností špecifikovať bližšie neurčených subdodávateľov alebo tretiu osobu  a tým následne zriaďovať prístup pre zamestnancov subdodávateľa alebo tretiu osobu.</w:t>
      </w:r>
    </w:p>
    <w:p w:rsidR="00CA3B14" w:rsidRDefault="00CA3B14" w:rsidP="00CA3B14">
      <w:pPr>
        <w:overflowPunct w:val="0"/>
        <w:spacing w:after="120"/>
        <w:jc w:val="both"/>
        <w:textAlignment w:val="baseline"/>
        <w:rPr>
          <w:sz w:val="22"/>
          <w:szCs w:val="22"/>
        </w:rPr>
      </w:pPr>
    </w:p>
    <w:p w:rsidR="00365CAA" w:rsidRDefault="00365CAA" w:rsidP="00CA3B14">
      <w:pPr>
        <w:overflowPunct w:val="0"/>
        <w:spacing w:after="120"/>
        <w:jc w:val="both"/>
        <w:textAlignment w:val="baseline"/>
        <w:rPr>
          <w:sz w:val="22"/>
          <w:szCs w:val="22"/>
        </w:rPr>
      </w:pPr>
    </w:p>
    <w:p w:rsidR="00365CAA" w:rsidRDefault="00365CAA" w:rsidP="00CA3B14">
      <w:pPr>
        <w:overflowPunct w:val="0"/>
        <w:spacing w:after="120"/>
        <w:jc w:val="both"/>
        <w:textAlignment w:val="baseline"/>
        <w:rPr>
          <w:sz w:val="22"/>
          <w:szCs w:val="22"/>
        </w:rPr>
      </w:pPr>
    </w:p>
    <w:p w:rsidR="00365CAA" w:rsidRDefault="00365CAA" w:rsidP="00CA3B14">
      <w:pPr>
        <w:overflowPunct w:val="0"/>
        <w:spacing w:after="120"/>
        <w:jc w:val="both"/>
        <w:textAlignment w:val="baseline"/>
        <w:rPr>
          <w:sz w:val="22"/>
          <w:szCs w:val="22"/>
        </w:rPr>
      </w:pPr>
    </w:p>
    <w:p w:rsidR="00365CAA" w:rsidRDefault="00365CAA" w:rsidP="00CA3B14">
      <w:pPr>
        <w:overflowPunct w:val="0"/>
        <w:spacing w:after="120"/>
        <w:jc w:val="both"/>
        <w:textAlignment w:val="baseline"/>
        <w:rPr>
          <w:sz w:val="22"/>
          <w:szCs w:val="22"/>
        </w:rPr>
      </w:pPr>
    </w:p>
    <w:p w:rsidR="00365CAA" w:rsidRPr="00CA3B14" w:rsidRDefault="00365CAA" w:rsidP="00CA3B14">
      <w:pPr>
        <w:overflowPunct w:val="0"/>
        <w:spacing w:after="120"/>
        <w:jc w:val="both"/>
        <w:textAlignment w:val="baseline"/>
        <w:rPr>
          <w:sz w:val="22"/>
          <w:szCs w:val="22"/>
        </w:rPr>
      </w:pPr>
    </w:p>
    <w:p w:rsidR="00CA3B14" w:rsidRPr="00CA3B14" w:rsidRDefault="00CA3B14" w:rsidP="00CA3B14">
      <w:pPr>
        <w:overflowPunct w:val="0"/>
        <w:spacing w:after="120"/>
        <w:jc w:val="both"/>
        <w:textAlignment w:val="baseline"/>
        <w:rPr>
          <w:b/>
          <w:sz w:val="22"/>
          <w:szCs w:val="22"/>
        </w:rPr>
      </w:pPr>
      <w:r w:rsidRPr="00CA3B14">
        <w:rPr>
          <w:b/>
          <w:sz w:val="22"/>
          <w:szCs w:val="22"/>
        </w:rPr>
        <w:t>3.1.3</w:t>
      </w:r>
      <w:r w:rsidRPr="00CA3B14">
        <w:rPr>
          <w:b/>
          <w:sz w:val="22"/>
          <w:szCs w:val="22"/>
        </w:rPr>
        <w:tab/>
        <w:t>Monitorovanie a preskúmanie dodávateľských služieb</w:t>
      </w:r>
    </w:p>
    <w:p w:rsidR="00CA3B14" w:rsidRPr="00CA3B14" w:rsidRDefault="00CA3B14" w:rsidP="00CA3B14">
      <w:pPr>
        <w:pStyle w:val="Odsekzoznamu"/>
        <w:numPr>
          <w:ilvl w:val="0"/>
          <w:numId w:val="7"/>
        </w:numPr>
        <w:overflowPunct w:val="0"/>
        <w:spacing w:after="120"/>
        <w:jc w:val="both"/>
        <w:textAlignment w:val="baseline"/>
        <w:rPr>
          <w:sz w:val="22"/>
          <w:szCs w:val="22"/>
        </w:rPr>
      </w:pPr>
      <w:r w:rsidRPr="00CA3B14">
        <w:rPr>
          <w:sz w:val="22"/>
          <w:szCs w:val="22"/>
        </w:rPr>
        <w:t>Služby a záznamy poskytované dodávateľom sú priebežne kontrolované osobou zodpovednou za výkon zmluvy na výkon činností, a sú monitorované vnútornou kontrolou, bezpečnostným monitoringom, interným auditom alebo externým auditom, tak ako je to zmluvne dohodnuté. Cieľom je overenie, že opatrenia na zaistenie informačnej bezpečnosti sú dodržiavané, že sú dostatočné a že vzniknuté bezpečnostné incidenty sú riešené adekvátnym spôsobom.</w:t>
      </w:r>
    </w:p>
    <w:p w:rsidR="00CA3B14" w:rsidRDefault="00CA3B14" w:rsidP="00CA3B14">
      <w:pPr>
        <w:pStyle w:val="Odsekzoznamu"/>
        <w:numPr>
          <w:ilvl w:val="0"/>
          <w:numId w:val="7"/>
        </w:numPr>
        <w:overflowPunct w:val="0"/>
        <w:spacing w:after="120"/>
        <w:jc w:val="both"/>
        <w:textAlignment w:val="baseline"/>
        <w:rPr>
          <w:sz w:val="22"/>
          <w:szCs w:val="22"/>
        </w:rPr>
      </w:pPr>
      <w:r w:rsidRPr="00CA3B14">
        <w:rPr>
          <w:sz w:val="22"/>
          <w:szCs w:val="22"/>
        </w:rPr>
        <w:t xml:space="preserve">V prípade osobných údajov spracúvaných dodávateľom, jeho subdodávateľom alebo treťou osobou túto kontrolu vykonáva aj zodpovedná osoba prevádzkovateľa. </w:t>
      </w:r>
    </w:p>
    <w:p w:rsidR="00CA3B14" w:rsidRPr="00CA3B14" w:rsidRDefault="00CA3B14" w:rsidP="00CA3B14">
      <w:pPr>
        <w:overflowPunct w:val="0"/>
        <w:spacing w:after="120"/>
        <w:jc w:val="both"/>
        <w:textAlignment w:val="baseline"/>
        <w:rPr>
          <w:sz w:val="22"/>
          <w:szCs w:val="22"/>
        </w:rPr>
      </w:pPr>
    </w:p>
    <w:p w:rsidR="00CA3B14" w:rsidRPr="00CA3B14" w:rsidRDefault="00CA3B14" w:rsidP="00CA3B14">
      <w:pPr>
        <w:overflowPunct w:val="0"/>
        <w:spacing w:after="120"/>
        <w:jc w:val="both"/>
        <w:textAlignment w:val="baseline"/>
        <w:rPr>
          <w:b/>
          <w:sz w:val="22"/>
          <w:szCs w:val="22"/>
        </w:rPr>
      </w:pPr>
      <w:r w:rsidRPr="00CA3B14">
        <w:rPr>
          <w:b/>
          <w:sz w:val="22"/>
          <w:szCs w:val="22"/>
        </w:rPr>
        <w:t>3.1.4</w:t>
      </w:r>
      <w:r w:rsidRPr="00CA3B14">
        <w:rPr>
          <w:b/>
          <w:sz w:val="22"/>
          <w:szCs w:val="22"/>
        </w:rPr>
        <w:tab/>
        <w:t>Riadenie zmien v službách dodávateľa</w:t>
      </w:r>
    </w:p>
    <w:p w:rsidR="00CA3B14" w:rsidRDefault="00CA3B14" w:rsidP="00CA3B14">
      <w:pPr>
        <w:overflowPunct w:val="0"/>
        <w:spacing w:after="120"/>
        <w:jc w:val="both"/>
        <w:textAlignment w:val="baseline"/>
        <w:rPr>
          <w:sz w:val="22"/>
          <w:szCs w:val="22"/>
        </w:rPr>
      </w:pPr>
      <w:r w:rsidRPr="00CA3B14">
        <w:rPr>
          <w:sz w:val="22"/>
          <w:szCs w:val="22"/>
        </w:rPr>
        <w:t>Zmeny v službách poskytovaných dodávateľom sú závislé od systémov a procesov a sú súčasťou hodnotenia rizík.</w:t>
      </w:r>
    </w:p>
    <w:p w:rsidR="00365CAA" w:rsidRPr="00CA3B14" w:rsidRDefault="00365CAA" w:rsidP="00CA3B14">
      <w:pPr>
        <w:overflowPunct w:val="0"/>
        <w:spacing w:after="120"/>
        <w:jc w:val="both"/>
        <w:textAlignment w:val="baseline"/>
        <w:rPr>
          <w:sz w:val="22"/>
          <w:szCs w:val="22"/>
        </w:rPr>
      </w:pPr>
    </w:p>
    <w:p w:rsidR="00CA3B14" w:rsidRPr="00CA3B14" w:rsidRDefault="00CA3B14" w:rsidP="00CA3B14">
      <w:pPr>
        <w:overflowPunct w:val="0"/>
        <w:spacing w:after="120"/>
        <w:jc w:val="both"/>
        <w:textAlignment w:val="baseline"/>
        <w:rPr>
          <w:b/>
          <w:sz w:val="22"/>
          <w:szCs w:val="22"/>
        </w:rPr>
      </w:pPr>
      <w:r w:rsidRPr="00CA3B14">
        <w:rPr>
          <w:b/>
          <w:sz w:val="22"/>
          <w:szCs w:val="22"/>
        </w:rPr>
        <w:t>3.1.5</w:t>
      </w:r>
      <w:r w:rsidRPr="00CA3B14">
        <w:rPr>
          <w:b/>
          <w:sz w:val="22"/>
          <w:szCs w:val="22"/>
        </w:rPr>
        <w:tab/>
        <w:t>Zodpovednosť, postupy a informovanie o udalostiach informačnej bezpečnosti</w:t>
      </w:r>
    </w:p>
    <w:p w:rsidR="00CA3B14" w:rsidRPr="00365CAA" w:rsidRDefault="00CA3B14" w:rsidP="00365CAA">
      <w:pPr>
        <w:pStyle w:val="Odsekzoznamu"/>
        <w:numPr>
          <w:ilvl w:val="0"/>
          <w:numId w:val="9"/>
        </w:numPr>
        <w:overflowPunct w:val="0"/>
        <w:spacing w:after="120"/>
        <w:jc w:val="both"/>
        <w:textAlignment w:val="baseline"/>
        <w:rPr>
          <w:sz w:val="22"/>
          <w:szCs w:val="22"/>
        </w:rPr>
      </w:pPr>
      <w:r w:rsidRPr="00365CAA">
        <w:rPr>
          <w:sz w:val="22"/>
          <w:szCs w:val="22"/>
        </w:rPr>
        <w:t>Udalosť, ktorá je považovaná za podozrenie z bezpečnostného incidentu, môže byť spôsobená objektívnymi príčinami (napr. technickou poruchou, priemyselnou haváriou), konaním fyzických osôb (napr. nedbalosť, krádež, prepad, teroristický čin) alebo živelnou pohromou (napr. zemetrasenie, povodeň).</w:t>
      </w:r>
    </w:p>
    <w:p w:rsidR="00CA3B14" w:rsidRPr="00365CAA" w:rsidRDefault="00CA3B14" w:rsidP="00365CAA">
      <w:pPr>
        <w:pStyle w:val="Odsekzoznamu"/>
        <w:numPr>
          <w:ilvl w:val="0"/>
          <w:numId w:val="9"/>
        </w:numPr>
        <w:overflowPunct w:val="0"/>
        <w:spacing w:after="120"/>
        <w:jc w:val="both"/>
        <w:textAlignment w:val="baseline"/>
        <w:rPr>
          <w:sz w:val="22"/>
          <w:szCs w:val="22"/>
        </w:rPr>
      </w:pPr>
      <w:r w:rsidRPr="00365CAA">
        <w:rPr>
          <w:sz w:val="22"/>
          <w:szCs w:val="22"/>
        </w:rPr>
        <w:t>Každé podozrenie z bezpečnostného incidentu musí byť nahlásené a posúdené.</w:t>
      </w:r>
    </w:p>
    <w:p w:rsidR="00CA3B14" w:rsidRPr="00365CAA" w:rsidRDefault="00CA3B14" w:rsidP="00365CAA">
      <w:pPr>
        <w:pStyle w:val="Odsekzoznamu"/>
        <w:numPr>
          <w:ilvl w:val="0"/>
          <w:numId w:val="9"/>
        </w:numPr>
        <w:overflowPunct w:val="0"/>
        <w:spacing w:after="120"/>
        <w:jc w:val="both"/>
        <w:textAlignment w:val="baseline"/>
        <w:rPr>
          <w:sz w:val="22"/>
          <w:szCs w:val="22"/>
        </w:rPr>
      </w:pPr>
      <w:r w:rsidRPr="00365CAA">
        <w:rPr>
          <w:sz w:val="22"/>
          <w:szCs w:val="22"/>
        </w:rPr>
        <w:t>Každý zamestnanec dodávateľa, jeho subdodávateľa alebo tretia osoba, ktorý má podozrenie, že odhalil slabé miesto, alebo zistil podozrenie z bezpečnostného incidentu, je povinný to bezodkladne oznámiť. Oznámenie vykoná nasledovne:</w:t>
      </w:r>
    </w:p>
    <w:p w:rsidR="00CA3B14" w:rsidRPr="00CA3B14" w:rsidRDefault="00CA3B14" w:rsidP="00CA3B14">
      <w:pPr>
        <w:overflowPunct w:val="0"/>
        <w:spacing w:after="120"/>
        <w:ind w:left="1413" w:right="-294" w:hanging="705"/>
        <w:jc w:val="both"/>
        <w:textAlignment w:val="baseline"/>
        <w:rPr>
          <w:sz w:val="22"/>
          <w:szCs w:val="22"/>
        </w:rPr>
      </w:pPr>
      <w:r w:rsidRPr="00CA3B14">
        <w:rPr>
          <w:sz w:val="22"/>
          <w:szCs w:val="22"/>
        </w:rPr>
        <w:t>a)</w:t>
      </w:r>
      <w:r w:rsidRPr="00CA3B14">
        <w:rPr>
          <w:sz w:val="22"/>
          <w:szCs w:val="22"/>
        </w:rPr>
        <w:tab/>
        <w:t xml:space="preserve">e-mailom odboru bezpečnosti informačných systémov prevádzkovateľa na adresu </w:t>
      </w:r>
      <w:hyperlink r:id="rId7" w:history="1">
        <w:r w:rsidRPr="00CA3B14">
          <w:rPr>
            <w:rStyle w:val="Hypertextovprepojenie"/>
            <w:sz w:val="22"/>
            <w:szCs w:val="22"/>
          </w:rPr>
          <w:t>BIS@socpoist.sk</w:t>
        </w:r>
      </w:hyperlink>
      <w:r w:rsidRPr="00CA3B14">
        <w:rPr>
          <w:sz w:val="22"/>
          <w:szCs w:val="22"/>
        </w:rPr>
        <w:t xml:space="preserve"> a,</w:t>
      </w:r>
    </w:p>
    <w:p w:rsidR="00CA3B14" w:rsidRDefault="00CA3B14" w:rsidP="00CA3B14">
      <w:pPr>
        <w:overflowPunct w:val="0"/>
        <w:spacing w:after="120"/>
        <w:ind w:left="1413" w:hanging="705"/>
        <w:jc w:val="both"/>
        <w:textAlignment w:val="baseline"/>
        <w:rPr>
          <w:sz w:val="22"/>
          <w:szCs w:val="22"/>
        </w:rPr>
      </w:pPr>
      <w:r w:rsidRPr="00CA3B14">
        <w:rPr>
          <w:sz w:val="22"/>
          <w:szCs w:val="22"/>
        </w:rPr>
        <w:t>b)</w:t>
      </w:r>
      <w:r w:rsidRPr="00CA3B14">
        <w:rPr>
          <w:sz w:val="22"/>
          <w:szCs w:val="22"/>
        </w:rPr>
        <w:tab/>
        <w:t xml:space="preserve">e-mailom oddeleniu centrálneho dispečingu a monitorovania služieb IS SP na adresu </w:t>
      </w:r>
      <w:hyperlink r:id="rId8" w:history="1">
        <w:r w:rsidRPr="00CA3B14">
          <w:rPr>
            <w:rStyle w:val="Hypertextovprepojenie"/>
            <w:sz w:val="22"/>
            <w:szCs w:val="22"/>
          </w:rPr>
          <w:t>dispecing@socpoist.sk</w:t>
        </w:r>
      </w:hyperlink>
      <w:r w:rsidRPr="00CA3B14">
        <w:rPr>
          <w:sz w:val="22"/>
          <w:szCs w:val="22"/>
        </w:rPr>
        <w:t xml:space="preserve"> a v kópii tomu zamestnancovi prevádzkovateľa, ktorému oznámil podozrenie ústne alebo telefonicky.</w:t>
      </w:r>
    </w:p>
    <w:p w:rsidR="00365CAA" w:rsidRPr="00CA3B14" w:rsidRDefault="00365CAA" w:rsidP="00CA3B14">
      <w:pPr>
        <w:overflowPunct w:val="0"/>
        <w:spacing w:after="120"/>
        <w:ind w:left="1413" w:hanging="705"/>
        <w:jc w:val="both"/>
        <w:textAlignment w:val="baseline"/>
        <w:rPr>
          <w:sz w:val="22"/>
          <w:szCs w:val="22"/>
        </w:rPr>
      </w:pPr>
    </w:p>
    <w:p w:rsidR="00CA3B14" w:rsidRPr="00CA3B14" w:rsidRDefault="00CA3B14" w:rsidP="00CA3B14">
      <w:pPr>
        <w:overflowPunct w:val="0"/>
        <w:spacing w:after="120"/>
        <w:jc w:val="both"/>
        <w:textAlignment w:val="baseline"/>
        <w:rPr>
          <w:b/>
          <w:sz w:val="22"/>
          <w:szCs w:val="22"/>
        </w:rPr>
      </w:pPr>
      <w:r w:rsidRPr="00CA3B14">
        <w:rPr>
          <w:b/>
          <w:sz w:val="22"/>
          <w:szCs w:val="22"/>
        </w:rPr>
        <w:t>3.1.6</w:t>
      </w:r>
      <w:r w:rsidRPr="00CA3B14">
        <w:rPr>
          <w:b/>
          <w:sz w:val="22"/>
          <w:szCs w:val="22"/>
        </w:rPr>
        <w:tab/>
        <w:t>Informovanie o slabinách informačnej bezpečnosti</w:t>
      </w:r>
    </w:p>
    <w:p w:rsidR="00CA3B14" w:rsidRDefault="00CA3B14" w:rsidP="00CA3B14">
      <w:pPr>
        <w:overflowPunct w:val="0"/>
        <w:spacing w:after="120"/>
        <w:jc w:val="both"/>
        <w:textAlignment w:val="baseline"/>
        <w:rPr>
          <w:sz w:val="22"/>
          <w:szCs w:val="22"/>
        </w:rPr>
      </w:pPr>
      <w:r w:rsidRPr="00CA3B14">
        <w:rPr>
          <w:sz w:val="22"/>
          <w:szCs w:val="22"/>
        </w:rPr>
        <w:t xml:space="preserve">Každý zamestnanec prevádzkovateľa môže informovať o odhalení slabého miesta osobne, telefonicky, emailom alebo interným listom. Informáciu môže odovzdať ľubovoľnému zamestnancovi odboru bezpečnosti, alebo emailom zaslať oddeleniu centrálneho dispečingu a monitorovania služieb IS SP na adresu </w:t>
      </w:r>
      <w:hyperlink r:id="rId9" w:history="1">
        <w:r w:rsidRPr="00CA3B14">
          <w:rPr>
            <w:color w:val="0000FF"/>
            <w:sz w:val="22"/>
            <w:szCs w:val="22"/>
            <w:u w:val="single"/>
          </w:rPr>
          <w:t>dispecing@socpoist.sk</w:t>
        </w:r>
      </w:hyperlink>
      <w:r w:rsidRPr="00CA3B14">
        <w:rPr>
          <w:sz w:val="22"/>
          <w:szCs w:val="22"/>
        </w:rPr>
        <w:t>.</w:t>
      </w:r>
    </w:p>
    <w:p w:rsidR="00365CAA" w:rsidRPr="00CA3B14" w:rsidRDefault="00365CAA" w:rsidP="00CA3B14">
      <w:pPr>
        <w:overflowPunct w:val="0"/>
        <w:spacing w:after="120"/>
        <w:jc w:val="both"/>
        <w:textAlignment w:val="baseline"/>
        <w:rPr>
          <w:sz w:val="22"/>
          <w:szCs w:val="22"/>
        </w:rPr>
      </w:pPr>
    </w:p>
    <w:p w:rsidR="00CA3B14" w:rsidRPr="00CA3B14" w:rsidRDefault="00CA3B14" w:rsidP="00CA3B14">
      <w:pPr>
        <w:overflowPunct w:val="0"/>
        <w:spacing w:after="120"/>
        <w:jc w:val="both"/>
        <w:textAlignment w:val="baseline"/>
        <w:rPr>
          <w:b/>
          <w:sz w:val="22"/>
          <w:szCs w:val="22"/>
        </w:rPr>
      </w:pPr>
      <w:r w:rsidRPr="00CA3B14">
        <w:rPr>
          <w:b/>
          <w:sz w:val="22"/>
          <w:szCs w:val="22"/>
        </w:rPr>
        <w:t>3.1.6.1</w:t>
      </w:r>
      <w:r w:rsidRPr="00CA3B14">
        <w:rPr>
          <w:b/>
          <w:sz w:val="22"/>
          <w:szCs w:val="22"/>
        </w:rPr>
        <w:tab/>
        <w:t>Hlavné kategórie bezpečnostných incidentov</w:t>
      </w:r>
    </w:p>
    <w:p w:rsidR="00CA3B14" w:rsidRPr="00365CAA" w:rsidRDefault="00CA3B14" w:rsidP="00365CAA">
      <w:pPr>
        <w:pStyle w:val="Odsekzoznamu"/>
        <w:numPr>
          <w:ilvl w:val="0"/>
          <w:numId w:val="11"/>
        </w:numPr>
        <w:overflowPunct w:val="0"/>
        <w:spacing w:after="120"/>
        <w:jc w:val="both"/>
        <w:textAlignment w:val="baseline"/>
        <w:rPr>
          <w:sz w:val="22"/>
          <w:szCs w:val="22"/>
        </w:rPr>
      </w:pPr>
      <w:r w:rsidRPr="00365CAA">
        <w:rPr>
          <w:sz w:val="22"/>
          <w:szCs w:val="22"/>
        </w:rPr>
        <w:t>V oblasti ochrany zdravia zamestnancov a klientov</w:t>
      </w:r>
    </w:p>
    <w:p w:rsidR="00CA3B14" w:rsidRPr="00365CAA" w:rsidRDefault="00CA3B14" w:rsidP="00365CAA">
      <w:pPr>
        <w:pStyle w:val="Odsekzoznamu"/>
        <w:numPr>
          <w:ilvl w:val="1"/>
          <w:numId w:val="11"/>
        </w:numPr>
        <w:overflowPunct w:val="0"/>
        <w:jc w:val="both"/>
        <w:textAlignment w:val="baseline"/>
        <w:rPr>
          <w:sz w:val="22"/>
          <w:szCs w:val="22"/>
        </w:rPr>
      </w:pPr>
      <w:r w:rsidRPr="00365CAA">
        <w:rPr>
          <w:sz w:val="22"/>
          <w:szCs w:val="22"/>
        </w:rPr>
        <w:t>registrovaný pracovný úraz, ktorým bola spôsobená pracovná neschopnosť zamestnanca trvajúca viac ako tri dni alebo smrť zamestnanca, ku ktorej došlo následkom pracovného úrazu,</w:t>
      </w:r>
    </w:p>
    <w:p w:rsidR="00CA3B14" w:rsidRPr="00365CAA" w:rsidRDefault="00CA3B14" w:rsidP="00365CAA">
      <w:pPr>
        <w:pStyle w:val="Odsekzoznamu"/>
        <w:numPr>
          <w:ilvl w:val="1"/>
          <w:numId w:val="11"/>
        </w:numPr>
        <w:overflowPunct w:val="0"/>
        <w:jc w:val="both"/>
        <w:textAlignment w:val="baseline"/>
        <w:rPr>
          <w:sz w:val="22"/>
          <w:szCs w:val="22"/>
        </w:rPr>
      </w:pPr>
      <w:r w:rsidRPr="00365CAA">
        <w:rPr>
          <w:sz w:val="22"/>
          <w:szCs w:val="22"/>
        </w:rPr>
        <w:t>technický stav majetku a zariadení (napr. výťah, varič, nevykonávané dezinfekcie klimatizácií, nevykonávané tepovanie kobercov aspoň raz za dva roky a pod.) ohrozujúci zdravie zamestnancov a klientov,</w:t>
      </w:r>
    </w:p>
    <w:p w:rsidR="00CA3B14" w:rsidRPr="00365CAA" w:rsidRDefault="00CA3B14" w:rsidP="00365CAA">
      <w:pPr>
        <w:pStyle w:val="Odsekzoznamu"/>
        <w:numPr>
          <w:ilvl w:val="1"/>
          <w:numId w:val="11"/>
        </w:numPr>
        <w:overflowPunct w:val="0"/>
        <w:jc w:val="both"/>
        <w:textAlignment w:val="baseline"/>
        <w:rPr>
          <w:sz w:val="22"/>
          <w:szCs w:val="22"/>
        </w:rPr>
      </w:pPr>
      <w:r w:rsidRPr="00365CAA">
        <w:rPr>
          <w:sz w:val="22"/>
          <w:szCs w:val="22"/>
        </w:rPr>
        <w:t>technický stav elektrických, plynových a iných rozvodov ohrozujúci zdravie zamestnancov a klientov,</w:t>
      </w:r>
    </w:p>
    <w:p w:rsidR="00CA3B14" w:rsidRPr="00365CAA" w:rsidRDefault="00CA3B14" w:rsidP="00365CAA">
      <w:pPr>
        <w:pStyle w:val="Odsekzoznamu"/>
        <w:numPr>
          <w:ilvl w:val="1"/>
          <w:numId w:val="11"/>
        </w:numPr>
        <w:overflowPunct w:val="0"/>
        <w:jc w:val="both"/>
        <w:textAlignment w:val="baseline"/>
        <w:rPr>
          <w:sz w:val="22"/>
          <w:szCs w:val="22"/>
        </w:rPr>
      </w:pPr>
      <w:r w:rsidRPr="00365CAA">
        <w:rPr>
          <w:sz w:val="22"/>
          <w:szCs w:val="22"/>
        </w:rPr>
        <w:t>konanie tretích osôb v priestoroch prevádzkovateľa ohrozujúce zdravie zamestnancov a klientov.</w:t>
      </w:r>
    </w:p>
    <w:p w:rsidR="00CA3B14" w:rsidRPr="00CA3B14" w:rsidRDefault="00CA3B14" w:rsidP="00CA3B14">
      <w:pPr>
        <w:overflowPunct w:val="0"/>
        <w:ind w:left="1413" w:hanging="705"/>
        <w:jc w:val="both"/>
        <w:textAlignment w:val="baseline"/>
        <w:rPr>
          <w:i/>
          <w:sz w:val="22"/>
          <w:szCs w:val="22"/>
        </w:rPr>
      </w:pPr>
    </w:p>
    <w:p w:rsidR="00CA3B14" w:rsidRPr="00365CAA" w:rsidRDefault="00CA3B14" w:rsidP="00365CAA">
      <w:pPr>
        <w:pStyle w:val="Odsekzoznamu"/>
        <w:numPr>
          <w:ilvl w:val="0"/>
          <w:numId w:val="11"/>
        </w:numPr>
        <w:overflowPunct w:val="0"/>
        <w:spacing w:after="120"/>
        <w:jc w:val="both"/>
        <w:textAlignment w:val="baseline"/>
        <w:rPr>
          <w:sz w:val="22"/>
          <w:szCs w:val="22"/>
        </w:rPr>
      </w:pPr>
      <w:r w:rsidRPr="00365CAA">
        <w:rPr>
          <w:sz w:val="22"/>
          <w:szCs w:val="22"/>
        </w:rPr>
        <w:t>V oblasti majetku prevádzkovateľa</w:t>
      </w:r>
    </w:p>
    <w:p w:rsidR="00CA3B14" w:rsidRPr="00365CAA" w:rsidRDefault="00CA3B14" w:rsidP="00365CAA">
      <w:pPr>
        <w:pStyle w:val="Odsekzoznamu"/>
        <w:numPr>
          <w:ilvl w:val="1"/>
          <w:numId w:val="11"/>
        </w:numPr>
        <w:overflowPunct w:val="0"/>
        <w:jc w:val="both"/>
        <w:textAlignment w:val="baseline"/>
        <w:rPr>
          <w:sz w:val="22"/>
          <w:szCs w:val="22"/>
        </w:rPr>
      </w:pPr>
      <w:r w:rsidRPr="00365CAA">
        <w:rPr>
          <w:sz w:val="22"/>
          <w:szCs w:val="22"/>
        </w:rPr>
        <w:t>poškodenie majetku (napr. havária vodovodného potrubia spojená so zatopením prostriedkov informačnej komunikačnej infraštruktúry prevádzkovateľa, prašnosť a pod.),</w:t>
      </w:r>
    </w:p>
    <w:p w:rsidR="00CA3B14" w:rsidRPr="00365CAA" w:rsidRDefault="00CA3B14" w:rsidP="00365CAA">
      <w:pPr>
        <w:pStyle w:val="Odsekzoznamu"/>
        <w:numPr>
          <w:ilvl w:val="1"/>
          <w:numId w:val="11"/>
        </w:numPr>
        <w:overflowPunct w:val="0"/>
        <w:jc w:val="both"/>
        <w:textAlignment w:val="baseline"/>
        <w:rPr>
          <w:sz w:val="22"/>
          <w:szCs w:val="22"/>
        </w:rPr>
      </w:pPr>
      <w:r w:rsidRPr="00365CAA">
        <w:rPr>
          <w:sz w:val="22"/>
          <w:szCs w:val="22"/>
        </w:rPr>
        <w:t>odcudzenie majetku, napr. notebook, osobný počítač a pod.,</w:t>
      </w:r>
    </w:p>
    <w:p w:rsidR="00CA3B14" w:rsidRPr="00365CAA" w:rsidRDefault="00CA3B14" w:rsidP="00365CAA">
      <w:pPr>
        <w:pStyle w:val="Odsekzoznamu"/>
        <w:numPr>
          <w:ilvl w:val="1"/>
          <w:numId w:val="11"/>
        </w:numPr>
        <w:overflowPunct w:val="0"/>
        <w:jc w:val="both"/>
        <w:textAlignment w:val="baseline"/>
        <w:rPr>
          <w:sz w:val="22"/>
          <w:szCs w:val="22"/>
        </w:rPr>
      </w:pPr>
      <w:r w:rsidRPr="00365CAA">
        <w:rPr>
          <w:sz w:val="22"/>
          <w:szCs w:val="22"/>
        </w:rPr>
        <w:t>pokus a narušenie jednotlivých prvkov zabezpečovacieho systému,</w:t>
      </w:r>
    </w:p>
    <w:p w:rsidR="00CA3B14" w:rsidRPr="00365CAA" w:rsidRDefault="00CA3B14" w:rsidP="00365CAA">
      <w:pPr>
        <w:pStyle w:val="Odsekzoznamu"/>
        <w:numPr>
          <w:ilvl w:val="1"/>
          <w:numId w:val="11"/>
        </w:numPr>
        <w:overflowPunct w:val="0"/>
        <w:jc w:val="both"/>
        <w:textAlignment w:val="baseline"/>
        <w:rPr>
          <w:sz w:val="22"/>
          <w:szCs w:val="22"/>
        </w:rPr>
      </w:pPr>
      <w:r w:rsidRPr="00365CAA">
        <w:rPr>
          <w:sz w:val="22"/>
          <w:szCs w:val="22"/>
        </w:rPr>
        <w:t>neoprávnený pobyt v objektoch prevádzkovateľa,</w:t>
      </w:r>
    </w:p>
    <w:p w:rsidR="00CA3B14" w:rsidRPr="00365CAA" w:rsidRDefault="00CA3B14" w:rsidP="00365CAA">
      <w:pPr>
        <w:pStyle w:val="Odsekzoznamu"/>
        <w:numPr>
          <w:ilvl w:val="1"/>
          <w:numId w:val="11"/>
        </w:numPr>
        <w:overflowPunct w:val="0"/>
        <w:jc w:val="both"/>
        <w:textAlignment w:val="baseline"/>
        <w:rPr>
          <w:sz w:val="22"/>
          <w:szCs w:val="22"/>
        </w:rPr>
      </w:pPr>
      <w:r w:rsidRPr="00365CAA">
        <w:rPr>
          <w:sz w:val="22"/>
          <w:szCs w:val="22"/>
        </w:rPr>
        <w:t>násilné vniknutie do budovy, do zariadení (serverovňa, pokladňa, technologická miestnosť), prípadne do automobilov (s následkom odcudzenia spisov, dát a zariadení, ktoré obsahujú informácie, ktorých stratou, zneužitím prípadne zničením by došlo k obmedzeniu služieb poistencom, porušením dôvernosti, finančným stratám),</w:t>
      </w:r>
    </w:p>
    <w:p w:rsidR="00CA3B14" w:rsidRPr="00365CAA" w:rsidRDefault="00CA3B14" w:rsidP="00365CAA">
      <w:pPr>
        <w:pStyle w:val="Odsekzoznamu"/>
        <w:numPr>
          <w:ilvl w:val="1"/>
          <w:numId w:val="11"/>
        </w:numPr>
        <w:overflowPunct w:val="0"/>
        <w:jc w:val="both"/>
        <w:textAlignment w:val="baseline"/>
        <w:rPr>
          <w:sz w:val="22"/>
          <w:szCs w:val="22"/>
        </w:rPr>
      </w:pPr>
      <w:r w:rsidRPr="00365CAA">
        <w:rPr>
          <w:sz w:val="22"/>
          <w:szCs w:val="22"/>
        </w:rPr>
        <w:t>poškodenie a zničenie majetku (časti majetku, napr. klimatizačná jednotka, UPS),</w:t>
      </w:r>
    </w:p>
    <w:p w:rsidR="00CA3B14" w:rsidRDefault="00CA3B14" w:rsidP="00CA3B14">
      <w:pPr>
        <w:overflowPunct w:val="0"/>
        <w:ind w:left="1413" w:hanging="705"/>
        <w:jc w:val="both"/>
        <w:textAlignment w:val="baseline"/>
        <w:rPr>
          <w:sz w:val="22"/>
          <w:szCs w:val="22"/>
        </w:rPr>
      </w:pPr>
    </w:p>
    <w:p w:rsidR="00CA3B14" w:rsidRPr="00365CAA" w:rsidRDefault="00CA3B14" w:rsidP="00365CAA">
      <w:pPr>
        <w:pStyle w:val="Odsekzoznamu"/>
        <w:numPr>
          <w:ilvl w:val="1"/>
          <w:numId w:val="11"/>
        </w:numPr>
        <w:overflowPunct w:val="0"/>
        <w:jc w:val="both"/>
        <w:textAlignment w:val="baseline"/>
        <w:rPr>
          <w:sz w:val="22"/>
          <w:szCs w:val="22"/>
        </w:rPr>
      </w:pPr>
      <w:r w:rsidRPr="00365CAA">
        <w:rPr>
          <w:sz w:val="22"/>
          <w:szCs w:val="22"/>
        </w:rPr>
        <w:t>následky havárií (prasknutie potrubia, výpadok náhradného zdroja, požiar, zatopenie, zatečenie),</w:t>
      </w:r>
    </w:p>
    <w:p w:rsidR="00CA3B14" w:rsidRPr="00365CAA" w:rsidRDefault="00CA3B14" w:rsidP="00365CAA">
      <w:pPr>
        <w:pStyle w:val="Odsekzoznamu"/>
        <w:numPr>
          <w:ilvl w:val="1"/>
          <w:numId w:val="11"/>
        </w:numPr>
        <w:overflowPunct w:val="0"/>
        <w:jc w:val="both"/>
        <w:textAlignment w:val="baseline"/>
        <w:rPr>
          <w:sz w:val="22"/>
          <w:szCs w:val="22"/>
        </w:rPr>
      </w:pPr>
      <w:r w:rsidRPr="00365CAA">
        <w:rPr>
          <w:sz w:val="22"/>
          <w:szCs w:val="22"/>
        </w:rPr>
        <w:t>odcudzenie (strata) dokladov o poistencovi prevádzkovateľa,</w:t>
      </w:r>
    </w:p>
    <w:p w:rsidR="00CA3B14" w:rsidRPr="00365CAA" w:rsidRDefault="00CA3B14" w:rsidP="00365CAA">
      <w:pPr>
        <w:pStyle w:val="Odsekzoznamu"/>
        <w:numPr>
          <w:ilvl w:val="1"/>
          <w:numId w:val="11"/>
        </w:numPr>
        <w:overflowPunct w:val="0"/>
        <w:jc w:val="both"/>
        <w:textAlignment w:val="baseline"/>
        <w:rPr>
          <w:sz w:val="22"/>
          <w:szCs w:val="22"/>
        </w:rPr>
      </w:pPr>
      <w:r w:rsidRPr="00365CAA">
        <w:rPr>
          <w:sz w:val="22"/>
          <w:szCs w:val="22"/>
        </w:rPr>
        <w:t>podvod, sprenevera,</w:t>
      </w:r>
    </w:p>
    <w:p w:rsidR="00CA3B14" w:rsidRPr="00365CAA" w:rsidRDefault="00CA3B14" w:rsidP="00365CAA">
      <w:pPr>
        <w:pStyle w:val="Odsekzoznamu"/>
        <w:numPr>
          <w:ilvl w:val="1"/>
          <w:numId w:val="11"/>
        </w:numPr>
        <w:overflowPunct w:val="0"/>
        <w:jc w:val="both"/>
        <w:textAlignment w:val="baseline"/>
        <w:rPr>
          <w:sz w:val="22"/>
          <w:szCs w:val="22"/>
        </w:rPr>
      </w:pPr>
      <w:r w:rsidRPr="00365CAA">
        <w:rPr>
          <w:sz w:val="22"/>
          <w:szCs w:val="22"/>
        </w:rPr>
        <w:t>preukázané použitie násilia alebo hrozby bezprostredného násilia v úmysle zmocniť sa aktív prevádzkovateľa.</w:t>
      </w:r>
    </w:p>
    <w:p w:rsidR="00CA3B14" w:rsidRPr="00CA3B14" w:rsidRDefault="00CA3B14" w:rsidP="00CA3B14">
      <w:pPr>
        <w:overflowPunct w:val="0"/>
        <w:ind w:left="1413" w:hanging="705"/>
        <w:jc w:val="both"/>
        <w:textAlignment w:val="baseline"/>
        <w:rPr>
          <w:sz w:val="22"/>
          <w:szCs w:val="22"/>
        </w:rPr>
      </w:pPr>
    </w:p>
    <w:p w:rsidR="00CA3B14" w:rsidRPr="00365CAA" w:rsidRDefault="00CA3B14" w:rsidP="00365CAA">
      <w:pPr>
        <w:pStyle w:val="Odsekzoznamu"/>
        <w:numPr>
          <w:ilvl w:val="0"/>
          <w:numId w:val="11"/>
        </w:numPr>
        <w:overflowPunct w:val="0"/>
        <w:spacing w:after="120"/>
        <w:jc w:val="both"/>
        <w:textAlignment w:val="baseline"/>
        <w:rPr>
          <w:sz w:val="22"/>
          <w:szCs w:val="22"/>
        </w:rPr>
      </w:pPr>
      <w:r w:rsidRPr="00365CAA">
        <w:rPr>
          <w:sz w:val="22"/>
          <w:szCs w:val="22"/>
        </w:rPr>
        <w:t>V oblasti informačnej bezpečnosti prevádzkovateľa</w:t>
      </w:r>
    </w:p>
    <w:p w:rsidR="00CA3B14" w:rsidRPr="00365CAA" w:rsidRDefault="00CA3B14" w:rsidP="00365CAA">
      <w:pPr>
        <w:pStyle w:val="Odsekzoznamu"/>
        <w:numPr>
          <w:ilvl w:val="1"/>
          <w:numId w:val="11"/>
        </w:numPr>
        <w:overflowPunct w:val="0"/>
        <w:jc w:val="both"/>
        <w:textAlignment w:val="baseline"/>
        <w:rPr>
          <w:sz w:val="22"/>
          <w:szCs w:val="22"/>
        </w:rPr>
      </w:pPr>
      <w:r w:rsidRPr="00365CAA">
        <w:rPr>
          <w:sz w:val="22"/>
          <w:szCs w:val="22"/>
        </w:rPr>
        <w:t>zverejnenie hesla používateľa,</w:t>
      </w:r>
    </w:p>
    <w:p w:rsidR="00CA3B14" w:rsidRPr="00365CAA" w:rsidRDefault="00CA3B14" w:rsidP="00365CAA">
      <w:pPr>
        <w:pStyle w:val="Odsekzoznamu"/>
        <w:numPr>
          <w:ilvl w:val="1"/>
          <w:numId w:val="11"/>
        </w:numPr>
        <w:overflowPunct w:val="0"/>
        <w:jc w:val="both"/>
        <w:textAlignment w:val="baseline"/>
        <w:rPr>
          <w:sz w:val="22"/>
          <w:szCs w:val="22"/>
        </w:rPr>
      </w:pPr>
      <w:r w:rsidRPr="00365CAA">
        <w:rPr>
          <w:sz w:val="22"/>
          <w:szCs w:val="22"/>
        </w:rPr>
        <w:t>zmena alebo resetovanie hesla na účte alebo zariadení neoprávnenou osobou,</w:t>
      </w:r>
    </w:p>
    <w:p w:rsidR="00CA3B14" w:rsidRPr="00365CAA" w:rsidRDefault="00CA3B14" w:rsidP="00365CAA">
      <w:pPr>
        <w:pStyle w:val="Odsekzoznamu"/>
        <w:numPr>
          <w:ilvl w:val="1"/>
          <w:numId w:val="11"/>
        </w:numPr>
        <w:overflowPunct w:val="0"/>
        <w:jc w:val="both"/>
        <w:textAlignment w:val="baseline"/>
        <w:rPr>
          <w:sz w:val="22"/>
          <w:szCs w:val="22"/>
        </w:rPr>
      </w:pPr>
      <w:r w:rsidRPr="00365CAA">
        <w:rPr>
          <w:sz w:val="22"/>
          <w:szCs w:val="22"/>
        </w:rPr>
        <w:t>diskreditácia bezpečnostného predmetu (GRID karty, tokenu, prvkov PKI),</w:t>
      </w:r>
    </w:p>
    <w:p w:rsidR="00CA3B14" w:rsidRPr="00365CAA" w:rsidRDefault="00CA3B14" w:rsidP="00365CAA">
      <w:pPr>
        <w:pStyle w:val="Odsekzoznamu"/>
        <w:numPr>
          <w:ilvl w:val="1"/>
          <w:numId w:val="11"/>
        </w:numPr>
        <w:overflowPunct w:val="0"/>
        <w:jc w:val="both"/>
        <w:textAlignment w:val="baseline"/>
        <w:rPr>
          <w:sz w:val="22"/>
          <w:szCs w:val="22"/>
        </w:rPr>
      </w:pPr>
      <w:r w:rsidRPr="00365CAA">
        <w:rPr>
          <w:sz w:val="22"/>
          <w:szCs w:val="22"/>
        </w:rPr>
        <w:t>prístup neoprávnenej (cudzia osoba, nevyškolená obsluha a pod.) osoby do IS SP,</w:t>
      </w:r>
    </w:p>
    <w:p w:rsidR="00CA3B14" w:rsidRPr="00365CAA" w:rsidRDefault="00CA3B14" w:rsidP="00365CAA">
      <w:pPr>
        <w:pStyle w:val="Odsekzoznamu"/>
        <w:numPr>
          <w:ilvl w:val="1"/>
          <w:numId w:val="11"/>
        </w:numPr>
        <w:overflowPunct w:val="0"/>
        <w:jc w:val="both"/>
        <w:textAlignment w:val="baseline"/>
        <w:rPr>
          <w:sz w:val="22"/>
          <w:szCs w:val="22"/>
        </w:rPr>
      </w:pPr>
      <w:r w:rsidRPr="00365CAA">
        <w:rPr>
          <w:sz w:val="22"/>
          <w:szCs w:val="22"/>
        </w:rPr>
        <w:t>vírusová infiltrácia do IS SP, zasielanie nežiadúceho obsahu, škodlivý kód,</w:t>
      </w:r>
    </w:p>
    <w:p w:rsidR="00CA3B14" w:rsidRPr="00365CAA" w:rsidRDefault="00CA3B14" w:rsidP="00365CAA">
      <w:pPr>
        <w:pStyle w:val="Odsekzoznamu"/>
        <w:numPr>
          <w:ilvl w:val="1"/>
          <w:numId w:val="11"/>
        </w:numPr>
        <w:overflowPunct w:val="0"/>
        <w:jc w:val="both"/>
        <w:textAlignment w:val="baseline"/>
        <w:rPr>
          <w:sz w:val="22"/>
          <w:szCs w:val="22"/>
        </w:rPr>
      </w:pPr>
      <w:r w:rsidRPr="00365CAA">
        <w:rPr>
          <w:sz w:val="22"/>
          <w:szCs w:val="22"/>
        </w:rPr>
        <w:t>prienik do IS alebo pokus o prienik,</w:t>
      </w:r>
    </w:p>
    <w:p w:rsidR="00CA3B14" w:rsidRPr="00365CAA" w:rsidRDefault="00CA3B14" w:rsidP="00365CAA">
      <w:pPr>
        <w:pStyle w:val="Odsekzoznamu"/>
        <w:numPr>
          <w:ilvl w:val="1"/>
          <w:numId w:val="11"/>
        </w:numPr>
        <w:overflowPunct w:val="0"/>
        <w:jc w:val="both"/>
        <w:textAlignment w:val="baseline"/>
        <w:rPr>
          <w:sz w:val="22"/>
          <w:szCs w:val="22"/>
        </w:rPr>
      </w:pPr>
      <w:r w:rsidRPr="00365CAA">
        <w:rPr>
          <w:sz w:val="22"/>
          <w:szCs w:val="22"/>
        </w:rPr>
        <w:t>kybernetický bezpečnostný incident,</w:t>
      </w:r>
    </w:p>
    <w:p w:rsidR="00CA3B14" w:rsidRPr="00365CAA" w:rsidRDefault="00CA3B14" w:rsidP="00365CAA">
      <w:pPr>
        <w:pStyle w:val="Odsekzoznamu"/>
        <w:numPr>
          <w:ilvl w:val="1"/>
          <w:numId w:val="11"/>
        </w:numPr>
        <w:overflowPunct w:val="0"/>
        <w:jc w:val="both"/>
        <w:textAlignment w:val="baseline"/>
        <w:rPr>
          <w:sz w:val="22"/>
          <w:szCs w:val="22"/>
        </w:rPr>
      </w:pPr>
      <w:r w:rsidRPr="00365CAA">
        <w:rPr>
          <w:sz w:val="22"/>
          <w:szCs w:val="22"/>
        </w:rPr>
        <w:t>inštalácie neschváleného hardvéru a softvéru na komponentoch IS SP,</w:t>
      </w:r>
    </w:p>
    <w:p w:rsidR="00CA3B14" w:rsidRPr="00365CAA" w:rsidRDefault="00CA3B14" w:rsidP="00365CAA">
      <w:pPr>
        <w:pStyle w:val="Odsekzoznamu"/>
        <w:numPr>
          <w:ilvl w:val="1"/>
          <w:numId w:val="11"/>
        </w:numPr>
        <w:overflowPunct w:val="0"/>
        <w:jc w:val="both"/>
        <w:textAlignment w:val="baseline"/>
        <w:rPr>
          <w:sz w:val="22"/>
          <w:szCs w:val="22"/>
        </w:rPr>
      </w:pPr>
      <w:r w:rsidRPr="00365CAA">
        <w:rPr>
          <w:sz w:val="22"/>
          <w:szCs w:val="22"/>
        </w:rPr>
        <w:t>neoprávnené premiestnenie technických komponentov IS SP,</w:t>
      </w:r>
    </w:p>
    <w:p w:rsidR="00CA3B14" w:rsidRPr="00365CAA" w:rsidRDefault="00CA3B14" w:rsidP="00365CAA">
      <w:pPr>
        <w:pStyle w:val="Odsekzoznamu"/>
        <w:numPr>
          <w:ilvl w:val="1"/>
          <w:numId w:val="11"/>
        </w:numPr>
        <w:overflowPunct w:val="0"/>
        <w:jc w:val="both"/>
        <w:textAlignment w:val="baseline"/>
        <w:rPr>
          <w:sz w:val="22"/>
          <w:szCs w:val="22"/>
        </w:rPr>
      </w:pPr>
      <w:r w:rsidRPr="00365CAA">
        <w:rPr>
          <w:sz w:val="22"/>
          <w:szCs w:val="22"/>
        </w:rPr>
        <w:t>používateľom vykonané zmeny hardvérovej konfigurácie počítača, servera, siete, komunikačných prvkov a pod.,</w:t>
      </w:r>
    </w:p>
    <w:p w:rsidR="00CA3B14" w:rsidRPr="00365CAA" w:rsidRDefault="00CA3B14" w:rsidP="00365CAA">
      <w:pPr>
        <w:pStyle w:val="Odsekzoznamu"/>
        <w:numPr>
          <w:ilvl w:val="1"/>
          <w:numId w:val="11"/>
        </w:numPr>
        <w:overflowPunct w:val="0"/>
        <w:jc w:val="both"/>
        <w:textAlignment w:val="baseline"/>
        <w:rPr>
          <w:sz w:val="22"/>
          <w:szCs w:val="22"/>
        </w:rPr>
      </w:pPr>
      <w:r w:rsidRPr="00365CAA">
        <w:rPr>
          <w:sz w:val="22"/>
          <w:szCs w:val="22"/>
        </w:rPr>
        <w:t>nevykonávanie záloh na serveroch zaradených do systému centralizovaných záloh alebo serverov s inak definovanou zálohovacou stratégiou,</w:t>
      </w:r>
    </w:p>
    <w:p w:rsidR="00CA3B14" w:rsidRPr="00365CAA" w:rsidRDefault="00CA3B14" w:rsidP="00365CAA">
      <w:pPr>
        <w:pStyle w:val="Odsekzoznamu"/>
        <w:numPr>
          <w:ilvl w:val="1"/>
          <w:numId w:val="11"/>
        </w:numPr>
        <w:overflowPunct w:val="0"/>
        <w:jc w:val="both"/>
        <w:textAlignment w:val="baseline"/>
        <w:rPr>
          <w:sz w:val="22"/>
          <w:szCs w:val="22"/>
        </w:rPr>
      </w:pPr>
      <w:r w:rsidRPr="00365CAA">
        <w:rPr>
          <w:sz w:val="22"/>
          <w:szCs w:val="22"/>
        </w:rPr>
        <w:t>zničenie alebo odcudzenie médií, na ktorých sú bezpečnostné zálohy serverov,</w:t>
      </w:r>
    </w:p>
    <w:p w:rsidR="00CA3B14" w:rsidRPr="00365CAA" w:rsidRDefault="00CA3B14" w:rsidP="00365CAA">
      <w:pPr>
        <w:pStyle w:val="Odsekzoznamu"/>
        <w:numPr>
          <w:ilvl w:val="1"/>
          <w:numId w:val="11"/>
        </w:numPr>
        <w:overflowPunct w:val="0"/>
        <w:jc w:val="both"/>
        <w:textAlignment w:val="baseline"/>
        <w:rPr>
          <w:sz w:val="22"/>
          <w:szCs w:val="22"/>
        </w:rPr>
      </w:pPr>
      <w:r w:rsidRPr="00365CAA">
        <w:rPr>
          <w:sz w:val="22"/>
          <w:szCs w:val="22"/>
        </w:rPr>
        <w:t>prepisovanie auditných záznamov,</w:t>
      </w:r>
    </w:p>
    <w:p w:rsidR="00CA3B14" w:rsidRPr="00365CAA" w:rsidRDefault="00CA3B14" w:rsidP="00365CAA">
      <w:pPr>
        <w:pStyle w:val="Odsekzoznamu"/>
        <w:numPr>
          <w:ilvl w:val="1"/>
          <w:numId w:val="11"/>
        </w:numPr>
        <w:overflowPunct w:val="0"/>
        <w:ind w:right="-294"/>
        <w:jc w:val="both"/>
        <w:textAlignment w:val="baseline"/>
        <w:rPr>
          <w:sz w:val="22"/>
          <w:szCs w:val="22"/>
        </w:rPr>
      </w:pPr>
      <w:r w:rsidRPr="00365CAA">
        <w:rPr>
          <w:sz w:val="22"/>
          <w:szCs w:val="22"/>
        </w:rPr>
        <w:t>krádež hardvéru alebo softwaru, ktorá ovplyvňuje prevádzky schopnosť IS SP,</w:t>
      </w:r>
    </w:p>
    <w:p w:rsidR="00CA3B14" w:rsidRPr="00365CAA" w:rsidRDefault="00CA3B14" w:rsidP="00365CAA">
      <w:pPr>
        <w:pStyle w:val="Odsekzoznamu"/>
        <w:numPr>
          <w:ilvl w:val="1"/>
          <w:numId w:val="11"/>
        </w:numPr>
        <w:overflowPunct w:val="0"/>
        <w:jc w:val="both"/>
        <w:textAlignment w:val="baseline"/>
        <w:rPr>
          <w:sz w:val="22"/>
          <w:szCs w:val="22"/>
        </w:rPr>
      </w:pPr>
      <w:r w:rsidRPr="00365CAA">
        <w:rPr>
          <w:sz w:val="22"/>
          <w:szCs w:val="22"/>
        </w:rPr>
        <w:t>krádež a deštrukcia dát IS SP,</w:t>
      </w:r>
    </w:p>
    <w:p w:rsidR="00CA3B14" w:rsidRPr="00365CAA" w:rsidRDefault="00CA3B14" w:rsidP="00365CAA">
      <w:pPr>
        <w:pStyle w:val="Odsekzoznamu"/>
        <w:numPr>
          <w:ilvl w:val="1"/>
          <w:numId w:val="11"/>
        </w:numPr>
        <w:overflowPunct w:val="0"/>
        <w:jc w:val="both"/>
        <w:textAlignment w:val="baseline"/>
        <w:rPr>
          <w:sz w:val="22"/>
          <w:szCs w:val="22"/>
        </w:rPr>
      </w:pPr>
      <w:r w:rsidRPr="00365CAA">
        <w:rPr>
          <w:sz w:val="22"/>
          <w:szCs w:val="22"/>
        </w:rPr>
        <w:t>zámerné zneužitie prístupu k zariadeniam IS SP,</w:t>
      </w:r>
    </w:p>
    <w:p w:rsidR="00CA3B14" w:rsidRPr="00365CAA" w:rsidRDefault="00CA3B14" w:rsidP="00365CAA">
      <w:pPr>
        <w:pStyle w:val="Odsekzoznamu"/>
        <w:numPr>
          <w:ilvl w:val="1"/>
          <w:numId w:val="11"/>
        </w:numPr>
        <w:overflowPunct w:val="0"/>
        <w:jc w:val="both"/>
        <w:textAlignment w:val="baseline"/>
        <w:rPr>
          <w:sz w:val="22"/>
          <w:szCs w:val="22"/>
        </w:rPr>
      </w:pPr>
      <w:r w:rsidRPr="00365CAA">
        <w:rPr>
          <w:sz w:val="22"/>
          <w:szCs w:val="22"/>
        </w:rPr>
        <w:t>neplánovaný výpadok elektrického prúdu,</w:t>
      </w:r>
    </w:p>
    <w:p w:rsidR="00CA3B14" w:rsidRPr="00365CAA" w:rsidRDefault="00CA3B14" w:rsidP="00365CAA">
      <w:pPr>
        <w:pStyle w:val="Odsekzoznamu"/>
        <w:numPr>
          <w:ilvl w:val="1"/>
          <w:numId w:val="11"/>
        </w:numPr>
        <w:overflowPunct w:val="0"/>
        <w:jc w:val="both"/>
        <w:textAlignment w:val="baseline"/>
        <w:rPr>
          <w:sz w:val="22"/>
          <w:szCs w:val="22"/>
        </w:rPr>
      </w:pPr>
      <w:r w:rsidRPr="00365CAA">
        <w:rPr>
          <w:sz w:val="22"/>
          <w:szCs w:val="22"/>
        </w:rPr>
        <w:t>poskytnutie, sprístupnenie, alebo zverejnenie osobných údajov konaním osoby alebo technickou poruchou IS v rozpore s pravidlami platných vnútorných predpisov prevádzkovateľa,</w:t>
      </w:r>
    </w:p>
    <w:p w:rsidR="00CA3B14" w:rsidRPr="00365CAA" w:rsidRDefault="00CA3B14" w:rsidP="00365CAA">
      <w:pPr>
        <w:pStyle w:val="Odsekzoznamu"/>
        <w:numPr>
          <w:ilvl w:val="1"/>
          <w:numId w:val="11"/>
        </w:numPr>
        <w:overflowPunct w:val="0"/>
        <w:jc w:val="both"/>
        <w:textAlignment w:val="baseline"/>
        <w:rPr>
          <w:sz w:val="22"/>
          <w:szCs w:val="22"/>
        </w:rPr>
      </w:pPr>
      <w:r w:rsidRPr="00365CAA">
        <w:rPr>
          <w:sz w:val="22"/>
          <w:szCs w:val="22"/>
        </w:rPr>
        <w:t>neoprávnené použitie vstupno-výstupných zariadení nepatriacich do vlastníctva prevádzkovateľa, spôsobujúce hrozbu nebezpečnej infiltrácie,</w:t>
      </w:r>
    </w:p>
    <w:p w:rsidR="00CA3B14" w:rsidRPr="00365CAA" w:rsidRDefault="00CA3B14" w:rsidP="00365CAA">
      <w:pPr>
        <w:pStyle w:val="Odsekzoznamu"/>
        <w:numPr>
          <w:ilvl w:val="1"/>
          <w:numId w:val="11"/>
        </w:numPr>
        <w:overflowPunct w:val="0"/>
        <w:jc w:val="both"/>
        <w:textAlignment w:val="baseline"/>
        <w:rPr>
          <w:sz w:val="22"/>
          <w:szCs w:val="22"/>
        </w:rPr>
      </w:pPr>
      <w:r w:rsidRPr="00365CAA">
        <w:rPr>
          <w:sz w:val="22"/>
          <w:szCs w:val="22"/>
        </w:rPr>
        <w:t>spracúvanie osobných údajov inou ako oprávnenou osobou,</w:t>
      </w:r>
    </w:p>
    <w:p w:rsidR="00CA3B14" w:rsidRPr="00365CAA" w:rsidRDefault="00CA3B14" w:rsidP="00365CAA">
      <w:pPr>
        <w:pStyle w:val="Odsekzoznamu"/>
        <w:numPr>
          <w:ilvl w:val="1"/>
          <w:numId w:val="11"/>
        </w:numPr>
        <w:overflowPunct w:val="0"/>
        <w:jc w:val="both"/>
        <w:textAlignment w:val="baseline"/>
        <w:rPr>
          <w:sz w:val="22"/>
          <w:szCs w:val="22"/>
        </w:rPr>
      </w:pPr>
      <w:r w:rsidRPr="00365CAA">
        <w:rPr>
          <w:sz w:val="22"/>
          <w:szCs w:val="22"/>
        </w:rPr>
        <w:t>porušenie bezpečnostných vnútorných predpisov prevádzkovateľa majúce za následok nedostupnosť služieb pre klientov alebo partnerov prevádzkovateľa,</w:t>
      </w:r>
    </w:p>
    <w:p w:rsidR="00CA3B14" w:rsidRDefault="00CA3B14" w:rsidP="00365CAA">
      <w:pPr>
        <w:pStyle w:val="Odsekzoznamu"/>
        <w:numPr>
          <w:ilvl w:val="1"/>
          <w:numId w:val="11"/>
        </w:numPr>
        <w:overflowPunct w:val="0"/>
        <w:jc w:val="both"/>
        <w:textAlignment w:val="baseline"/>
        <w:rPr>
          <w:sz w:val="22"/>
          <w:szCs w:val="22"/>
        </w:rPr>
      </w:pPr>
      <w:r w:rsidRPr="00365CAA">
        <w:rPr>
          <w:sz w:val="22"/>
          <w:szCs w:val="22"/>
        </w:rPr>
        <w:t>porušenie vnútorných predpisov prevádzkovateľa  s kontrolovateľným až katastrofálnym dopadom pre prevádzkovateľa.</w:t>
      </w:r>
    </w:p>
    <w:p w:rsidR="00365CAA" w:rsidRDefault="00365CAA" w:rsidP="00365CAA">
      <w:pPr>
        <w:overflowPunct w:val="0"/>
        <w:jc w:val="both"/>
        <w:textAlignment w:val="baseline"/>
        <w:rPr>
          <w:sz w:val="22"/>
          <w:szCs w:val="22"/>
        </w:rPr>
      </w:pPr>
    </w:p>
    <w:p w:rsidR="00365CAA" w:rsidRDefault="00365CAA" w:rsidP="00365CAA">
      <w:pPr>
        <w:overflowPunct w:val="0"/>
        <w:jc w:val="both"/>
        <w:textAlignment w:val="baseline"/>
        <w:rPr>
          <w:sz w:val="22"/>
          <w:szCs w:val="22"/>
        </w:rPr>
      </w:pPr>
    </w:p>
    <w:p w:rsidR="00365CAA" w:rsidRDefault="00365CAA" w:rsidP="00365CAA">
      <w:pPr>
        <w:overflowPunct w:val="0"/>
        <w:jc w:val="both"/>
        <w:textAlignment w:val="baseline"/>
        <w:rPr>
          <w:sz w:val="22"/>
          <w:szCs w:val="22"/>
        </w:rPr>
      </w:pPr>
    </w:p>
    <w:p w:rsidR="00365CAA" w:rsidRPr="00365CAA" w:rsidRDefault="00365CAA" w:rsidP="00365CAA">
      <w:pPr>
        <w:overflowPunct w:val="0"/>
        <w:jc w:val="both"/>
        <w:textAlignment w:val="baseline"/>
        <w:rPr>
          <w:sz w:val="22"/>
          <w:szCs w:val="22"/>
        </w:rPr>
      </w:pPr>
    </w:p>
    <w:p w:rsidR="00CA3B14" w:rsidRPr="00CA3B14" w:rsidRDefault="00CA3B14" w:rsidP="00CA3B14">
      <w:pPr>
        <w:overflowPunct w:val="0"/>
        <w:jc w:val="both"/>
        <w:textAlignment w:val="baseline"/>
        <w:rPr>
          <w:sz w:val="22"/>
          <w:szCs w:val="22"/>
        </w:rPr>
      </w:pPr>
    </w:p>
    <w:p w:rsidR="00CA3B14" w:rsidRPr="00CA3B14" w:rsidRDefault="00CA3B14" w:rsidP="00CA3B14">
      <w:pPr>
        <w:overflowPunct w:val="0"/>
        <w:spacing w:after="120"/>
        <w:jc w:val="both"/>
        <w:textAlignment w:val="baseline"/>
        <w:rPr>
          <w:b/>
          <w:sz w:val="22"/>
          <w:szCs w:val="22"/>
        </w:rPr>
      </w:pPr>
      <w:r w:rsidRPr="00CA3B14">
        <w:rPr>
          <w:b/>
          <w:sz w:val="22"/>
          <w:szCs w:val="22"/>
        </w:rPr>
        <w:t>3.1.7</w:t>
      </w:r>
      <w:r w:rsidRPr="00CA3B14">
        <w:rPr>
          <w:b/>
          <w:sz w:val="22"/>
          <w:szCs w:val="22"/>
        </w:rPr>
        <w:tab/>
        <w:t>Poučenie a záväzok mlčanlivosti</w:t>
      </w:r>
    </w:p>
    <w:p w:rsidR="00CA3B14" w:rsidRPr="00365CAA" w:rsidRDefault="00CA3B14" w:rsidP="00365CAA">
      <w:pPr>
        <w:pStyle w:val="Odsekzoznamu"/>
        <w:numPr>
          <w:ilvl w:val="0"/>
          <w:numId w:val="21"/>
        </w:numPr>
        <w:overflowPunct w:val="0"/>
        <w:spacing w:after="120"/>
        <w:jc w:val="both"/>
        <w:textAlignment w:val="baseline"/>
        <w:rPr>
          <w:sz w:val="22"/>
          <w:szCs w:val="22"/>
        </w:rPr>
      </w:pPr>
      <w:r w:rsidRPr="00365CAA">
        <w:rPr>
          <w:sz w:val="22"/>
          <w:szCs w:val="22"/>
        </w:rPr>
        <w:t>Vstupné poučenie o ochrane osobných údajov musí absolvovať každý zamestnanec dodávateľa, resp. subdodávateľa a/alebo tretia osoba  pri nástupe na výkon zmluvných činností na základe zmluvy na výkon činností, pretože z charakteru činností prevádzkovateľa je zrejmé, že každý zamestnanec dodávateľa, resp. subdodávateľa a/alebo tretia osoba by mohli aj náhodne prísť do styku s osobnými údajmi. Za zabezpečenie poučenia zamestnanca dodávateľa, resp. subdodávateľa a/alebo tretej osoby je zodpovedný odbor bezpečnosti informačných systémov prevádzkovateľa a to vo vzťahu ku všetkým zamestnancom dodávateľa, prípadne zamestnancom subdodávateľa a/alebo tretej osobe uvedených v Zozname osôb podľa čl. IV ods. 8 zmluvy, ktoré boli riaditeľom odboru bezpečnosti informačných systémov prevádzkovateľa a riaditeľom sekcie informatiky schválené ako osoby, prostredníctvom ktorých dodávateľ plní predmet zmluvy na výkon činností. Absolvovaním tohto vstupného poučenia sa zamestnanec dodávateľa, resp. subdodávateľa a/alebo tretia osoba nestáva oprávnenou osobou na spracúvanie osobných údajov. Dodávateľ zabezpečí, aby každý zamestnanec dodávateľa, jeho subdodávateľa a/alebo tretia osoba, ktorý majú plniť povinnosti dodávateľa, podpísal pred začatím prác u prevádzkovateľa vyhlásenie o mlčanlivosti.</w:t>
      </w:r>
    </w:p>
    <w:p w:rsidR="00CA3B14" w:rsidRPr="00365CAA" w:rsidRDefault="00CA3B14" w:rsidP="00365CAA">
      <w:pPr>
        <w:pStyle w:val="Odsekzoznamu"/>
        <w:numPr>
          <w:ilvl w:val="0"/>
          <w:numId w:val="21"/>
        </w:numPr>
        <w:overflowPunct w:val="0"/>
        <w:spacing w:after="120"/>
        <w:jc w:val="both"/>
        <w:textAlignment w:val="baseline"/>
        <w:rPr>
          <w:sz w:val="22"/>
          <w:szCs w:val="22"/>
        </w:rPr>
      </w:pPr>
      <w:r w:rsidRPr="00365CAA">
        <w:rPr>
          <w:sz w:val="22"/>
          <w:szCs w:val="22"/>
        </w:rPr>
        <w:t>Za nahlásenie a zabezpečenie účasti zamestnanca dodávateľa, resp. subdodávateľa a/alebo tretej osoby na vstupnom poučení o ochrane osobných údajov pred nástupom na výkon zmluvných činností na základe zmluvy na výkon činností je zodpovedný dodávateľ. Nahlásenie vykoná kontaktná osoba dodávateľa u príslušného zmluvného kontaktu prevádzkovateľa.</w:t>
      </w:r>
    </w:p>
    <w:p w:rsidR="00CA3B14" w:rsidRPr="00CA3B14" w:rsidRDefault="00CA3B14" w:rsidP="00CA3B14">
      <w:pPr>
        <w:pStyle w:val="Zkladntext"/>
        <w:kinsoku w:val="0"/>
        <w:overflowPunct w:val="0"/>
        <w:ind w:right="101"/>
        <w:jc w:val="both"/>
        <w:rPr>
          <w:sz w:val="22"/>
          <w:szCs w:val="22"/>
        </w:rPr>
      </w:pPr>
    </w:p>
    <w:p w:rsidR="00CA3B14" w:rsidRPr="00CA3B14" w:rsidRDefault="00CA3B14" w:rsidP="00CA3B14">
      <w:pPr>
        <w:pStyle w:val="Zkladntext"/>
        <w:kinsoku w:val="0"/>
        <w:overflowPunct w:val="0"/>
        <w:ind w:left="118" w:right="101"/>
        <w:jc w:val="both"/>
        <w:rPr>
          <w:sz w:val="22"/>
          <w:szCs w:val="22"/>
        </w:rPr>
      </w:pPr>
    </w:p>
    <w:p w:rsidR="00CA3B14" w:rsidRPr="00CA3B14" w:rsidRDefault="00CA3B14" w:rsidP="00CA3B14">
      <w:pPr>
        <w:pStyle w:val="Zkladntext"/>
        <w:kinsoku w:val="0"/>
        <w:overflowPunct w:val="0"/>
        <w:ind w:left="118" w:right="101"/>
        <w:jc w:val="both"/>
        <w:rPr>
          <w:sz w:val="22"/>
          <w:szCs w:val="22"/>
        </w:rPr>
      </w:pPr>
    </w:p>
    <w:p w:rsidR="00CA3B14" w:rsidRDefault="00CA3B14" w:rsidP="00CA3B14">
      <w:pPr>
        <w:pStyle w:val="Zkladntext"/>
        <w:kinsoku w:val="0"/>
        <w:overflowPunct w:val="0"/>
        <w:ind w:left="118" w:right="101"/>
        <w:jc w:val="both"/>
        <w:rPr>
          <w:sz w:val="22"/>
          <w:szCs w:val="22"/>
        </w:rPr>
      </w:pPr>
    </w:p>
    <w:p w:rsidR="000C520B" w:rsidRDefault="000C520B" w:rsidP="00CA3B14">
      <w:pPr>
        <w:pStyle w:val="Zkladntext"/>
        <w:kinsoku w:val="0"/>
        <w:overflowPunct w:val="0"/>
        <w:ind w:left="118" w:right="101"/>
        <w:jc w:val="both"/>
        <w:rPr>
          <w:sz w:val="22"/>
          <w:szCs w:val="22"/>
        </w:rPr>
      </w:pPr>
    </w:p>
    <w:p w:rsidR="000C520B" w:rsidRDefault="000C520B" w:rsidP="00CA3B14">
      <w:pPr>
        <w:pStyle w:val="Zkladntext"/>
        <w:kinsoku w:val="0"/>
        <w:overflowPunct w:val="0"/>
        <w:ind w:left="118" w:right="101"/>
        <w:jc w:val="both"/>
        <w:rPr>
          <w:sz w:val="22"/>
          <w:szCs w:val="22"/>
        </w:rPr>
      </w:pPr>
    </w:p>
    <w:p w:rsidR="000C520B" w:rsidRDefault="000C520B" w:rsidP="00CA3B14">
      <w:pPr>
        <w:pStyle w:val="Zkladntext"/>
        <w:kinsoku w:val="0"/>
        <w:overflowPunct w:val="0"/>
        <w:ind w:left="118" w:right="101"/>
        <w:jc w:val="both"/>
        <w:rPr>
          <w:sz w:val="22"/>
          <w:szCs w:val="22"/>
        </w:rPr>
      </w:pPr>
    </w:p>
    <w:p w:rsidR="000C520B" w:rsidRDefault="000C520B" w:rsidP="00CA3B14">
      <w:pPr>
        <w:pStyle w:val="Zkladntext"/>
        <w:kinsoku w:val="0"/>
        <w:overflowPunct w:val="0"/>
        <w:ind w:left="118" w:right="101"/>
        <w:jc w:val="both"/>
        <w:rPr>
          <w:sz w:val="22"/>
          <w:szCs w:val="22"/>
        </w:rPr>
      </w:pPr>
    </w:p>
    <w:p w:rsidR="000C520B" w:rsidRDefault="000C520B" w:rsidP="00CA3B14">
      <w:pPr>
        <w:pStyle w:val="Zkladntext"/>
        <w:kinsoku w:val="0"/>
        <w:overflowPunct w:val="0"/>
        <w:ind w:left="118" w:right="101"/>
        <w:jc w:val="both"/>
        <w:rPr>
          <w:sz w:val="22"/>
          <w:szCs w:val="22"/>
        </w:rPr>
      </w:pPr>
    </w:p>
    <w:p w:rsidR="000C520B" w:rsidRDefault="000C520B" w:rsidP="00CA3B14">
      <w:pPr>
        <w:pStyle w:val="Zkladntext"/>
        <w:kinsoku w:val="0"/>
        <w:overflowPunct w:val="0"/>
        <w:ind w:left="118" w:right="101"/>
        <w:jc w:val="both"/>
        <w:rPr>
          <w:sz w:val="22"/>
          <w:szCs w:val="22"/>
        </w:rPr>
      </w:pPr>
    </w:p>
    <w:p w:rsidR="000C520B" w:rsidRDefault="000C520B" w:rsidP="00CA3B14">
      <w:pPr>
        <w:pStyle w:val="Zkladntext"/>
        <w:kinsoku w:val="0"/>
        <w:overflowPunct w:val="0"/>
        <w:ind w:left="118" w:right="101"/>
        <w:jc w:val="both"/>
        <w:rPr>
          <w:sz w:val="22"/>
          <w:szCs w:val="22"/>
        </w:rPr>
      </w:pPr>
    </w:p>
    <w:p w:rsidR="000C520B" w:rsidRDefault="000C520B" w:rsidP="00CA3B14">
      <w:pPr>
        <w:pStyle w:val="Zkladntext"/>
        <w:kinsoku w:val="0"/>
        <w:overflowPunct w:val="0"/>
        <w:ind w:left="118" w:right="101"/>
        <w:jc w:val="both"/>
        <w:rPr>
          <w:sz w:val="22"/>
          <w:szCs w:val="22"/>
        </w:rPr>
      </w:pPr>
    </w:p>
    <w:p w:rsidR="000C520B" w:rsidRDefault="000C520B" w:rsidP="00CA3B14">
      <w:pPr>
        <w:pStyle w:val="Zkladntext"/>
        <w:kinsoku w:val="0"/>
        <w:overflowPunct w:val="0"/>
        <w:ind w:left="118" w:right="101"/>
        <w:jc w:val="both"/>
        <w:rPr>
          <w:sz w:val="22"/>
          <w:szCs w:val="22"/>
        </w:rPr>
      </w:pPr>
    </w:p>
    <w:p w:rsidR="000C520B" w:rsidRDefault="000C520B" w:rsidP="00CA3B14">
      <w:pPr>
        <w:pStyle w:val="Zkladntext"/>
        <w:kinsoku w:val="0"/>
        <w:overflowPunct w:val="0"/>
        <w:ind w:left="118" w:right="101"/>
        <w:jc w:val="both"/>
        <w:rPr>
          <w:sz w:val="22"/>
          <w:szCs w:val="22"/>
        </w:rPr>
      </w:pPr>
    </w:p>
    <w:p w:rsidR="000C520B" w:rsidRDefault="000C520B" w:rsidP="00CA3B14">
      <w:pPr>
        <w:pStyle w:val="Zkladntext"/>
        <w:kinsoku w:val="0"/>
        <w:overflowPunct w:val="0"/>
        <w:ind w:left="118" w:right="101"/>
        <w:jc w:val="both"/>
        <w:rPr>
          <w:sz w:val="22"/>
          <w:szCs w:val="22"/>
        </w:rPr>
      </w:pPr>
    </w:p>
    <w:p w:rsidR="000C520B" w:rsidRDefault="000C520B" w:rsidP="00CA3B14">
      <w:pPr>
        <w:pStyle w:val="Zkladntext"/>
        <w:kinsoku w:val="0"/>
        <w:overflowPunct w:val="0"/>
        <w:ind w:left="118" w:right="101"/>
        <w:jc w:val="both"/>
        <w:rPr>
          <w:sz w:val="22"/>
          <w:szCs w:val="22"/>
        </w:rPr>
      </w:pPr>
    </w:p>
    <w:p w:rsidR="000C520B" w:rsidRDefault="000C520B" w:rsidP="00CA3B14">
      <w:pPr>
        <w:pStyle w:val="Zkladntext"/>
        <w:kinsoku w:val="0"/>
        <w:overflowPunct w:val="0"/>
        <w:ind w:left="118" w:right="101"/>
        <w:jc w:val="both"/>
        <w:rPr>
          <w:sz w:val="22"/>
          <w:szCs w:val="22"/>
        </w:rPr>
      </w:pPr>
    </w:p>
    <w:p w:rsidR="000C520B" w:rsidRDefault="000C520B" w:rsidP="00CA3B14">
      <w:pPr>
        <w:pStyle w:val="Zkladntext"/>
        <w:kinsoku w:val="0"/>
        <w:overflowPunct w:val="0"/>
        <w:ind w:left="118" w:right="101"/>
        <w:jc w:val="both"/>
        <w:rPr>
          <w:sz w:val="22"/>
          <w:szCs w:val="22"/>
        </w:rPr>
      </w:pPr>
    </w:p>
    <w:p w:rsidR="000C520B" w:rsidRDefault="000C520B" w:rsidP="00CA3B14">
      <w:pPr>
        <w:pStyle w:val="Zkladntext"/>
        <w:kinsoku w:val="0"/>
        <w:overflowPunct w:val="0"/>
        <w:ind w:left="118" w:right="101"/>
        <w:jc w:val="both"/>
        <w:rPr>
          <w:sz w:val="22"/>
          <w:szCs w:val="22"/>
        </w:rPr>
      </w:pPr>
    </w:p>
    <w:p w:rsidR="000C520B" w:rsidRDefault="000C520B" w:rsidP="00CA3B14">
      <w:pPr>
        <w:pStyle w:val="Zkladntext"/>
        <w:kinsoku w:val="0"/>
        <w:overflowPunct w:val="0"/>
        <w:ind w:left="118" w:right="101"/>
        <w:jc w:val="both"/>
        <w:rPr>
          <w:sz w:val="22"/>
          <w:szCs w:val="22"/>
        </w:rPr>
      </w:pPr>
    </w:p>
    <w:p w:rsidR="000C520B" w:rsidRDefault="000C520B" w:rsidP="00CA3B14">
      <w:pPr>
        <w:pStyle w:val="Zkladntext"/>
        <w:kinsoku w:val="0"/>
        <w:overflowPunct w:val="0"/>
        <w:ind w:left="118" w:right="101"/>
        <w:jc w:val="both"/>
        <w:rPr>
          <w:sz w:val="22"/>
          <w:szCs w:val="22"/>
        </w:rPr>
      </w:pPr>
    </w:p>
    <w:p w:rsidR="000C520B" w:rsidRDefault="000C520B" w:rsidP="00CA3B14">
      <w:pPr>
        <w:pStyle w:val="Zkladntext"/>
        <w:kinsoku w:val="0"/>
        <w:overflowPunct w:val="0"/>
        <w:ind w:left="118" w:right="101"/>
        <w:jc w:val="both"/>
        <w:rPr>
          <w:sz w:val="22"/>
          <w:szCs w:val="22"/>
        </w:rPr>
      </w:pPr>
    </w:p>
    <w:p w:rsidR="000C520B" w:rsidRDefault="000C520B" w:rsidP="00CA3B14">
      <w:pPr>
        <w:pStyle w:val="Zkladntext"/>
        <w:kinsoku w:val="0"/>
        <w:overflowPunct w:val="0"/>
        <w:ind w:left="118" w:right="101"/>
        <w:jc w:val="both"/>
        <w:rPr>
          <w:sz w:val="22"/>
          <w:szCs w:val="22"/>
        </w:rPr>
      </w:pPr>
    </w:p>
    <w:p w:rsidR="000C520B" w:rsidRDefault="000C520B" w:rsidP="00CA3B14">
      <w:pPr>
        <w:pStyle w:val="Zkladntext"/>
        <w:kinsoku w:val="0"/>
        <w:overflowPunct w:val="0"/>
        <w:ind w:left="118" w:right="101"/>
        <w:jc w:val="both"/>
        <w:rPr>
          <w:sz w:val="22"/>
          <w:szCs w:val="22"/>
        </w:rPr>
      </w:pPr>
    </w:p>
    <w:p w:rsidR="000C520B" w:rsidRDefault="000C520B" w:rsidP="00CA3B14">
      <w:pPr>
        <w:pStyle w:val="Zkladntext"/>
        <w:kinsoku w:val="0"/>
        <w:overflowPunct w:val="0"/>
        <w:ind w:left="118" w:right="101"/>
        <w:jc w:val="both"/>
        <w:rPr>
          <w:sz w:val="22"/>
          <w:szCs w:val="22"/>
        </w:rPr>
      </w:pPr>
    </w:p>
    <w:p w:rsidR="000C520B" w:rsidRDefault="000C520B" w:rsidP="00CA3B14">
      <w:pPr>
        <w:pStyle w:val="Zkladntext"/>
        <w:kinsoku w:val="0"/>
        <w:overflowPunct w:val="0"/>
        <w:ind w:left="118" w:right="101"/>
        <w:jc w:val="both"/>
        <w:rPr>
          <w:sz w:val="22"/>
          <w:szCs w:val="22"/>
        </w:rPr>
      </w:pPr>
    </w:p>
    <w:p w:rsidR="000C520B" w:rsidRDefault="000C520B" w:rsidP="00CA3B14">
      <w:pPr>
        <w:pStyle w:val="Zkladntext"/>
        <w:kinsoku w:val="0"/>
        <w:overflowPunct w:val="0"/>
        <w:ind w:left="118" w:right="101"/>
        <w:jc w:val="both"/>
        <w:rPr>
          <w:sz w:val="22"/>
          <w:szCs w:val="22"/>
        </w:rPr>
      </w:pPr>
    </w:p>
    <w:p w:rsidR="000C520B" w:rsidRDefault="000C520B" w:rsidP="00CA3B14">
      <w:pPr>
        <w:pStyle w:val="Zkladntext"/>
        <w:kinsoku w:val="0"/>
        <w:overflowPunct w:val="0"/>
        <w:ind w:left="118" w:right="101"/>
        <w:jc w:val="both"/>
        <w:rPr>
          <w:sz w:val="22"/>
          <w:szCs w:val="22"/>
        </w:rPr>
      </w:pPr>
    </w:p>
    <w:p w:rsidR="000C520B" w:rsidRDefault="000C520B" w:rsidP="00CA3B14">
      <w:pPr>
        <w:pStyle w:val="Zkladntext"/>
        <w:kinsoku w:val="0"/>
        <w:overflowPunct w:val="0"/>
        <w:ind w:left="118" w:right="101"/>
        <w:jc w:val="both"/>
        <w:rPr>
          <w:sz w:val="22"/>
          <w:szCs w:val="22"/>
        </w:rPr>
      </w:pPr>
    </w:p>
    <w:p w:rsidR="000C520B" w:rsidRDefault="000C520B" w:rsidP="00CA3B14">
      <w:pPr>
        <w:pStyle w:val="Zkladntext"/>
        <w:kinsoku w:val="0"/>
        <w:overflowPunct w:val="0"/>
        <w:ind w:left="118" w:right="101"/>
        <w:jc w:val="both"/>
        <w:rPr>
          <w:sz w:val="22"/>
          <w:szCs w:val="22"/>
        </w:rPr>
      </w:pPr>
    </w:p>
    <w:p w:rsidR="000C520B" w:rsidRDefault="000C520B" w:rsidP="00CA3B14">
      <w:pPr>
        <w:pStyle w:val="Zkladntext"/>
        <w:kinsoku w:val="0"/>
        <w:overflowPunct w:val="0"/>
        <w:ind w:left="118" w:right="101"/>
        <w:jc w:val="both"/>
        <w:rPr>
          <w:sz w:val="22"/>
          <w:szCs w:val="22"/>
        </w:rPr>
      </w:pPr>
    </w:p>
    <w:p w:rsidR="000C520B" w:rsidRDefault="000C520B" w:rsidP="00CA3B14">
      <w:pPr>
        <w:pStyle w:val="Zkladntext"/>
        <w:kinsoku w:val="0"/>
        <w:overflowPunct w:val="0"/>
        <w:ind w:left="118" w:right="101"/>
        <w:jc w:val="both"/>
        <w:rPr>
          <w:sz w:val="22"/>
          <w:szCs w:val="22"/>
        </w:rPr>
      </w:pPr>
    </w:p>
    <w:p w:rsidR="000C520B" w:rsidRPr="00CA3B14" w:rsidRDefault="000C520B" w:rsidP="00CA3B14">
      <w:pPr>
        <w:pStyle w:val="Zkladntext"/>
        <w:kinsoku w:val="0"/>
        <w:overflowPunct w:val="0"/>
        <w:ind w:left="118" w:right="101"/>
        <w:jc w:val="both"/>
        <w:rPr>
          <w:sz w:val="22"/>
          <w:szCs w:val="22"/>
        </w:rPr>
      </w:pPr>
    </w:p>
    <w:p w:rsidR="00CA3B14" w:rsidRPr="00CA3B14" w:rsidRDefault="00CA3B14" w:rsidP="00CA3B14">
      <w:pPr>
        <w:pStyle w:val="Zkladntext"/>
        <w:kinsoku w:val="0"/>
        <w:overflowPunct w:val="0"/>
        <w:ind w:left="118" w:right="101"/>
        <w:jc w:val="both"/>
        <w:rPr>
          <w:sz w:val="22"/>
          <w:szCs w:val="22"/>
        </w:rPr>
      </w:pPr>
    </w:p>
    <w:p w:rsidR="000C520B" w:rsidRPr="00846D5B" w:rsidRDefault="000C520B" w:rsidP="000C520B">
      <w:pPr>
        <w:jc w:val="center"/>
        <w:rPr>
          <w:b/>
          <w:sz w:val="22"/>
          <w:szCs w:val="22"/>
          <w:u w:val="single"/>
        </w:rPr>
      </w:pPr>
      <w:r w:rsidRPr="00846D5B">
        <w:rPr>
          <w:b/>
          <w:sz w:val="22"/>
          <w:szCs w:val="22"/>
          <w:u w:val="single"/>
        </w:rPr>
        <w:t>Vysvetlenie skratiek</w:t>
      </w:r>
    </w:p>
    <w:p w:rsidR="000C520B" w:rsidRPr="003245A3" w:rsidRDefault="000C520B" w:rsidP="000C520B">
      <w:pPr>
        <w:rPr>
          <w:sz w:val="22"/>
          <w:szCs w:val="22"/>
        </w:rPr>
      </w:pPr>
      <w:r w:rsidRPr="003245A3">
        <w:rPr>
          <w:sz w:val="22"/>
          <w:szCs w:val="22"/>
        </w:rPr>
        <w:t>ACL - Access Control List</w:t>
      </w:r>
    </w:p>
    <w:p w:rsidR="000C520B" w:rsidRPr="003245A3" w:rsidRDefault="000C520B" w:rsidP="000C520B">
      <w:pPr>
        <w:rPr>
          <w:sz w:val="22"/>
          <w:szCs w:val="22"/>
        </w:rPr>
      </w:pPr>
      <w:r w:rsidRPr="003245A3">
        <w:rPr>
          <w:sz w:val="22"/>
          <w:szCs w:val="22"/>
        </w:rPr>
        <w:t>AP - Access Point</w:t>
      </w:r>
    </w:p>
    <w:p w:rsidR="000C520B" w:rsidRPr="003245A3" w:rsidRDefault="000C520B" w:rsidP="000C520B">
      <w:pPr>
        <w:rPr>
          <w:sz w:val="22"/>
          <w:szCs w:val="22"/>
        </w:rPr>
      </w:pPr>
      <w:r w:rsidRPr="003245A3">
        <w:rPr>
          <w:sz w:val="22"/>
          <w:szCs w:val="22"/>
        </w:rPr>
        <w:t>BIS – Bezpečnosť informačných systémov</w:t>
      </w:r>
    </w:p>
    <w:p w:rsidR="000C520B" w:rsidRPr="003245A3" w:rsidRDefault="000C520B" w:rsidP="000C520B">
      <w:pPr>
        <w:rPr>
          <w:sz w:val="22"/>
          <w:szCs w:val="22"/>
        </w:rPr>
      </w:pPr>
      <w:r w:rsidRPr="003245A3">
        <w:rPr>
          <w:sz w:val="22"/>
          <w:szCs w:val="22"/>
        </w:rPr>
        <w:t>CSRF - Cross-Site Request Forgery</w:t>
      </w:r>
    </w:p>
    <w:p w:rsidR="000C520B" w:rsidRPr="003245A3" w:rsidRDefault="000C520B" w:rsidP="000C520B">
      <w:pPr>
        <w:rPr>
          <w:sz w:val="22"/>
          <w:szCs w:val="22"/>
        </w:rPr>
      </w:pPr>
      <w:r w:rsidRPr="003245A3">
        <w:rPr>
          <w:sz w:val="22"/>
          <w:szCs w:val="22"/>
        </w:rPr>
        <w:t>DHCP - Dynamic Host Configuration Protocol</w:t>
      </w:r>
    </w:p>
    <w:p w:rsidR="000C520B" w:rsidRPr="003245A3" w:rsidRDefault="000C520B" w:rsidP="000C520B">
      <w:pPr>
        <w:rPr>
          <w:sz w:val="22"/>
          <w:szCs w:val="22"/>
        </w:rPr>
      </w:pPr>
      <w:r w:rsidRPr="003245A3">
        <w:rPr>
          <w:sz w:val="22"/>
          <w:szCs w:val="22"/>
        </w:rPr>
        <w:t>DMZ - Demilitarized Zone - VLAN, v ktorej sú umiestnené servery poskytujúce služby do externej siete, ktorá je logicky oddelená od internej siete (komunikácia je fultrovaná sieťovým firewallom)</w:t>
      </w:r>
    </w:p>
    <w:p w:rsidR="000C520B" w:rsidRPr="003245A3" w:rsidRDefault="000C520B" w:rsidP="000C520B">
      <w:pPr>
        <w:rPr>
          <w:sz w:val="22"/>
          <w:szCs w:val="22"/>
        </w:rPr>
      </w:pPr>
      <w:r w:rsidRPr="003245A3">
        <w:rPr>
          <w:sz w:val="22"/>
          <w:szCs w:val="22"/>
        </w:rPr>
        <w:t>DNS - Domain Name System</w:t>
      </w:r>
    </w:p>
    <w:p w:rsidR="000C520B" w:rsidRPr="003245A3" w:rsidRDefault="000C520B" w:rsidP="000C520B">
      <w:pPr>
        <w:rPr>
          <w:sz w:val="22"/>
          <w:szCs w:val="22"/>
        </w:rPr>
      </w:pPr>
      <w:r w:rsidRPr="003245A3">
        <w:rPr>
          <w:sz w:val="22"/>
          <w:szCs w:val="22"/>
        </w:rPr>
        <w:t>DoS – Denial of Service</w:t>
      </w:r>
    </w:p>
    <w:p w:rsidR="000C520B" w:rsidRPr="003245A3" w:rsidRDefault="000C520B" w:rsidP="000C520B">
      <w:pPr>
        <w:rPr>
          <w:sz w:val="22"/>
          <w:szCs w:val="22"/>
        </w:rPr>
      </w:pPr>
      <w:r w:rsidRPr="003245A3">
        <w:rPr>
          <w:sz w:val="22"/>
          <w:szCs w:val="22"/>
        </w:rPr>
        <w:t>FW – Firewall</w:t>
      </w:r>
    </w:p>
    <w:p w:rsidR="000C520B" w:rsidRPr="003245A3" w:rsidRDefault="000C520B" w:rsidP="000C520B">
      <w:pPr>
        <w:rPr>
          <w:sz w:val="22"/>
          <w:szCs w:val="22"/>
        </w:rPr>
      </w:pPr>
      <w:r w:rsidRPr="003245A3">
        <w:rPr>
          <w:sz w:val="22"/>
          <w:szCs w:val="22"/>
        </w:rPr>
        <w:t>IB – Informačná bezpečnosť</w:t>
      </w:r>
    </w:p>
    <w:p w:rsidR="000C520B" w:rsidRPr="003245A3" w:rsidRDefault="000C520B" w:rsidP="000C520B">
      <w:pPr>
        <w:rPr>
          <w:sz w:val="22"/>
          <w:szCs w:val="22"/>
        </w:rPr>
      </w:pPr>
      <w:r w:rsidRPr="003245A3">
        <w:rPr>
          <w:sz w:val="22"/>
          <w:szCs w:val="22"/>
        </w:rPr>
        <w:t>ICS - Industrial Control System</w:t>
      </w:r>
    </w:p>
    <w:p w:rsidR="000C520B" w:rsidRPr="003245A3" w:rsidRDefault="000C520B" w:rsidP="000C520B">
      <w:pPr>
        <w:rPr>
          <w:sz w:val="22"/>
          <w:szCs w:val="22"/>
        </w:rPr>
      </w:pPr>
      <w:r w:rsidRPr="003245A3">
        <w:rPr>
          <w:sz w:val="22"/>
          <w:szCs w:val="22"/>
        </w:rPr>
        <w:t>MitM útok – Man in the Middle útok</w:t>
      </w:r>
    </w:p>
    <w:p w:rsidR="000C520B" w:rsidRPr="003245A3" w:rsidRDefault="000C520B" w:rsidP="000C520B">
      <w:pPr>
        <w:rPr>
          <w:sz w:val="22"/>
          <w:szCs w:val="22"/>
        </w:rPr>
      </w:pPr>
      <w:r w:rsidRPr="003245A3">
        <w:rPr>
          <w:sz w:val="22"/>
          <w:szCs w:val="22"/>
        </w:rPr>
        <w:t>MVC – návrhový vzor Model–View–Controller</w:t>
      </w:r>
    </w:p>
    <w:p w:rsidR="000C520B" w:rsidRPr="003245A3" w:rsidRDefault="000C520B" w:rsidP="000C520B">
      <w:pPr>
        <w:rPr>
          <w:sz w:val="22"/>
          <w:szCs w:val="22"/>
        </w:rPr>
      </w:pPr>
      <w:r w:rsidRPr="003245A3">
        <w:rPr>
          <w:sz w:val="22"/>
          <w:szCs w:val="22"/>
        </w:rPr>
        <w:t>MVP -  návrhový vzor Model–View–Presenter</w:t>
      </w:r>
    </w:p>
    <w:p w:rsidR="000C520B" w:rsidRPr="003245A3" w:rsidRDefault="000C520B" w:rsidP="000C520B">
      <w:pPr>
        <w:rPr>
          <w:sz w:val="22"/>
          <w:szCs w:val="22"/>
        </w:rPr>
      </w:pPr>
      <w:r w:rsidRPr="003245A3">
        <w:rPr>
          <w:sz w:val="22"/>
          <w:szCs w:val="22"/>
        </w:rPr>
        <w:t>NAC – Network Access Control</w:t>
      </w:r>
    </w:p>
    <w:p w:rsidR="000C520B" w:rsidRPr="003245A3" w:rsidRDefault="000C520B" w:rsidP="000C520B">
      <w:pPr>
        <w:rPr>
          <w:sz w:val="22"/>
          <w:szCs w:val="22"/>
        </w:rPr>
      </w:pPr>
      <w:r w:rsidRPr="003245A3">
        <w:rPr>
          <w:sz w:val="22"/>
          <w:szCs w:val="22"/>
        </w:rPr>
        <w:t>NAP - Network Access Protection</w:t>
      </w:r>
    </w:p>
    <w:p w:rsidR="000C520B" w:rsidRPr="003245A3" w:rsidRDefault="000C520B" w:rsidP="000C520B">
      <w:pPr>
        <w:rPr>
          <w:sz w:val="22"/>
          <w:szCs w:val="22"/>
        </w:rPr>
      </w:pPr>
      <w:r w:rsidRPr="003245A3">
        <w:rPr>
          <w:sz w:val="22"/>
          <w:szCs w:val="22"/>
        </w:rPr>
        <w:t>NDP - Neighbor Discovery Protocol - protokol v IPv6, okrem iného, nahradzujúci ARP z IPv4</w:t>
      </w:r>
    </w:p>
    <w:p w:rsidR="000C520B" w:rsidRPr="003245A3" w:rsidRDefault="000C520B" w:rsidP="000C520B">
      <w:pPr>
        <w:rPr>
          <w:sz w:val="22"/>
          <w:szCs w:val="22"/>
        </w:rPr>
      </w:pPr>
      <w:r w:rsidRPr="003245A3">
        <w:rPr>
          <w:sz w:val="22"/>
          <w:szCs w:val="22"/>
        </w:rPr>
        <w:t>NTP - Network Time Protocol</w:t>
      </w:r>
    </w:p>
    <w:p w:rsidR="000C520B" w:rsidRPr="003245A3" w:rsidRDefault="000C520B" w:rsidP="000C520B">
      <w:pPr>
        <w:rPr>
          <w:sz w:val="22"/>
          <w:szCs w:val="22"/>
        </w:rPr>
      </w:pPr>
      <w:r w:rsidRPr="003245A3">
        <w:rPr>
          <w:sz w:val="22"/>
          <w:szCs w:val="22"/>
        </w:rPr>
        <w:t>OS - Operačný systém PVLAN – Private VLAN princíp least privilege</w:t>
      </w:r>
    </w:p>
    <w:p w:rsidR="000C520B" w:rsidRPr="003245A3" w:rsidRDefault="000C520B" w:rsidP="000C520B">
      <w:pPr>
        <w:rPr>
          <w:sz w:val="22"/>
          <w:szCs w:val="22"/>
        </w:rPr>
      </w:pPr>
      <w:r w:rsidRPr="003245A3">
        <w:rPr>
          <w:sz w:val="22"/>
          <w:szCs w:val="22"/>
        </w:rPr>
        <w:t>RDP - Remote Desktop Protocol</w:t>
      </w:r>
    </w:p>
    <w:p w:rsidR="000C520B" w:rsidRPr="003245A3" w:rsidRDefault="000C520B" w:rsidP="000C520B">
      <w:pPr>
        <w:rPr>
          <w:sz w:val="22"/>
          <w:szCs w:val="22"/>
        </w:rPr>
      </w:pPr>
      <w:r w:rsidRPr="003245A3">
        <w:rPr>
          <w:sz w:val="22"/>
          <w:szCs w:val="22"/>
        </w:rPr>
        <w:t>QoS - Quality of Service</w:t>
      </w:r>
    </w:p>
    <w:p w:rsidR="000C520B" w:rsidRPr="003245A3" w:rsidRDefault="000C520B" w:rsidP="000C520B">
      <w:pPr>
        <w:rPr>
          <w:sz w:val="22"/>
          <w:szCs w:val="22"/>
        </w:rPr>
      </w:pPr>
      <w:r w:rsidRPr="003245A3">
        <w:rPr>
          <w:sz w:val="22"/>
          <w:szCs w:val="22"/>
        </w:rPr>
        <w:t>Sieťový firewall - firewall umiestnený v sieti filtrujúci komunikáciu viacerých zariadení, prípadne sietí (nie lokálny firewall)</w:t>
      </w:r>
    </w:p>
    <w:p w:rsidR="000C520B" w:rsidRPr="003245A3" w:rsidRDefault="000C520B" w:rsidP="000C520B">
      <w:pPr>
        <w:rPr>
          <w:sz w:val="22"/>
          <w:szCs w:val="22"/>
        </w:rPr>
      </w:pPr>
      <w:r w:rsidRPr="003245A3">
        <w:rPr>
          <w:sz w:val="22"/>
          <w:szCs w:val="22"/>
        </w:rPr>
        <w:t>SNMP – Simple Network Management Protocol</w:t>
      </w:r>
    </w:p>
    <w:p w:rsidR="000C520B" w:rsidRPr="003245A3" w:rsidRDefault="000C520B" w:rsidP="000C520B">
      <w:pPr>
        <w:rPr>
          <w:sz w:val="22"/>
          <w:szCs w:val="22"/>
        </w:rPr>
      </w:pPr>
      <w:r w:rsidRPr="003245A3">
        <w:rPr>
          <w:sz w:val="22"/>
          <w:szCs w:val="22"/>
        </w:rPr>
        <w:t>SSO – Single Sign-On</w:t>
      </w:r>
    </w:p>
    <w:p w:rsidR="000C520B" w:rsidRPr="003245A3" w:rsidRDefault="000C520B" w:rsidP="000C520B">
      <w:pPr>
        <w:rPr>
          <w:sz w:val="22"/>
          <w:szCs w:val="22"/>
        </w:rPr>
      </w:pPr>
      <w:r w:rsidRPr="003245A3">
        <w:rPr>
          <w:sz w:val="22"/>
          <w:szCs w:val="22"/>
        </w:rPr>
        <w:t>Telepresence</w:t>
      </w:r>
    </w:p>
    <w:p w:rsidR="000C520B" w:rsidRPr="003245A3" w:rsidRDefault="000C520B" w:rsidP="000C520B">
      <w:pPr>
        <w:rPr>
          <w:sz w:val="22"/>
          <w:szCs w:val="22"/>
        </w:rPr>
      </w:pPr>
      <w:r w:rsidRPr="003245A3">
        <w:rPr>
          <w:sz w:val="22"/>
          <w:szCs w:val="22"/>
        </w:rPr>
        <w:t>UAC – User Access Control</w:t>
      </w:r>
    </w:p>
    <w:p w:rsidR="000C520B" w:rsidRPr="003245A3" w:rsidRDefault="000C520B" w:rsidP="000C520B">
      <w:pPr>
        <w:rPr>
          <w:sz w:val="22"/>
          <w:szCs w:val="22"/>
        </w:rPr>
      </w:pPr>
      <w:r w:rsidRPr="003245A3">
        <w:rPr>
          <w:sz w:val="22"/>
          <w:szCs w:val="22"/>
        </w:rPr>
        <w:t>VLAN – Virtual Local Area Network</w:t>
      </w:r>
    </w:p>
    <w:p w:rsidR="000C520B" w:rsidRPr="003245A3" w:rsidRDefault="000C520B" w:rsidP="000C520B">
      <w:pPr>
        <w:rPr>
          <w:sz w:val="22"/>
          <w:szCs w:val="22"/>
        </w:rPr>
      </w:pPr>
      <w:r w:rsidRPr="003245A3">
        <w:rPr>
          <w:sz w:val="22"/>
          <w:szCs w:val="22"/>
        </w:rPr>
        <w:t>VPN – Virtual Private Network</w:t>
      </w:r>
    </w:p>
    <w:p w:rsidR="000C520B" w:rsidRPr="003245A3" w:rsidRDefault="000C520B" w:rsidP="000C520B">
      <w:pPr>
        <w:rPr>
          <w:sz w:val="22"/>
          <w:szCs w:val="22"/>
        </w:rPr>
      </w:pPr>
      <w:r w:rsidRPr="003245A3">
        <w:rPr>
          <w:sz w:val="22"/>
          <w:szCs w:val="22"/>
        </w:rPr>
        <w:t>VOIP – Voice over IP</w:t>
      </w:r>
    </w:p>
    <w:p w:rsidR="000C520B" w:rsidRPr="003245A3" w:rsidRDefault="000C520B" w:rsidP="000C520B">
      <w:pPr>
        <w:rPr>
          <w:sz w:val="22"/>
          <w:szCs w:val="22"/>
        </w:rPr>
      </w:pPr>
      <w:r w:rsidRPr="003245A3">
        <w:rPr>
          <w:sz w:val="22"/>
          <w:szCs w:val="22"/>
        </w:rPr>
        <w:t>WAF – Webaplikačný firewall - špeciálny typ firewallu, prispôsobený na zabezpečenie webového servera. Ide o filter, plugin či zariadenie ktorý aplikuje set pravidiel na HTTP prevádzku.</w:t>
      </w:r>
    </w:p>
    <w:p w:rsidR="000C520B" w:rsidRPr="003245A3" w:rsidRDefault="000C520B" w:rsidP="000C520B">
      <w:pPr>
        <w:rPr>
          <w:sz w:val="22"/>
          <w:szCs w:val="22"/>
        </w:rPr>
      </w:pPr>
      <w:r w:rsidRPr="003245A3">
        <w:rPr>
          <w:sz w:val="22"/>
          <w:szCs w:val="22"/>
        </w:rPr>
        <w:t>Whitelisting - metóda kontroly prístupu k službám, ktorá povoľuje prístup iba špecifikovaným klientom a všetkým ostatným ho zakazuje</w:t>
      </w:r>
    </w:p>
    <w:p w:rsidR="000C520B" w:rsidRDefault="000C520B" w:rsidP="000C520B">
      <w:r w:rsidRPr="003245A3">
        <w:rPr>
          <w:sz w:val="22"/>
          <w:szCs w:val="22"/>
        </w:rPr>
        <w:t xml:space="preserve">XSS </w:t>
      </w:r>
      <w:r>
        <w:t>- Cross-Site Scripting</w:t>
      </w:r>
    </w:p>
    <w:p w:rsidR="000C520B" w:rsidRDefault="000C520B" w:rsidP="000C520B"/>
    <w:p w:rsidR="000C520B" w:rsidRDefault="000C520B" w:rsidP="000C520B"/>
    <w:p w:rsidR="000C520B" w:rsidRDefault="000C520B" w:rsidP="000C520B"/>
    <w:p w:rsidR="000C520B" w:rsidRDefault="000C520B" w:rsidP="000C520B"/>
    <w:p w:rsidR="000C520B" w:rsidRDefault="000C520B" w:rsidP="000C520B"/>
    <w:p w:rsidR="000C520B" w:rsidRDefault="000C520B" w:rsidP="000C520B"/>
    <w:p w:rsidR="000C520B" w:rsidRDefault="000C520B" w:rsidP="000C520B"/>
    <w:p w:rsidR="000C520B" w:rsidRDefault="000C520B" w:rsidP="000C520B"/>
    <w:p w:rsidR="000C520B" w:rsidRDefault="000C520B" w:rsidP="000C520B"/>
    <w:p w:rsidR="000C520B" w:rsidRDefault="000C520B" w:rsidP="000C520B"/>
    <w:p w:rsidR="000C520B" w:rsidRDefault="000C520B" w:rsidP="000C520B"/>
    <w:p w:rsidR="000C520B" w:rsidRDefault="000C520B" w:rsidP="000C520B"/>
    <w:p w:rsidR="000C520B" w:rsidRDefault="000C520B" w:rsidP="000C520B"/>
    <w:p w:rsidR="000C520B" w:rsidRDefault="000C520B" w:rsidP="000C520B"/>
    <w:p w:rsidR="000C520B" w:rsidRDefault="000C520B" w:rsidP="000C520B"/>
    <w:p w:rsidR="000C520B" w:rsidRPr="003245A3" w:rsidRDefault="000C520B" w:rsidP="000C520B">
      <w:pPr>
        <w:rPr>
          <w:sz w:val="22"/>
          <w:szCs w:val="22"/>
        </w:rPr>
      </w:pPr>
    </w:p>
    <w:p w:rsidR="000C520B" w:rsidRPr="00846D5B" w:rsidRDefault="000C520B" w:rsidP="000C520B">
      <w:pPr>
        <w:jc w:val="center"/>
        <w:rPr>
          <w:b/>
          <w:sz w:val="22"/>
          <w:szCs w:val="22"/>
          <w:u w:val="single"/>
        </w:rPr>
      </w:pPr>
      <w:bookmarkStart w:id="0" w:name="_Toc99532921"/>
      <w:r w:rsidRPr="00846D5B">
        <w:rPr>
          <w:b/>
          <w:sz w:val="22"/>
          <w:szCs w:val="22"/>
          <w:u w:val="single"/>
        </w:rPr>
        <w:t>Zdroje a Legislatívne východiská</w:t>
      </w:r>
      <w:bookmarkEnd w:id="0"/>
    </w:p>
    <w:p w:rsidR="000C520B" w:rsidRPr="003245A3" w:rsidRDefault="00EA35DE" w:rsidP="000C520B">
      <w:pPr>
        <w:pStyle w:val="Odsekzoznamu"/>
        <w:widowControl/>
        <w:numPr>
          <w:ilvl w:val="0"/>
          <w:numId w:val="23"/>
        </w:numPr>
        <w:autoSpaceDE/>
        <w:autoSpaceDN/>
        <w:adjustRightInd/>
        <w:rPr>
          <w:sz w:val="22"/>
          <w:szCs w:val="22"/>
        </w:rPr>
      </w:pPr>
      <w:hyperlink r:id="rId10" w:history="1">
        <w:r w:rsidR="000C520B" w:rsidRPr="003245A3">
          <w:rPr>
            <w:rStyle w:val="Hypertextovprepojenie"/>
            <w:sz w:val="22"/>
            <w:szCs w:val="22"/>
          </w:rPr>
          <w:t>Slov-lex</w:t>
        </w:r>
      </w:hyperlink>
    </w:p>
    <w:p w:rsidR="000C520B" w:rsidRPr="003245A3" w:rsidRDefault="00EA35DE" w:rsidP="000C520B">
      <w:pPr>
        <w:pStyle w:val="Odsekzoznamu"/>
        <w:widowControl/>
        <w:numPr>
          <w:ilvl w:val="0"/>
          <w:numId w:val="23"/>
        </w:numPr>
        <w:autoSpaceDE/>
        <w:autoSpaceDN/>
        <w:adjustRightInd/>
        <w:rPr>
          <w:rStyle w:val="Hypertextovprepojenie"/>
          <w:sz w:val="22"/>
          <w:szCs w:val="22"/>
        </w:rPr>
      </w:pPr>
      <w:hyperlink r:id="rId11" w:history="1">
        <w:r w:rsidR="000C520B" w:rsidRPr="003245A3">
          <w:rPr>
            <w:rStyle w:val="Hypertextovprepojenie"/>
            <w:sz w:val="22"/>
            <w:szCs w:val="22"/>
          </w:rPr>
          <w:t>Eur-lex</w:t>
        </w:r>
      </w:hyperlink>
    </w:p>
    <w:p w:rsidR="000C520B" w:rsidRPr="003245A3" w:rsidRDefault="00EA35DE" w:rsidP="000C520B">
      <w:pPr>
        <w:pStyle w:val="Odsekzoznamu"/>
        <w:widowControl/>
        <w:numPr>
          <w:ilvl w:val="0"/>
          <w:numId w:val="23"/>
        </w:numPr>
        <w:autoSpaceDE/>
        <w:autoSpaceDN/>
        <w:adjustRightInd/>
        <w:rPr>
          <w:rStyle w:val="Hypertextovprepojenie"/>
          <w:sz w:val="22"/>
          <w:szCs w:val="22"/>
        </w:rPr>
      </w:pPr>
      <w:hyperlink r:id="rId12" w:history="1">
        <w:r w:rsidR="000C520B" w:rsidRPr="003245A3">
          <w:rPr>
            <w:rStyle w:val="Hypertextovprepojenie"/>
            <w:sz w:val="22"/>
            <w:szCs w:val="22"/>
          </w:rPr>
          <w:t>Sémantický znalostný strom vedomostí Knowww EU portál</w:t>
        </w:r>
      </w:hyperlink>
    </w:p>
    <w:p w:rsidR="000C520B" w:rsidRPr="003245A3" w:rsidRDefault="00EA35DE" w:rsidP="000C520B">
      <w:pPr>
        <w:pStyle w:val="Odsekzoznamu"/>
        <w:widowControl/>
        <w:numPr>
          <w:ilvl w:val="0"/>
          <w:numId w:val="23"/>
        </w:numPr>
        <w:autoSpaceDE/>
        <w:autoSpaceDN/>
        <w:adjustRightInd/>
        <w:rPr>
          <w:rStyle w:val="Hypertextovprepojenie"/>
          <w:sz w:val="22"/>
          <w:szCs w:val="22"/>
        </w:rPr>
      </w:pPr>
      <w:hyperlink r:id="rId13" w:history="1">
        <w:r w:rsidR="000C520B" w:rsidRPr="003245A3">
          <w:rPr>
            <w:rStyle w:val="Hypertextovprepojenie"/>
            <w:sz w:val="22"/>
            <w:szCs w:val="22"/>
          </w:rPr>
          <w:t>Vláda SR</w:t>
        </w:r>
      </w:hyperlink>
    </w:p>
    <w:p w:rsidR="000C520B" w:rsidRPr="003245A3" w:rsidRDefault="00EA35DE" w:rsidP="000C520B">
      <w:pPr>
        <w:pStyle w:val="Odsekzoznamu"/>
        <w:widowControl/>
        <w:numPr>
          <w:ilvl w:val="0"/>
          <w:numId w:val="23"/>
        </w:numPr>
        <w:autoSpaceDE/>
        <w:autoSpaceDN/>
        <w:adjustRightInd/>
        <w:rPr>
          <w:sz w:val="22"/>
          <w:szCs w:val="22"/>
        </w:rPr>
      </w:pPr>
      <w:hyperlink r:id="rId14" w:history="1">
        <w:r w:rsidR="000C520B" w:rsidRPr="003245A3">
          <w:rPr>
            <w:rStyle w:val="Hypertextovprepojenie"/>
            <w:sz w:val="22"/>
            <w:szCs w:val="22"/>
          </w:rPr>
          <w:t>Ústredný portál verejnej správy</w:t>
        </w:r>
      </w:hyperlink>
    </w:p>
    <w:p w:rsidR="000C520B" w:rsidRPr="003245A3" w:rsidRDefault="00EA35DE" w:rsidP="000C520B">
      <w:pPr>
        <w:pStyle w:val="Odsekzoznamu"/>
        <w:widowControl/>
        <w:numPr>
          <w:ilvl w:val="0"/>
          <w:numId w:val="23"/>
        </w:numPr>
        <w:autoSpaceDE/>
        <w:autoSpaceDN/>
        <w:adjustRightInd/>
        <w:rPr>
          <w:sz w:val="22"/>
          <w:szCs w:val="22"/>
        </w:rPr>
      </w:pPr>
      <w:hyperlink r:id="rId15" w:history="1">
        <w:r w:rsidR="000C520B" w:rsidRPr="003245A3">
          <w:rPr>
            <w:rStyle w:val="Hypertextovprepojenie"/>
            <w:sz w:val="22"/>
            <w:szCs w:val="22"/>
          </w:rPr>
          <w:t>Rokovania legislatívnej rady vlády SR</w:t>
        </w:r>
      </w:hyperlink>
    </w:p>
    <w:p w:rsidR="000C520B" w:rsidRPr="003245A3" w:rsidRDefault="00EA35DE" w:rsidP="000C520B">
      <w:pPr>
        <w:pStyle w:val="Odsekzoznamu"/>
        <w:widowControl/>
        <w:numPr>
          <w:ilvl w:val="0"/>
          <w:numId w:val="23"/>
        </w:numPr>
        <w:autoSpaceDE/>
        <w:autoSpaceDN/>
        <w:adjustRightInd/>
        <w:rPr>
          <w:sz w:val="22"/>
          <w:szCs w:val="22"/>
        </w:rPr>
      </w:pPr>
      <w:hyperlink r:id="rId16" w:history="1">
        <w:r w:rsidR="000C520B" w:rsidRPr="003245A3">
          <w:rPr>
            <w:rStyle w:val="Hypertextovprepojenie"/>
            <w:sz w:val="22"/>
            <w:szCs w:val="22"/>
          </w:rPr>
          <w:t>Zoznam uznesení vlády SR</w:t>
        </w:r>
      </w:hyperlink>
    </w:p>
    <w:p w:rsidR="000C520B" w:rsidRPr="003245A3" w:rsidRDefault="00EA35DE" w:rsidP="000C520B">
      <w:pPr>
        <w:pStyle w:val="Odsekzoznamu"/>
        <w:widowControl/>
        <w:numPr>
          <w:ilvl w:val="0"/>
          <w:numId w:val="23"/>
        </w:numPr>
        <w:autoSpaceDE/>
        <w:autoSpaceDN/>
        <w:adjustRightInd/>
        <w:rPr>
          <w:sz w:val="22"/>
          <w:szCs w:val="22"/>
        </w:rPr>
      </w:pPr>
      <w:hyperlink r:id="rId17" w:history="1">
        <w:r w:rsidR="000C520B" w:rsidRPr="003245A3">
          <w:rPr>
            <w:rStyle w:val="Hypertextovprepojenie"/>
            <w:sz w:val="22"/>
            <w:szCs w:val="22"/>
          </w:rPr>
          <w:t>Ministerstvo investícií, regionálneho rozvoja a informatizácie Slovenskej republiky</w:t>
        </w:r>
      </w:hyperlink>
      <w:r w:rsidR="000C520B" w:rsidRPr="003245A3">
        <w:rPr>
          <w:sz w:val="22"/>
          <w:szCs w:val="22"/>
        </w:rPr>
        <w:t xml:space="preserve"> </w:t>
      </w:r>
    </w:p>
    <w:p w:rsidR="000C520B" w:rsidRPr="003245A3" w:rsidRDefault="00EA35DE" w:rsidP="000C520B">
      <w:pPr>
        <w:pStyle w:val="Odsekzoznamu"/>
        <w:widowControl/>
        <w:numPr>
          <w:ilvl w:val="0"/>
          <w:numId w:val="23"/>
        </w:numPr>
        <w:autoSpaceDE/>
        <w:autoSpaceDN/>
        <w:adjustRightInd/>
        <w:rPr>
          <w:sz w:val="22"/>
          <w:szCs w:val="22"/>
        </w:rPr>
      </w:pPr>
      <w:hyperlink r:id="rId18" w:history="1">
        <w:r w:rsidR="000C520B" w:rsidRPr="003245A3">
          <w:rPr>
            <w:rStyle w:val="Hypertextovprepojenie"/>
            <w:sz w:val="22"/>
            <w:szCs w:val="22"/>
          </w:rPr>
          <w:t>CSIRT</w:t>
        </w:r>
      </w:hyperlink>
    </w:p>
    <w:p w:rsidR="000C520B" w:rsidRPr="003245A3" w:rsidRDefault="00EA35DE" w:rsidP="000C520B">
      <w:pPr>
        <w:pStyle w:val="Odsekzoznamu"/>
        <w:widowControl/>
        <w:numPr>
          <w:ilvl w:val="0"/>
          <w:numId w:val="23"/>
        </w:numPr>
        <w:autoSpaceDE/>
        <w:autoSpaceDN/>
        <w:adjustRightInd/>
        <w:rPr>
          <w:sz w:val="22"/>
          <w:szCs w:val="22"/>
        </w:rPr>
      </w:pPr>
      <w:hyperlink r:id="rId19" w:history="1">
        <w:r w:rsidR="000C520B" w:rsidRPr="003245A3">
          <w:rPr>
            <w:rStyle w:val="Hypertextovprepojenie"/>
            <w:sz w:val="22"/>
            <w:szCs w:val="22"/>
          </w:rPr>
          <w:t>NASES</w:t>
        </w:r>
      </w:hyperlink>
    </w:p>
    <w:p w:rsidR="000C520B" w:rsidRPr="003245A3" w:rsidRDefault="00EA35DE" w:rsidP="000C520B">
      <w:pPr>
        <w:pStyle w:val="Odsekzoznamu"/>
        <w:widowControl/>
        <w:numPr>
          <w:ilvl w:val="0"/>
          <w:numId w:val="23"/>
        </w:numPr>
        <w:autoSpaceDE/>
        <w:autoSpaceDN/>
        <w:adjustRightInd/>
        <w:rPr>
          <w:sz w:val="22"/>
          <w:szCs w:val="22"/>
        </w:rPr>
      </w:pPr>
      <w:hyperlink r:id="rId20" w:history="1">
        <w:r w:rsidR="000C520B" w:rsidRPr="003245A3">
          <w:rPr>
            <w:rStyle w:val="Hypertextovprepojenie"/>
            <w:sz w:val="22"/>
            <w:szCs w:val="22"/>
          </w:rPr>
          <w:t>NBÚ</w:t>
        </w:r>
      </w:hyperlink>
    </w:p>
    <w:p w:rsidR="000C520B" w:rsidRPr="003245A3" w:rsidRDefault="00EA35DE" w:rsidP="000C520B">
      <w:pPr>
        <w:pStyle w:val="Odsekzoznamu"/>
        <w:widowControl/>
        <w:numPr>
          <w:ilvl w:val="0"/>
          <w:numId w:val="23"/>
        </w:numPr>
        <w:autoSpaceDE/>
        <w:autoSpaceDN/>
        <w:adjustRightInd/>
        <w:rPr>
          <w:sz w:val="22"/>
          <w:szCs w:val="22"/>
        </w:rPr>
      </w:pPr>
      <w:hyperlink r:id="rId21" w:history="1">
        <w:r w:rsidR="000C520B" w:rsidRPr="003245A3">
          <w:rPr>
            <w:rStyle w:val="Hypertextovprepojenie"/>
            <w:sz w:val="22"/>
            <w:szCs w:val="22"/>
          </w:rPr>
          <w:t>Interné normy SP</w:t>
        </w:r>
      </w:hyperlink>
      <w:r w:rsidR="000C520B" w:rsidRPr="003245A3">
        <w:rPr>
          <w:sz w:val="22"/>
          <w:szCs w:val="22"/>
        </w:rPr>
        <w:t xml:space="preserve"> </w:t>
      </w:r>
    </w:p>
    <w:p w:rsidR="000C520B" w:rsidRPr="003245A3" w:rsidRDefault="000C520B" w:rsidP="000C520B">
      <w:pPr>
        <w:pStyle w:val="Odsekzoznamu"/>
        <w:widowControl/>
        <w:numPr>
          <w:ilvl w:val="0"/>
          <w:numId w:val="23"/>
        </w:numPr>
        <w:autoSpaceDE/>
        <w:autoSpaceDN/>
        <w:adjustRightInd/>
        <w:rPr>
          <w:rStyle w:val="Hypertextovprepojenie"/>
          <w:sz w:val="22"/>
          <w:szCs w:val="22"/>
        </w:rPr>
      </w:pPr>
      <w:r w:rsidRPr="003245A3">
        <w:rPr>
          <w:sz w:val="22"/>
          <w:szCs w:val="22"/>
        </w:rPr>
        <w:fldChar w:fldCharType="begin"/>
      </w:r>
      <w:r w:rsidRPr="003245A3">
        <w:rPr>
          <w:sz w:val="22"/>
          <w:szCs w:val="22"/>
        </w:rPr>
        <w:instrText xml:space="preserve"> HYPERLINK "http://www.nist.gov" </w:instrText>
      </w:r>
      <w:r w:rsidRPr="003245A3">
        <w:rPr>
          <w:sz w:val="22"/>
          <w:szCs w:val="22"/>
        </w:rPr>
        <w:fldChar w:fldCharType="separate"/>
      </w:r>
      <w:r w:rsidRPr="003245A3">
        <w:rPr>
          <w:rStyle w:val="Hypertextovprepojenie"/>
          <w:sz w:val="22"/>
          <w:szCs w:val="22"/>
        </w:rPr>
        <w:t>NIST</w:t>
      </w:r>
    </w:p>
    <w:p w:rsidR="000C520B" w:rsidRPr="003245A3" w:rsidRDefault="000C520B" w:rsidP="000C520B">
      <w:pPr>
        <w:pStyle w:val="Odsekzoznamu"/>
        <w:widowControl/>
        <w:numPr>
          <w:ilvl w:val="0"/>
          <w:numId w:val="23"/>
        </w:numPr>
        <w:autoSpaceDE/>
        <w:autoSpaceDN/>
        <w:adjustRightInd/>
        <w:rPr>
          <w:sz w:val="22"/>
          <w:szCs w:val="22"/>
        </w:rPr>
      </w:pPr>
      <w:r w:rsidRPr="003245A3">
        <w:rPr>
          <w:sz w:val="22"/>
          <w:szCs w:val="22"/>
        </w:rPr>
        <w:fldChar w:fldCharType="end"/>
      </w:r>
      <w:hyperlink r:id="rId22" w:history="1">
        <w:r w:rsidRPr="003245A3">
          <w:rPr>
            <w:rStyle w:val="Hypertextovprepojenie"/>
            <w:sz w:val="22"/>
            <w:szCs w:val="22"/>
          </w:rPr>
          <w:t>NSA</w:t>
        </w:r>
      </w:hyperlink>
    </w:p>
    <w:p w:rsidR="000C520B" w:rsidRPr="003245A3" w:rsidRDefault="00EA35DE" w:rsidP="000C520B">
      <w:pPr>
        <w:pStyle w:val="Odsekzoznamu"/>
        <w:widowControl/>
        <w:numPr>
          <w:ilvl w:val="0"/>
          <w:numId w:val="23"/>
        </w:numPr>
        <w:autoSpaceDE/>
        <w:autoSpaceDN/>
        <w:adjustRightInd/>
        <w:rPr>
          <w:sz w:val="22"/>
          <w:szCs w:val="22"/>
        </w:rPr>
      </w:pPr>
      <w:hyperlink r:id="rId23" w:history="1">
        <w:r w:rsidR="000C520B" w:rsidRPr="003245A3">
          <w:rPr>
            <w:rStyle w:val="Hypertextovprepojenie"/>
            <w:sz w:val="22"/>
            <w:szCs w:val="22"/>
          </w:rPr>
          <w:t>OWASP</w:t>
        </w:r>
      </w:hyperlink>
    </w:p>
    <w:p w:rsidR="000C520B" w:rsidRPr="003245A3" w:rsidRDefault="00EA35DE" w:rsidP="000C520B">
      <w:pPr>
        <w:pStyle w:val="Odsekzoznamu"/>
        <w:widowControl/>
        <w:numPr>
          <w:ilvl w:val="0"/>
          <w:numId w:val="23"/>
        </w:numPr>
        <w:autoSpaceDE/>
        <w:autoSpaceDN/>
        <w:adjustRightInd/>
        <w:rPr>
          <w:sz w:val="22"/>
          <w:szCs w:val="22"/>
        </w:rPr>
      </w:pPr>
      <w:hyperlink r:id="rId24" w:history="1">
        <w:r w:rsidR="000C520B" w:rsidRPr="003245A3">
          <w:rPr>
            <w:rStyle w:val="Hypertextovprepojenie"/>
            <w:sz w:val="22"/>
            <w:szCs w:val="22"/>
          </w:rPr>
          <w:t>IETF</w:t>
        </w:r>
      </w:hyperlink>
    </w:p>
    <w:p w:rsidR="000C520B" w:rsidRPr="003245A3" w:rsidRDefault="00EA35DE" w:rsidP="000C520B">
      <w:pPr>
        <w:pStyle w:val="Odsekzoznamu"/>
        <w:widowControl/>
        <w:numPr>
          <w:ilvl w:val="0"/>
          <w:numId w:val="23"/>
        </w:numPr>
        <w:autoSpaceDE/>
        <w:autoSpaceDN/>
        <w:adjustRightInd/>
        <w:rPr>
          <w:sz w:val="22"/>
          <w:szCs w:val="22"/>
        </w:rPr>
      </w:pPr>
      <w:hyperlink r:id="rId25" w:history="1">
        <w:r w:rsidR="000C520B" w:rsidRPr="003245A3">
          <w:rPr>
            <w:rStyle w:val="Hypertextovprepojenie"/>
            <w:sz w:val="22"/>
            <w:szCs w:val="22"/>
          </w:rPr>
          <w:t>IAB</w:t>
        </w:r>
      </w:hyperlink>
    </w:p>
    <w:p w:rsidR="000C520B" w:rsidRPr="003245A3" w:rsidRDefault="00EA35DE" w:rsidP="000C520B">
      <w:pPr>
        <w:pStyle w:val="Odsekzoznamu"/>
        <w:widowControl/>
        <w:numPr>
          <w:ilvl w:val="0"/>
          <w:numId w:val="23"/>
        </w:numPr>
        <w:autoSpaceDE/>
        <w:autoSpaceDN/>
        <w:adjustRightInd/>
        <w:rPr>
          <w:sz w:val="22"/>
          <w:szCs w:val="22"/>
        </w:rPr>
      </w:pPr>
      <w:hyperlink r:id="rId26" w:history="1">
        <w:r w:rsidR="000C520B" w:rsidRPr="003245A3">
          <w:rPr>
            <w:rStyle w:val="Hypertextovprepojenie"/>
            <w:sz w:val="22"/>
            <w:szCs w:val="22"/>
          </w:rPr>
          <w:t>RFC</w:t>
        </w:r>
      </w:hyperlink>
    </w:p>
    <w:p w:rsidR="000C520B" w:rsidRPr="003245A3" w:rsidRDefault="000C520B" w:rsidP="000C520B">
      <w:pPr>
        <w:pStyle w:val="Odsekzoznamu"/>
        <w:widowControl/>
        <w:numPr>
          <w:ilvl w:val="0"/>
          <w:numId w:val="24"/>
        </w:numPr>
        <w:autoSpaceDE/>
        <w:autoSpaceDN/>
        <w:adjustRightInd/>
        <w:jc w:val="both"/>
        <w:rPr>
          <w:sz w:val="22"/>
          <w:szCs w:val="22"/>
        </w:rPr>
      </w:pPr>
      <w:r w:rsidRPr="003245A3">
        <w:rPr>
          <w:sz w:val="22"/>
          <w:szCs w:val="22"/>
        </w:rPr>
        <w:t xml:space="preserve">Zákon č. </w:t>
      </w:r>
      <w:r w:rsidRPr="003245A3">
        <w:rPr>
          <w:b/>
          <w:sz w:val="22"/>
          <w:szCs w:val="22"/>
        </w:rPr>
        <w:t>395/2002</w:t>
      </w:r>
      <w:r w:rsidRPr="003245A3">
        <w:rPr>
          <w:sz w:val="22"/>
          <w:szCs w:val="22"/>
        </w:rPr>
        <w:t xml:space="preserve"> Z. z. o archívoch a registratúrach a o doplnení niektorých zákonov v znení neskorších predpisov</w:t>
      </w:r>
    </w:p>
    <w:p w:rsidR="000C520B" w:rsidRPr="003245A3" w:rsidRDefault="000C520B" w:rsidP="000C520B">
      <w:pPr>
        <w:pStyle w:val="Odsekzoznamu"/>
        <w:widowControl/>
        <w:numPr>
          <w:ilvl w:val="0"/>
          <w:numId w:val="24"/>
        </w:numPr>
        <w:autoSpaceDE/>
        <w:autoSpaceDN/>
        <w:adjustRightInd/>
        <w:jc w:val="both"/>
        <w:rPr>
          <w:sz w:val="22"/>
          <w:szCs w:val="22"/>
        </w:rPr>
      </w:pPr>
      <w:r w:rsidRPr="003245A3">
        <w:rPr>
          <w:sz w:val="22"/>
          <w:szCs w:val="22"/>
        </w:rPr>
        <w:t xml:space="preserve">Zákon č. </w:t>
      </w:r>
      <w:r w:rsidRPr="003245A3">
        <w:rPr>
          <w:b/>
          <w:sz w:val="22"/>
          <w:szCs w:val="22"/>
        </w:rPr>
        <w:t>461/2003</w:t>
      </w:r>
      <w:r w:rsidRPr="003245A3">
        <w:rPr>
          <w:sz w:val="22"/>
          <w:szCs w:val="22"/>
        </w:rPr>
        <w:t xml:space="preserve"> Z. z. o sociálnom poistení v znení neskorších predpisov</w:t>
      </w:r>
    </w:p>
    <w:p w:rsidR="000C520B" w:rsidRPr="003245A3" w:rsidRDefault="000C520B" w:rsidP="000C520B">
      <w:pPr>
        <w:pStyle w:val="Odsekzoznamu"/>
        <w:widowControl/>
        <w:numPr>
          <w:ilvl w:val="0"/>
          <w:numId w:val="24"/>
        </w:numPr>
        <w:autoSpaceDE/>
        <w:autoSpaceDN/>
        <w:adjustRightInd/>
        <w:jc w:val="both"/>
        <w:rPr>
          <w:sz w:val="22"/>
          <w:szCs w:val="22"/>
        </w:rPr>
      </w:pPr>
      <w:r w:rsidRPr="003245A3">
        <w:rPr>
          <w:sz w:val="22"/>
          <w:szCs w:val="22"/>
        </w:rPr>
        <w:t xml:space="preserve">Zákon č. </w:t>
      </w:r>
      <w:r w:rsidRPr="003245A3">
        <w:rPr>
          <w:b/>
          <w:sz w:val="22"/>
          <w:szCs w:val="22"/>
        </w:rPr>
        <w:t>215/2004</w:t>
      </w:r>
      <w:r w:rsidRPr="003245A3">
        <w:rPr>
          <w:sz w:val="22"/>
          <w:szCs w:val="22"/>
        </w:rPr>
        <w:t xml:space="preserve"> Z. z. o ochrane utajovaných skutočností a o zmene a doplnení niektorých zákonov v znení neskorších predpisov</w:t>
      </w:r>
    </w:p>
    <w:p w:rsidR="000C520B" w:rsidRPr="003245A3" w:rsidRDefault="000C520B" w:rsidP="000C520B">
      <w:pPr>
        <w:pStyle w:val="Odsekzoznamu"/>
        <w:widowControl/>
        <w:numPr>
          <w:ilvl w:val="0"/>
          <w:numId w:val="24"/>
        </w:numPr>
        <w:autoSpaceDE/>
        <w:autoSpaceDN/>
        <w:adjustRightInd/>
        <w:jc w:val="both"/>
        <w:rPr>
          <w:sz w:val="22"/>
          <w:szCs w:val="22"/>
        </w:rPr>
      </w:pPr>
      <w:r w:rsidRPr="003245A3">
        <w:rPr>
          <w:sz w:val="22"/>
          <w:szCs w:val="22"/>
        </w:rPr>
        <w:t xml:space="preserve">Trestný zákon č. </w:t>
      </w:r>
      <w:r w:rsidRPr="003245A3">
        <w:rPr>
          <w:b/>
          <w:sz w:val="22"/>
          <w:szCs w:val="22"/>
        </w:rPr>
        <w:t>300/2005</w:t>
      </w:r>
      <w:r w:rsidRPr="003245A3">
        <w:rPr>
          <w:sz w:val="22"/>
          <w:szCs w:val="22"/>
        </w:rPr>
        <w:t xml:space="preserve"> Z. z. (trestné činy páchané pomocou elektronických prostriedkov a v elektronickom prostredí) v znení neskorších predpisov</w:t>
      </w:r>
    </w:p>
    <w:p w:rsidR="000C520B" w:rsidRPr="003245A3" w:rsidRDefault="000C520B" w:rsidP="000C520B">
      <w:pPr>
        <w:pStyle w:val="Odsekzoznamu"/>
        <w:widowControl/>
        <w:numPr>
          <w:ilvl w:val="0"/>
          <w:numId w:val="24"/>
        </w:numPr>
        <w:autoSpaceDE/>
        <w:autoSpaceDN/>
        <w:adjustRightInd/>
        <w:jc w:val="both"/>
        <w:rPr>
          <w:sz w:val="22"/>
          <w:szCs w:val="22"/>
        </w:rPr>
      </w:pPr>
      <w:r w:rsidRPr="003245A3">
        <w:rPr>
          <w:sz w:val="22"/>
          <w:szCs w:val="22"/>
        </w:rPr>
        <w:t xml:space="preserve">Zákon č. </w:t>
      </w:r>
      <w:r w:rsidRPr="003245A3">
        <w:rPr>
          <w:b/>
          <w:sz w:val="22"/>
          <w:szCs w:val="22"/>
        </w:rPr>
        <w:t>45/2011</w:t>
      </w:r>
      <w:r w:rsidRPr="003245A3">
        <w:rPr>
          <w:sz w:val="22"/>
          <w:szCs w:val="22"/>
        </w:rPr>
        <w:t xml:space="preserve"> Z. z. o kritickej infraštruktúre v znení neskorších predpisov</w:t>
      </w:r>
    </w:p>
    <w:p w:rsidR="000C520B" w:rsidRPr="003245A3" w:rsidRDefault="000C520B" w:rsidP="000C520B">
      <w:pPr>
        <w:pStyle w:val="Odsekzoznamu"/>
        <w:widowControl/>
        <w:numPr>
          <w:ilvl w:val="0"/>
          <w:numId w:val="24"/>
        </w:numPr>
        <w:autoSpaceDE/>
        <w:autoSpaceDN/>
        <w:adjustRightInd/>
        <w:spacing w:after="160"/>
        <w:jc w:val="both"/>
        <w:rPr>
          <w:sz w:val="22"/>
          <w:szCs w:val="22"/>
        </w:rPr>
      </w:pPr>
      <w:r w:rsidRPr="003245A3">
        <w:rPr>
          <w:sz w:val="22"/>
          <w:szCs w:val="22"/>
        </w:rPr>
        <w:t xml:space="preserve">Zákon č. </w:t>
      </w:r>
      <w:r w:rsidRPr="003245A3">
        <w:rPr>
          <w:b/>
          <w:sz w:val="22"/>
          <w:szCs w:val="22"/>
        </w:rPr>
        <w:t>305/2013</w:t>
      </w:r>
      <w:r w:rsidRPr="003245A3">
        <w:rPr>
          <w:sz w:val="22"/>
          <w:szCs w:val="22"/>
        </w:rPr>
        <w:t xml:space="preserve"> Z. z. o elektronickej podobe výkonu pôsobnosti orgánov verejnej moci a o zmene a doplnení niektorých zákonov (zákon o e-Governmente) v znení neskorších predpisov</w:t>
      </w:r>
    </w:p>
    <w:p w:rsidR="000C520B" w:rsidRPr="003245A3" w:rsidRDefault="000C520B" w:rsidP="000C520B">
      <w:pPr>
        <w:pStyle w:val="Odsekzoznamu"/>
        <w:widowControl/>
        <w:numPr>
          <w:ilvl w:val="0"/>
          <w:numId w:val="24"/>
        </w:numPr>
        <w:autoSpaceDE/>
        <w:autoSpaceDN/>
        <w:adjustRightInd/>
        <w:jc w:val="both"/>
        <w:rPr>
          <w:sz w:val="22"/>
          <w:szCs w:val="22"/>
        </w:rPr>
      </w:pPr>
      <w:r w:rsidRPr="003245A3">
        <w:rPr>
          <w:sz w:val="22"/>
          <w:szCs w:val="22"/>
        </w:rPr>
        <w:t xml:space="preserve">Zákon č. </w:t>
      </w:r>
      <w:r w:rsidRPr="003245A3">
        <w:rPr>
          <w:b/>
          <w:sz w:val="22"/>
          <w:szCs w:val="22"/>
        </w:rPr>
        <w:t>272/2016</w:t>
      </w:r>
      <w:r w:rsidRPr="003245A3">
        <w:rPr>
          <w:sz w:val="22"/>
          <w:szCs w:val="22"/>
        </w:rPr>
        <w:t xml:space="preserve"> Z. z. o dôveryhodných službách pre elektronické transakcie na vnútornom trhu a o zmene a doplnení niektorých zákonov (zákon o dôveryhodných službách) v znení neskorších predpisov</w:t>
      </w:r>
    </w:p>
    <w:p w:rsidR="000C520B" w:rsidRPr="003245A3" w:rsidRDefault="000C520B" w:rsidP="000C520B">
      <w:pPr>
        <w:pStyle w:val="Odsekzoznamu"/>
        <w:widowControl/>
        <w:numPr>
          <w:ilvl w:val="0"/>
          <w:numId w:val="24"/>
        </w:numPr>
        <w:autoSpaceDE/>
        <w:autoSpaceDN/>
        <w:adjustRightInd/>
        <w:jc w:val="both"/>
        <w:rPr>
          <w:sz w:val="22"/>
          <w:szCs w:val="22"/>
        </w:rPr>
      </w:pPr>
      <w:r w:rsidRPr="003245A3">
        <w:rPr>
          <w:sz w:val="22"/>
          <w:szCs w:val="22"/>
        </w:rPr>
        <w:t xml:space="preserve">Zákon č. </w:t>
      </w:r>
      <w:r w:rsidRPr="003245A3">
        <w:rPr>
          <w:b/>
          <w:sz w:val="22"/>
          <w:szCs w:val="22"/>
        </w:rPr>
        <w:t>18/2018</w:t>
      </w:r>
      <w:r w:rsidRPr="003245A3">
        <w:rPr>
          <w:sz w:val="22"/>
          <w:szCs w:val="22"/>
        </w:rPr>
        <w:t xml:space="preserve"> Z. z. o ochrane osobných údajov a o zmene a doplnení niektorých zákonov v znení neskorších predpisov a odporúčacích opatrení (zákon o ochrane osobných údajov)</w:t>
      </w:r>
    </w:p>
    <w:p w:rsidR="000C520B" w:rsidRPr="003245A3" w:rsidRDefault="000C520B" w:rsidP="000C520B">
      <w:pPr>
        <w:pStyle w:val="Odsekzoznamu"/>
        <w:widowControl/>
        <w:numPr>
          <w:ilvl w:val="0"/>
          <w:numId w:val="24"/>
        </w:numPr>
        <w:autoSpaceDE/>
        <w:autoSpaceDN/>
        <w:adjustRightInd/>
        <w:jc w:val="both"/>
        <w:rPr>
          <w:sz w:val="22"/>
          <w:szCs w:val="22"/>
        </w:rPr>
      </w:pPr>
      <w:r w:rsidRPr="003245A3">
        <w:rPr>
          <w:sz w:val="22"/>
          <w:szCs w:val="22"/>
        </w:rPr>
        <w:t xml:space="preserve">Zákon č. </w:t>
      </w:r>
      <w:r w:rsidRPr="003245A3">
        <w:rPr>
          <w:b/>
          <w:sz w:val="22"/>
          <w:szCs w:val="22"/>
        </w:rPr>
        <w:t>69/2018</w:t>
      </w:r>
      <w:r w:rsidRPr="003245A3">
        <w:rPr>
          <w:sz w:val="22"/>
          <w:szCs w:val="22"/>
        </w:rPr>
        <w:t xml:space="preserve"> Z. z. o kybernetickej bezpečnosti a o zmene a doplnení niektorých zákonov v znení neskorších predpisov</w:t>
      </w:r>
    </w:p>
    <w:p w:rsidR="000C520B" w:rsidRPr="003245A3" w:rsidRDefault="000C520B" w:rsidP="000C520B">
      <w:pPr>
        <w:pStyle w:val="Odsekzoznamu"/>
        <w:widowControl/>
        <w:numPr>
          <w:ilvl w:val="0"/>
          <w:numId w:val="24"/>
        </w:numPr>
        <w:autoSpaceDE/>
        <w:autoSpaceDN/>
        <w:adjustRightInd/>
        <w:jc w:val="both"/>
        <w:rPr>
          <w:sz w:val="22"/>
          <w:szCs w:val="22"/>
        </w:rPr>
      </w:pPr>
      <w:r w:rsidRPr="003245A3">
        <w:rPr>
          <w:sz w:val="22"/>
          <w:szCs w:val="22"/>
        </w:rPr>
        <w:t xml:space="preserve">Zákon č. </w:t>
      </w:r>
      <w:r w:rsidRPr="003245A3">
        <w:rPr>
          <w:b/>
          <w:sz w:val="22"/>
          <w:szCs w:val="22"/>
        </w:rPr>
        <w:t>95/2019</w:t>
      </w:r>
      <w:r w:rsidRPr="003245A3">
        <w:rPr>
          <w:sz w:val="22"/>
          <w:szCs w:val="22"/>
        </w:rPr>
        <w:t xml:space="preserve"> Z. z. o informačných technológiách vo verejnej správe a o zmene a doplnení niektorých zákonov v znení neskorších predpisov</w:t>
      </w:r>
    </w:p>
    <w:p w:rsidR="000C520B" w:rsidRPr="003245A3" w:rsidRDefault="000C520B" w:rsidP="000C520B">
      <w:pPr>
        <w:pStyle w:val="Odsekzoznamu"/>
        <w:widowControl/>
        <w:numPr>
          <w:ilvl w:val="0"/>
          <w:numId w:val="24"/>
        </w:numPr>
        <w:autoSpaceDE/>
        <w:autoSpaceDN/>
        <w:adjustRightInd/>
        <w:jc w:val="both"/>
        <w:rPr>
          <w:sz w:val="22"/>
          <w:szCs w:val="22"/>
        </w:rPr>
      </w:pPr>
      <w:r w:rsidRPr="003245A3">
        <w:rPr>
          <w:sz w:val="22"/>
          <w:szCs w:val="22"/>
        </w:rPr>
        <w:t xml:space="preserve">Zákon č. </w:t>
      </w:r>
      <w:r w:rsidRPr="003245A3">
        <w:rPr>
          <w:b/>
          <w:sz w:val="22"/>
          <w:szCs w:val="22"/>
        </w:rPr>
        <w:t>452/2021</w:t>
      </w:r>
      <w:r w:rsidRPr="003245A3">
        <w:rPr>
          <w:sz w:val="22"/>
          <w:szCs w:val="22"/>
        </w:rPr>
        <w:t xml:space="preserve"> Z. z. o elektronických komunikáciách v znení neskorších predpisov (ochrana súkromia a osobných údajov, ochrana sietí a zariadení)</w:t>
      </w:r>
    </w:p>
    <w:p w:rsidR="000C520B" w:rsidRPr="003245A3" w:rsidRDefault="000C520B" w:rsidP="000C520B">
      <w:pPr>
        <w:pStyle w:val="Odsekzoznamu"/>
        <w:widowControl/>
        <w:numPr>
          <w:ilvl w:val="0"/>
          <w:numId w:val="23"/>
        </w:numPr>
        <w:autoSpaceDE/>
        <w:autoSpaceDN/>
        <w:adjustRightInd/>
        <w:jc w:val="both"/>
        <w:rPr>
          <w:sz w:val="22"/>
          <w:szCs w:val="22"/>
        </w:rPr>
      </w:pPr>
      <w:r w:rsidRPr="003245A3">
        <w:rPr>
          <w:sz w:val="22"/>
          <w:szCs w:val="22"/>
        </w:rPr>
        <w:t xml:space="preserve">Vyhláška Úradu podpredsedu vlády Slovenskej republiky pre investície a informatizáciu č. </w:t>
      </w:r>
      <w:r w:rsidRPr="003245A3">
        <w:rPr>
          <w:b/>
          <w:sz w:val="22"/>
          <w:szCs w:val="22"/>
        </w:rPr>
        <w:t>401/2023</w:t>
      </w:r>
      <w:r w:rsidRPr="003245A3">
        <w:rPr>
          <w:sz w:val="22"/>
          <w:szCs w:val="22"/>
        </w:rPr>
        <w:t xml:space="preserve"> Z. z. o riadení projektov a zmenových požiadaviek v prevádzke informačných technológií verejnej správy</w:t>
      </w:r>
    </w:p>
    <w:p w:rsidR="000C520B" w:rsidRPr="003245A3" w:rsidRDefault="000C520B" w:rsidP="000C520B">
      <w:pPr>
        <w:pStyle w:val="Odsekzoznamu"/>
        <w:widowControl/>
        <w:numPr>
          <w:ilvl w:val="0"/>
          <w:numId w:val="23"/>
        </w:numPr>
        <w:autoSpaceDE/>
        <w:autoSpaceDN/>
        <w:adjustRightInd/>
        <w:jc w:val="both"/>
        <w:rPr>
          <w:sz w:val="22"/>
          <w:szCs w:val="22"/>
        </w:rPr>
      </w:pPr>
      <w:r w:rsidRPr="003245A3">
        <w:rPr>
          <w:sz w:val="22"/>
          <w:szCs w:val="22"/>
        </w:rPr>
        <w:t xml:space="preserve">Vyhláška Úradu podpredsedu vlády Slovenskej republiky pre investície a informatizáciu  č. </w:t>
      </w:r>
      <w:r w:rsidRPr="003245A3">
        <w:rPr>
          <w:b/>
          <w:sz w:val="22"/>
          <w:szCs w:val="22"/>
        </w:rPr>
        <w:t xml:space="preserve">179/2020 </w:t>
      </w:r>
      <w:r w:rsidRPr="003245A3">
        <w:rPr>
          <w:sz w:val="22"/>
          <w:szCs w:val="22"/>
        </w:rPr>
        <w:t>Z. z.</w:t>
      </w:r>
      <w:r w:rsidRPr="003245A3">
        <w:rPr>
          <w:b/>
          <w:sz w:val="22"/>
          <w:szCs w:val="22"/>
        </w:rPr>
        <w:t xml:space="preserve"> </w:t>
      </w:r>
      <w:r w:rsidRPr="003245A3">
        <w:rPr>
          <w:sz w:val="22"/>
          <w:szCs w:val="22"/>
        </w:rPr>
        <w:t xml:space="preserve">ktorou sa ustanovuje spôsob kategorizácie a obsah bezpečnostných opatrení informačných technológií verejnej správy, </w:t>
      </w:r>
    </w:p>
    <w:p w:rsidR="000C520B" w:rsidRPr="003245A3" w:rsidRDefault="000C520B" w:rsidP="000C520B">
      <w:pPr>
        <w:pStyle w:val="Odsekzoznamu"/>
        <w:widowControl/>
        <w:numPr>
          <w:ilvl w:val="0"/>
          <w:numId w:val="23"/>
        </w:numPr>
        <w:autoSpaceDE/>
        <w:autoSpaceDN/>
        <w:adjustRightInd/>
        <w:jc w:val="both"/>
        <w:rPr>
          <w:sz w:val="22"/>
          <w:szCs w:val="22"/>
        </w:rPr>
      </w:pPr>
      <w:r w:rsidRPr="003245A3">
        <w:rPr>
          <w:sz w:val="22"/>
          <w:szCs w:val="22"/>
        </w:rPr>
        <w:t xml:space="preserve">Vyhláška Úradu podpredsedu vlády Slovenskej republiky pre investície a informatizáciu  č. </w:t>
      </w:r>
      <w:r w:rsidRPr="003245A3">
        <w:rPr>
          <w:b/>
          <w:sz w:val="22"/>
          <w:szCs w:val="22"/>
        </w:rPr>
        <w:t>78/2020</w:t>
      </w:r>
      <w:r w:rsidRPr="003245A3">
        <w:rPr>
          <w:sz w:val="22"/>
          <w:szCs w:val="22"/>
        </w:rPr>
        <w:t xml:space="preserve"> Z. z. o štandardoch pre informačné technológie verejnej správy v znení neskorších predpisov</w:t>
      </w:r>
    </w:p>
    <w:p w:rsidR="000C520B" w:rsidRDefault="000C520B" w:rsidP="000C520B">
      <w:pPr>
        <w:pStyle w:val="Odsekzoznamu"/>
        <w:widowControl/>
        <w:numPr>
          <w:ilvl w:val="0"/>
          <w:numId w:val="23"/>
        </w:numPr>
        <w:autoSpaceDE/>
        <w:autoSpaceDN/>
        <w:adjustRightInd/>
        <w:jc w:val="both"/>
        <w:rPr>
          <w:sz w:val="22"/>
          <w:szCs w:val="22"/>
        </w:rPr>
      </w:pPr>
      <w:r w:rsidRPr="003245A3">
        <w:rPr>
          <w:sz w:val="22"/>
          <w:szCs w:val="22"/>
        </w:rPr>
        <w:t xml:space="preserve">Vyhláška Ministerstva investícií, regionálneho rozvoja a informatizácie Slovenskej republiky č. </w:t>
      </w:r>
      <w:r w:rsidRPr="003245A3">
        <w:rPr>
          <w:b/>
          <w:sz w:val="22"/>
          <w:szCs w:val="22"/>
        </w:rPr>
        <w:t>85/2018</w:t>
      </w:r>
      <w:r w:rsidRPr="003245A3">
        <w:rPr>
          <w:sz w:val="22"/>
          <w:szCs w:val="22"/>
        </w:rPr>
        <w:t xml:space="preserve"> Z. z., ktorou sa ustanovujú podrobnosti o spôsobe vyhotovenia a náležitostiach listinného rovnopisu elektronického úradného dokumentu</w:t>
      </w:r>
    </w:p>
    <w:p w:rsidR="000C520B" w:rsidRPr="000C520B" w:rsidRDefault="000C520B" w:rsidP="000C520B">
      <w:pPr>
        <w:widowControl/>
        <w:autoSpaceDE/>
        <w:autoSpaceDN/>
        <w:adjustRightInd/>
        <w:jc w:val="both"/>
        <w:rPr>
          <w:sz w:val="22"/>
          <w:szCs w:val="22"/>
        </w:rPr>
      </w:pPr>
    </w:p>
    <w:p w:rsidR="000C520B" w:rsidRPr="003245A3" w:rsidRDefault="000C520B" w:rsidP="000C520B">
      <w:pPr>
        <w:pStyle w:val="Odsekzoznamu"/>
        <w:widowControl/>
        <w:numPr>
          <w:ilvl w:val="0"/>
          <w:numId w:val="23"/>
        </w:numPr>
        <w:autoSpaceDE/>
        <w:autoSpaceDN/>
        <w:adjustRightInd/>
        <w:jc w:val="both"/>
        <w:rPr>
          <w:sz w:val="22"/>
          <w:szCs w:val="22"/>
        </w:rPr>
      </w:pPr>
      <w:r w:rsidRPr="003245A3">
        <w:rPr>
          <w:sz w:val="22"/>
          <w:szCs w:val="22"/>
        </w:rPr>
        <w:t xml:space="preserve">Vyhláška Ministerstva investícií, regionálnej rozvoja a informatizácie Slovenskej republiky č. </w:t>
      </w:r>
      <w:r w:rsidRPr="003245A3">
        <w:rPr>
          <w:b/>
          <w:sz w:val="22"/>
          <w:szCs w:val="22"/>
        </w:rPr>
        <w:t>335/2023</w:t>
      </w:r>
      <w:r w:rsidRPr="003245A3">
        <w:rPr>
          <w:sz w:val="22"/>
          <w:szCs w:val="22"/>
        </w:rPr>
        <w:t xml:space="preserve"> Z. z., ktorou sa vykonávajú niektoré ustanovenia zákona o e-Governmente</w:t>
      </w:r>
    </w:p>
    <w:p w:rsidR="000C520B" w:rsidRPr="003245A3" w:rsidRDefault="000C520B" w:rsidP="000C520B">
      <w:pPr>
        <w:pStyle w:val="Odsekzoznamu"/>
        <w:widowControl/>
        <w:numPr>
          <w:ilvl w:val="0"/>
          <w:numId w:val="23"/>
        </w:numPr>
        <w:autoSpaceDE/>
        <w:autoSpaceDN/>
        <w:adjustRightInd/>
        <w:jc w:val="both"/>
        <w:rPr>
          <w:sz w:val="22"/>
          <w:szCs w:val="22"/>
        </w:rPr>
      </w:pPr>
      <w:r w:rsidRPr="003245A3">
        <w:rPr>
          <w:sz w:val="22"/>
          <w:szCs w:val="22"/>
        </w:rPr>
        <w:t xml:space="preserve">Vyhláška Ministerstva investícií, regionálneho rozvoja a informatizácie Slovenskej republiky č. </w:t>
      </w:r>
      <w:r w:rsidRPr="003245A3">
        <w:rPr>
          <w:b/>
          <w:sz w:val="22"/>
          <w:szCs w:val="22"/>
        </w:rPr>
        <w:t>70/2021</w:t>
      </w:r>
      <w:r w:rsidRPr="003245A3">
        <w:rPr>
          <w:sz w:val="22"/>
          <w:szCs w:val="22"/>
        </w:rPr>
        <w:t xml:space="preserve"> Z. z. o zaručenej konverzii v znení neskorších predpisov</w:t>
      </w:r>
    </w:p>
    <w:p w:rsidR="000C520B" w:rsidRPr="003245A3" w:rsidRDefault="000C520B" w:rsidP="000C520B">
      <w:pPr>
        <w:pStyle w:val="Odsekzoznamu"/>
        <w:widowControl/>
        <w:numPr>
          <w:ilvl w:val="0"/>
          <w:numId w:val="23"/>
        </w:numPr>
        <w:autoSpaceDE/>
        <w:autoSpaceDN/>
        <w:adjustRightInd/>
        <w:jc w:val="both"/>
        <w:rPr>
          <w:sz w:val="22"/>
          <w:szCs w:val="22"/>
        </w:rPr>
      </w:pPr>
      <w:r w:rsidRPr="003245A3">
        <w:rPr>
          <w:sz w:val="22"/>
          <w:szCs w:val="22"/>
        </w:rPr>
        <w:t xml:space="preserve">Vyhláška Ministerstva investícií, regionálneho rozvoja a informatizácie Slovenskej republiky č. </w:t>
      </w:r>
      <w:r w:rsidRPr="003245A3">
        <w:rPr>
          <w:b/>
          <w:sz w:val="22"/>
          <w:szCs w:val="22"/>
        </w:rPr>
        <w:t>547/2021</w:t>
      </w:r>
      <w:r w:rsidRPr="003245A3">
        <w:rPr>
          <w:sz w:val="22"/>
          <w:szCs w:val="22"/>
        </w:rPr>
        <w:t xml:space="preserve"> Z. z. o elektronizácii agendy verejnej správy</w:t>
      </w:r>
    </w:p>
    <w:p w:rsidR="000C520B" w:rsidRPr="003245A3" w:rsidRDefault="000C520B" w:rsidP="000C520B">
      <w:pPr>
        <w:pStyle w:val="Odsekzoznamu"/>
        <w:widowControl/>
        <w:numPr>
          <w:ilvl w:val="0"/>
          <w:numId w:val="23"/>
        </w:numPr>
        <w:autoSpaceDE/>
        <w:autoSpaceDN/>
        <w:adjustRightInd/>
        <w:jc w:val="both"/>
        <w:rPr>
          <w:sz w:val="22"/>
          <w:szCs w:val="22"/>
        </w:rPr>
      </w:pPr>
      <w:r w:rsidRPr="003245A3">
        <w:rPr>
          <w:sz w:val="22"/>
          <w:szCs w:val="22"/>
        </w:rPr>
        <w:t xml:space="preserve">Vyhláška Národného bezpečnostného úradu č. </w:t>
      </w:r>
      <w:r w:rsidRPr="003245A3">
        <w:rPr>
          <w:b/>
          <w:sz w:val="22"/>
          <w:szCs w:val="22"/>
        </w:rPr>
        <w:t>164/2018</w:t>
      </w:r>
      <w:r w:rsidRPr="003245A3">
        <w:rPr>
          <w:sz w:val="22"/>
          <w:szCs w:val="22"/>
        </w:rPr>
        <w:t xml:space="preserve"> Z. z., ktorou sa určujú identifikačné kritériá prevádzkovanej služby (kritériá základnej služby)</w:t>
      </w:r>
    </w:p>
    <w:p w:rsidR="000C520B" w:rsidRPr="003245A3" w:rsidRDefault="000C520B" w:rsidP="000C520B">
      <w:pPr>
        <w:pStyle w:val="Odsekzoznamu"/>
        <w:widowControl/>
        <w:numPr>
          <w:ilvl w:val="0"/>
          <w:numId w:val="23"/>
        </w:numPr>
        <w:autoSpaceDE/>
        <w:autoSpaceDN/>
        <w:adjustRightInd/>
        <w:jc w:val="both"/>
        <w:rPr>
          <w:sz w:val="22"/>
          <w:szCs w:val="22"/>
        </w:rPr>
      </w:pPr>
      <w:r w:rsidRPr="003245A3">
        <w:rPr>
          <w:sz w:val="22"/>
          <w:szCs w:val="22"/>
        </w:rPr>
        <w:t xml:space="preserve">Vyhláška Národného bezpečnostného úradu č. </w:t>
      </w:r>
      <w:r w:rsidRPr="003245A3">
        <w:rPr>
          <w:b/>
          <w:sz w:val="22"/>
          <w:szCs w:val="22"/>
        </w:rPr>
        <w:t>165/2018</w:t>
      </w:r>
      <w:r w:rsidRPr="003245A3">
        <w:rPr>
          <w:sz w:val="22"/>
          <w:szCs w:val="22"/>
        </w:rPr>
        <w:t xml:space="preserve"> Z. z., ktorou sa určujú identifikačné kritériá pre jednotlivé kategórie závažných kybernetických bezpečnostných incidentov a podrobnosti hlásenia kybernetických bezpečnostných incidentov</w:t>
      </w:r>
    </w:p>
    <w:p w:rsidR="000C520B" w:rsidRPr="003245A3" w:rsidRDefault="000C520B" w:rsidP="000C520B">
      <w:pPr>
        <w:pStyle w:val="Odsekzoznamu"/>
        <w:widowControl/>
        <w:numPr>
          <w:ilvl w:val="0"/>
          <w:numId w:val="23"/>
        </w:numPr>
        <w:autoSpaceDE/>
        <w:autoSpaceDN/>
        <w:adjustRightInd/>
        <w:jc w:val="both"/>
        <w:rPr>
          <w:sz w:val="22"/>
          <w:szCs w:val="22"/>
        </w:rPr>
      </w:pPr>
      <w:r w:rsidRPr="003245A3">
        <w:rPr>
          <w:sz w:val="22"/>
          <w:szCs w:val="22"/>
        </w:rPr>
        <w:t xml:space="preserve">Vyhláška Národného bezpečnostného úradu č. </w:t>
      </w:r>
      <w:r w:rsidRPr="003245A3">
        <w:rPr>
          <w:b/>
          <w:sz w:val="22"/>
          <w:szCs w:val="22"/>
        </w:rPr>
        <w:t>166/2018</w:t>
      </w:r>
      <w:r w:rsidRPr="003245A3">
        <w:rPr>
          <w:sz w:val="22"/>
          <w:szCs w:val="22"/>
        </w:rPr>
        <w:t xml:space="preserve"> Z. z. o podrobnostiach o technickom, technologickom a personálnom vybavení jednotky pre riešenie kybernetických bezpečnostných incidentov </w:t>
      </w:r>
    </w:p>
    <w:p w:rsidR="000C520B" w:rsidRPr="003245A3" w:rsidRDefault="000C520B" w:rsidP="000C520B">
      <w:pPr>
        <w:pStyle w:val="Odsekzoznamu"/>
        <w:widowControl/>
        <w:numPr>
          <w:ilvl w:val="0"/>
          <w:numId w:val="23"/>
        </w:numPr>
        <w:autoSpaceDE/>
        <w:autoSpaceDN/>
        <w:adjustRightInd/>
        <w:jc w:val="both"/>
        <w:rPr>
          <w:sz w:val="22"/>
          <w:szCs w:val="22"/>
        </w:rPr>
      </w:pPr>
      <w:r w:rsidRPr="003245A3">
        <w:rPr>
          <w:sz w:val="22"/>
          <w:szCs w:val="22"/>
        </w:rPr>
        <w:t xml:space="preserve">Vyhláška Národného bezpečnostného úradu č. </w:t>
      </w:r>
      <w:r w:rsidRPr="003245A3">
        <w:rPr>
          <w:b/>
          <w:sz w:val="22"/>
          <w:szCs w:val="22"/>
        </w:rPr>
        <w:t>362/2018</w:t>
      </w:r>
      <w:r w:rsidRPr="003245A3">
        <w:rPr>
          <w:sz w:val="22"/>
          <w:szCs w:val="22"/>
        </w:rPr>
        <w:t xml:space="preserve"> Z. z., ktorou sa ustanovuje obsah bezpečnostných opatrení, obsah a štruktúra bezpečnostnej dokumentácie a rozsah všeobecných bezpečnostných opatrení v znení neskorších predpisov</w:t>
      </w:r>
    </w:p>
    <w:p w:rsidR="000C520B" w:rsidRPr="003245A3" w:rsidRDefault="000C520B" w:rsidP="000C520B">
      <w:pPr>
        <w:pStyle w:val="Odsekzoznamu"/>
        <w:widowControl/>
        <w:numPr>
          <w:ilvl w:val="0"/>
          <w:numId w:val="23"/>
        </w:numPr>
        <w:autoSpaceDE/>
        <w:autoSpaceDN/>
        <w:adjustRightInd/>
        <w:jc w:val="both"/>
        <w:rPr>
          <w:sz w:val="22"/>
          <w:szCs w:val="22"/>
        </w:rPr>
      </w:pPr>
      <w:r w:rsidRPr="003245A3">
        <w:rPr>
          <w:sz w:val="22"/>
          <w:szCs w:val="22"/>
        </w:rPr>
        <w:t xml:space="preserve">Vyhláška Národného bezpečnostného úradu č. </w:t>
      </w:r>
      <w:r w:rsidRPr="003245A3">
        <w:rPr>
          <w:b/>
          <w:sz w:val="22"/>
          <w:szCs w:val="22"/>
        </w:rPr>
        <w:t>48/2019</w:t>
      </w:r>
      <w:r w:rsidRPr="003245A3">
        <w:rPr>
          <w:sz w:val="22"/>
          <w:szCs w:val="22"/>
        </w:rPr>
        <w:t xml:space="preserve"> Z. z., ktorou sa ustanovujú podrobnosti o administratívnej bezpečnosti utajovaných skutočností</w:t>
      </w:r>
    </w:p>
    <w:p w:rsidR="000C520B" w:rsidRPr="003245A3" w:rsidRDefault="000C520B" w:rsidP="000C520B">
      <w:pPr>
        <w:pStyle w:val="Odsekzoznamu"/>
        <w:widowControl/>
        <w:numPr>
          <w:ilvl w:val="0"/>
          <w:numId w:val="23"/>
        </w:numPr>
        <w:autoSpaceDE/>
        <w:autoSpaceDN/>
        <w:adjustRightInd/>
        <w:jc w:val="both"/>
        <w:rPr>
          <w:sz w:val="22"/>
          <w:szCs w:val="22"/>
        </w:rPr>
      </w:pPr>
      <w:r w:rsidRPr="003245A3">
        <w:rPr>
          <w:sz w:val="22"/>
          <w:szCs w:val="22"/>
        </w:rPr>
        <w:t xml:space="preserve">Nariadenie GDPR - Nariadenia Európskeho parlamentu a Rady (EÚ) </w:t>
      </w:r>
      <w:r w:rsidRPr="003245A3">
        <w:rPr>
          <w:b/>
          <w:sz w:val="22"/>
          <w:szCs w:val="22"/>
        </w:rPr>
        <w:t>2016/679</w:t>
      </w:r>
      <w:r w:rsidRPr="003245A3">
        <w:rPr>
          <w:sz w:val="22"/>
          <w:szCs w:val="22"/>
        </w:rPr>
        <w:t xml:space="preserve"> z 27. apríla 2016 o ochrane fyzických osôb pri spracúvaní osobných údajov a o voľnom pohybe takýchto údajov, ktorým sa zrušuje smernica 95/46/ES (všeobecné nariadenie o ochrane údajov)</w:t>
      </w:r>
    </w:p>
    <w:p w:rsidR="000C520B" w:rsidRPr="003245A3" w:rsidRDefault="000C520B" w:rsidP="000C520B">
      <w:pPr>
        <w:pStyle w:val="Odsekzoznamu"/>
        <w:widowControl/>
        <w:numPr>
          <w:ilvl w:val="0"/>
          <w:numId w:val="23"/>
        </w:numPr>
        <w:autoSpaceDE/>
        <w:autoSpaceDN/>
        <w:adjustRightInd/>
        <w:jc w:val="both"/>
        <w:rPr>
          <w:sz w:val="22"/>
          <w:szCs w:val="22"/>
        </w:rPr>
      </w:pPr>
      <w:r w:rsidRPr="003245A3">
        <w:rPr>
          <w:sz w:val="22"/>
          <w:szCs w:val="22"/>
        </w:rPr>
        <w:t xml:space="preserve">Nariadenie Európskeho parlamentu a Rady (EÚ) </w:t>
      </w:r>
      <w:r w:rsidRPr="003245A3">
        <w:rPr>
          <w:b/>
          <w:sz w:val="22"/>
          <w:szCs w:val="22"/>
        </w:rPr>
        <w:t>2018/1725</w:t>
      </w:r>
      <w:r w:rsidRPr="003245A3">
        <w:rPr>
          <w:sz w:val="22"/>
          <w:szCs w:val="22"/>
        </w:rPr>
        <w:t xml:space="preserve"> z 23. októbra 2018 o ochrane fyzických osôb pri spracúvaní osobných údajov inštitúciami, orgánmi, úradmi a agentúrami Únie a o voľnom pohybe takýchto údajov, ktorým sa zrušuje nariadenie (ES) č. 45/2001 a rozhodnutie č. 1247/2002/ES</w:t>
      </w:r>
    </w:p>
    <w:p w:rsidR="000C520B" w:rsidRPr="003245A3" w:rsidRDefault="000C520B" w:rsidP="000C520B">
      <w:pPr>
        <w:pStyle w:val="Odsekzoznamu"/>
        <w:widowControl/>
        <w:numPr>
          <w:ilvl w:val="0"/>
          <w:numId w:val="23"/>
        </w:numPr>
        <w:autoSpaceDE/>
        <w:autoSpaceDN/>
        <w:adjustRightInd/>
        <w:jc w:val="both"/>
        <w:rPr>
          <w:sz w:val="22"/>
          <w:szCs w:val="22"/>
        </w:rPr>
      </w:pPr>
      <w:r w:rsidRPr="003245A3">
        <w:rPr>
          <w:sz w:val="22"/>
          <w:szCs w:val="22"/>
        </w:rPr>
        <w:t xml:space="preserve">Nariadenie Európskeho parlamentu a Rady (EÚ) </w:t>
      </w:r>
      <w:r w:rsidRPr="003245A3">
        <w:rPr>
          <w:b/>
          <w:sz w:val="22"/>
          <w:szCs w:val="22"/>
        </w:rPr>
        <w:t>2019/881</w:t>
      </w:r>
      <w:r w:rsidRPr="003245A3">
        <w:rPr>
          <w:sz w:val="22"/>
          <w:szCs w:val="22"/>
        </w:rPr>
        <w:t xml:space="preserve"> zo 17. apríla 2019 o agentúre ENISA (Agentúra Európskej únie pre kybernetickú bezpečnosť) a o certifikácii kybernetickej bezpečnosti informačných a komunikačných technológií a o zrušení nariadenia (EÚ) č. 526/2013 (akt o kybernetickej bezpečnosti)</w:t>
      </w:r>
    </w:p>
    <w:p w:rsidR="000C520B" w:rsidRPr="003245A3" w:rsidRDefault="000C520B" w:rsidP="000C520B">
      <w:pPr>
        <w:pStyle w:val="Odsekzoznamu"/>
        <w:widowControl/>
        <w:numPr>
          <w:ilvl w:val="0"/>
          <w:numId w:val="23"/>
        </w:numPr>
        <w:autoSpaceDE/>
        <w:autoSpaceDN/>
        <w:adjustRightInd/>
        <w:jc w:val="both"/>
        <w:rPr>
          <w:sz w:val="22"/>
          <w:szCs w:val="22"/>
        </w:rPr>
      </w:pPr>
      <w:r w:rsidRPr="003245A3">
        <w:rPr>
          <w:sz w:val="22"/>
          <w:szCs w:val="22"/>
        </w:rPr>
        <w:t xml:space="preserve">Smernica Európskeho parlamentu a Rady (EÚ) </w:t>
      </w:r>
      <w:r w:rsidRPr="003245A3">
        <w:rPr>
          <w:b/>
          <w:sz w:val="22"/>
          <w:szCs w:val="22"/>
        </w:rPr>
        <w:t>2016/1148</w:t>
      </w:r>
      <w:r w:rsidRPr="003245A3">
        <w:rPr>
          <w:sz w:val="22"/>
          <w:szCs w:val="22"/>
        </w:rPr>
        <w:t xml:space="preserve"> zo 6. júla 2016 o opatreniach na zabezpečenie vysokej spoločnej úrovne bezpečnosti sietí a informačných systémov v Únii</w:t>
      </w:r>
    </w:p>
    <w:p w:rsidR="000C520B" w:rsidRPr="003245A3" w:rsidRDefault="000C520B" w:rsidP="000C520B">
      <w:pPr>
        <w:pStyle w:val="Odsekzoznamu"/>
        <w:widowControl/>
        <w:numPr>
          <w:ilvl w:val="0"/>
          <w:numId w:val="23"/>
        </w:numPr>
        <w:autoSpaceDE/>
        <w:autoSpaceDN/>
        <w:adjustRightInd/>
        <w:ind w:right="101"/>
        <w:jc w:val="both"/>
        <w:rPr>
          <w:sz w:val="22"/>
          <w:szCs w:val="22"/>
        </w:rPr>
      </w:pPr>
      <w:r w:rsidRPr="003245A3">
        <w:rPr>
          <w:sz w:val="22"/>
          <w:szCs w:val="22"/>
        </w:rPr>
        <w:t xml:space="preserve">Smernica Európskeho parlamentu a Rady (EÚ) </w:t>
      </w:r>
      <w:r w:rsidRPr="003245A3">
        <w:rPr>
          <w:b/>
          <w:sz w:val="22"/>
          <w:szCs w:val="22"/>
        </w:rPr>
        <w:t>2016/2102</w:t>
      </w:r>
      <w:r w:rsidRPr="003245A3">
        <w:rPr>
          <w:sz w:val="22"/>
          <w:szCs w:val="22"/>
        </w:rPr>
        <w:t xml:space="preserve"> z 26. októbra 2016 o prístupnosti webových sídel a mobilných aplikácií subjektov verejného sektora </w:t>
      </w:r>
    </w:p>
    <w:p w:rsidR="000C520B" w:rsidRPr="003245A3" w:rsidRDefault="000C520B" w:rsidP="000C520B">
      <w:pPr>
        <w:pStyle w:val="Odsekzoznamu"/>
        <w:widowControl/>
        <w:numPr>
          <w:ilvl w:val="0"/>
          <w:numId w:val="23"/>
        </w:numPr>
        <w:autoSpaceDE/>
        <w:autoSpaceDN/>
        <w:adjustRightInd/>
        <w:ind w:right="101"/>
        <w:jc w:val="both"/>
        <w:rPr>
          <w:sz w:val="22"/>
          <w:szCs w:val="22"/>
        </w:rPr>
      </w:pPr>
      <w:r w:rsidRPr="003245A3">
        <w:rPr>
          <w:sz w:val="22"/>
          <w:szCs w:val="22"/>
        </w:rPr>
        <w:t xml:space="preserve">Smernica Európskeho parlamentu a Rady (EÚ) </w:t>
      </w:r>
      <w:r w:rsidRPr="003245A3">
        <w:rPr>
          <w:b/>
          <w:sz w:val="22"/>
          <w:szCs w:val="22"/>
        </w:rPr>
        <w:t>2019/1024</w:t>
      </w:r>
      <w:r w:rsidRPr="003245A3">
        <w:rPr>
          <w:sz w:val="22"/>
          <w:szCs w:val="22"/>
        </w:rPr>
        <w:t xml:space="preserve"> z 20. júna 2019 o otvorených dátach a opakovanom použití informácií verejného sektora</w:t>
      </w:r>
    </w:p>
    <w:p w:rsidR="000C520B" w:rsidRPr="003245A3" w:rsidRDefault="000C520B" w:rsidP="000C520B">
      <w:pPr>
        <w:pStyle w:val="Odsekzoznamu"/>
        <w:widowControl/>
        <w:numPr>
          <w:ilvl w:val="0"/>
          <w:numId w:val="23"/>
        </w:numPr>
        <w:autoSpaceDE/>
        <w:autoSpaceDN/>
        <w:adjustRightInd/>
        <w:spacing w:after="160"/>
        <w:jc w:val="both"/>
        <w:rPr>
          <w:sz w:val="22"/>
          <w:szCs w:val="22"/>
        </w:rPr>
      </w:pPr>
      <w:r w:rsidRPr="003245A3">
        <w:rPr>
          <w:sz w:val="22"/>
          <w:szCs w:val="22"/>
        </w:rPr>
        <w:t xml:space="preserve">Smernica č. </w:t>
      </w:r>
      <w:r w:rsidRPr="003245A3">
        <w:rPr>
          <w:b/>
          <w:sz w:val="22"/>
          <w:szCs w:val="22"/>
        </w:rPr>
        <w:t>7/2019</w:t>
      </w:r>
      <w:r w:rsidRPr="003245A3">
        <w:rPr>
          <w:sz w:val="22"/>
          <w:szCs w:val="22"/>
        </w:rPr>
        <w:t xml:space="preserve"> o riešení Bezpečnostných incidentov Vládnou jednotkou CSIRT</w:t>
      </w:r>
    </w:p>
    <w:p w:rsidR="000C520B" w:rsidRPr="003245A3" w:rsidRDefault="000C520B" w:rsidP="000C520B">
      <w:pPr>
        <w:pStyle w:val="Odsekzoznamu"/>
        <w:widowControl/>
        <w:numPr>
          <w:ilvl w:val="0"/>
          <w:numId w:val="23"/>
        </w:numPr>
        <w:autoSpaceDE/>
        <w:autoSpaceDN/>
        <w:adjustRightInd/>
        <w:ind w:right="101"/>
        <w:jc w:val="both"/>
        <w:rPr>
          <w:sz w:val="22"/>
          <w:szCs w:val="22"/>
        </w:rPr>
      </w:pPr>
      <w:r w:rsidRPr="003245A3">
        <w:rPr>
          <w:sz w:val="22"/>
          <w:szCs w:val="22"/>
        </w:rPr>
        <w:t xml:space="preserve">Metodika Jednotný́ dizajn manuál elektronických služieb verejnej správy - Metodické usmernenie UVSR č. 002089/2018/oLŠISVS-7 zo dňa 11.05.2018 </w:t>
      </w:r>
      <w:hyperlink r:id="rId27" w:history="1">
        <w:r w:rsidRPr="003245A3">
          <w:rPr>
            <w:rStyle w:val="Hypertextovprepojenie"/>
            <w:sz w:val="22"/>
            <w:szCs w:val="22"/>
          </w:rPr>
          <w:t>https://www.mirri.gov.sk/wp-content/uploads/2018/10/Metodicke-usmernenie-ID-SK-publikovat.pdf</w:t>
        </w:r>
      </w:hyperlink>
    </w:p>
    <w:p w:rsidR="000C520B" w:rsidRPr="003245A3" w:rsidRDefault="000C520B" w:rsidP="000C520B">
      <w:pPr>
        <w:pStyle w:val="Odsekzoznamu"/>
        <w:widowControl/>
        <w:numPr>
          <w:ilvl w:val="0"/>
          <w:numId w:val="23"/>
        </w:numPr>
        <w:autoSpaceDE/>
        <w:autoSpaceDN/>
        <w:adjustRightInd/>
        <w:ind w:right="101"/>
        <w:jc w:val="both"/>
        <w:rPr>
          <w:sz w:val="22"/>
          <w:szCs w:val="22"/>
        </w:rPr>
      </w:pPr>
      <w:r w:rsidRPr="003245A3">
        <w:rPr>
          <w:sz w:val="22"/>
          <w:szCs w:val="22"/>
        </w:rPr>
        <w:t xml:space="preserve">Metodické usmernenie pre tvorbu používateľsky kvalitných elektronických služieb verejnej správy (Číslo spisu v DKS: 004307/2019/oBI) </w:t>
      </w:r>
      <w:hyperlink r:id="rId28" w:history="1">
        <w:r w:rsidRPr="003245A3">
          <w:rPr>
            <w:rStyle w:val="Hypertextovprepojenie"/>
            <w:sz w:val="22"/>
            <w:szCs w:val="22"/>
          </w:rPr>
          <w:t>https://www.mirri.gov.sk/wp-content/uploads/2019/04/Metodicke-usmernenie-pre-tvorbu-pouzivatelsky-kvalitnych-elektronickych-sluzieb-verejnej-spravy.pdf</w:t>
        </w:r>
      </w:hyperlink>
    </w:p>
    <w:p w:rsidR="000C520B" w:rsidRPr="003245A3" w:rsidRDefault="000C520B" w:rsidP="000C520B">
      <w:pPr>
        <w:pStyle w:val="Odsekzoznamu"/>
        <w:widowControl/>
        <w:numPr>
          <w:ilvl w:val="0"/>
          <w:numId w:val="23"/>
        </w:numPr>
        <w:autoSpaceDE/>
        <w:autoSpaceDN/>
        <w:adjustRightInd/>
        <w:ind w:right="101"/>
        <w:jc w:val="both"/>
        <w:rPr>
          <w:sz w:val="22"/>
          <w:szCs w:val="22"/>
        </w:rPr>
      </w:pPr>
      <w:r w:rsidRPr="003245A3">
        <w:rPr>
          <w:sz w:val="22"/>
          <w:szCs w:val="22"/>
        </w:rPr>
        <w:t xml:space="preserve">Metodika riadenia QAMPR </w:t>
      </w:r>
    </w:p>
    <w:p w:rsidR="000C520B" w:rsidRPr="003245A3" w:rsidRDefault="00EA35DE" w:rsidP="000C520B">
      <w:pPr>
        <w:pStyle w:val="Odsekzoznamu"/>
        <w:widowControl/>
        <w:autoSpaceDE/>
        <w:autoSpaceDN/>
        <w:adjustRightInd/>
        <w:ind w:left="709"/>
        <w:rPr>
          <w:sz w:val="22"/>
          <w:szCs w:val="22"/>
        </w:rPr>
      </w:pPr>
      <w:hyperlink r:id="rId29" w:history="1">
        <w:r w:rsidR="000C520B" w:rsidRPr="003245A3">
          <w:rPr>
            <w:rStyle w:val="Hypertextovprepojenie"/>
            <w:sz w:val="22"/>
            <w:szCs w:val="22"/>
          </w:rPr>
          <w:t>https://www.mirri.gov.sk/sekcie/informatizacia/riadenie-kvality-qa/riadenie-kvality-qa/index.html</w:t>
        </w:r>
      </w:hyperlink>
    </w:p>
    <w:p w:rsidR="000C520B" w:rsidRPr="003245A3" w:rsidRDefault="000C520B" w:rsidP="000C520B">
      <w:pPr>
        <w:pStyle w:val="Odsekzoznamu"/>
        <w:widowControl/>
        <w:numPr>
          <w:ilvl w:val="0"/>
          <w:numId w:val="23"/>
        </w:numPr>
        <w:autoSpaceDE/>
        <w:autoSpaceDN/>
        <w:adjustRightInd/>
        <w:ind w:right="101"/>
        <w:jc w:val="both"/>
        <w:rPr>
          <w:sz w:val="22"/>
          <w:szCs w:val="22"/>
        </w:rPr>
      </w:pPr>
      <w:r w:rsidRPr="003245A3">
        <w:rPr>
          <w:sz w:val="22"/>
          <w:szCs w:val="22"/>
        </w:rPr>
        <w:t xml:space="preserve">Metodický pokyn k zabezpečeniu centrálneho nákupu produktov a služieb spoločnosti ORACLE v rámci Centrálnej rámcovej dohody na poskytovanie licencií a produktov ORACLE a služieb s nimi súvisiacich </w:t>
      </w:r>
      <w:hyperlink r:id="rId30" w:history="1">
        <w:r w:rsidRPr="003245A3">
          <w:rPr>
            <w:rStyle w:val="Hypertextovprepojenie"/>
            <w:sz w:val="22"/>
            <w:szCs w:val="22"/>
          </w:rPr>
          <w:t>https://www.mirri.gov.sk/wp-content/uploads/2020/02/Metodicky_pokyn_ORACLE_CRD_2019.pdf</w:t>
        </w:r>
      </w:hyperlink>
    </w:p>
    <w:p w:rsidR="000C520B" w:rsidRPr="003245A3" w:rsidRDefault="000C520B" w:rsidP="000C520B">
      <w:pPr>
        <w:pStyle w:val="Odsekzoznamu"/>
        <w:widowControl/>
        <w:numPr>
          <w:ilvl w:val="0"/>
          <w:numId w:val="23"/>
        </w:numPr>
        <w:autoSpaceDE/>
        <w:autoSpaceDN/>
        <w:adjustRightInd/>
        <w:jc w:val="both"/>
        <w:rPr>
          <w:sz w:val="22"/>
          <w:szCs w:val="22"/>
        </w:rPr>
      </w:pPr>
      <w:r w:rsidRPr="003245A3">
        <w:rPr>
          <w:sz w:val="22"/>
          <w:szCs w:val="22"/>
        </w:rPr>
        <w:lastRenderedPageBreak/>
        <w:t xml:space="preserve">Metodické usmernenie nariadeniu (GDPR) k spracúvaniu osobných údajov (prostredníctvom web stránok) v súlade s požiadavkami Nariadenia Rady EÚ č. 2016/679 z 27. apríla 2016 o ochrane fyzických osôb pri spracúvaní osobných údajov a o voľnom pohybe takýchto údajov </w:t>
      </w:r>
      <w:hyperlink r:id="rId31" w:history="1">
        <w:r w:rsidRPr="003245A3">
          <w:rPr>
            <w:rStyle w:val="Hypertextovprepojenie"/>
            <w:sz w:val="22"/>
            <w:szCs w:val="22"/>
          </w:rPr>
          <w:t>https://www.slov-lex.sk/pravne-predpisy/SK/ZZ/2018/18/20190901.html</w:t>
        </w:r>
      </w:hyperlink>
    </w:p>
    <w:p w:rsidR="000C520B" w:rsidRPr="003245A3" w:rsidRDefault="000C520B" w:rsidP="000C520B">
      <w:pPr>
        <w:pStyle w:val="Odsekzoznamu"/>
        <w:widowControl/>
        <w:numPr>
          <w:ilvl w:val="0"/>
          <w:numId w:val="23"/>
        </w:numPr>
        <w:autoSpaceDE/>
        <w:autoSpaceDN/>
        <w:adjustRightInd/>
        <w:jc w:val="both"/>
        <w:rPr>
          <w:rStyle w:val="Hypertextovprepojenie"/>
          <w:sz w:val="22"/>
          <w:szCs w:val="22"/>
        </w:rPr>
      </w:pPr>
      <w:r w:rsidRPr="003245A3">
        <w:rPr>
          <w:sz w:val="22"/>
          <w:szCs w:val="22"/>
        </w:rPr>
        <w:t xml:space="preserve">Metodika pre Systematické zabezpečenie organizácií verejnej správy v oblasti informačnej bezpečnosti (CSIRT) – aktuálne znenie </w:t>
      </w:r>
      <w:hyperlink r:id="rId32" w:history="1">
        <w:r w:rsidRPr="003245A3">
          <w:rPr>
            <w:rStyle w:val="Hypertextovprepojenie"/>
            <w:sz w:val="22"/>
            <w:szCs w:val="22"/>
          </w:rPr>
          <w:t>MetodikaZabezpeceniaIKT_v2.1.pdf (gov.sk)</w:t>
        </w:r>
      </w:hyperlink>
    </w:p>
    <w:p w:rsidR="00CA3B14" w:rsidRPr="00CA3B14" w:rsidRDefault="00CA3B14" w:rsidP="00CA3B14">
      <w:pPr>
        <w:pStyle w:val="Zkladntext"/>
        <w:kinsoku w:val="0"/>
        <w:overflowPunct w:val="0"/>
        <w:ind w:left="118" w:right="101"/>
        <w:jc w:val="both"/>
        <w:rPr>
          <w:sz w:val="22"/>
          <w:szCs w:val="22"/>
        </w:rPr>
      </w:pPr>
    </w:p>
    <w:p w:rsidR="00CA3B14" w:rsidRPr="00CA3B14" w:rsidRDefault="00CA3B14" w:rsidP="00CA3B14">
      <w:pPr>
        <w:pStyle w:val="Zkladntext"/>
        <w:kinsoku w:val="0"/>
        <w:overflowPunct w:val="0"/>
        <w:ind w:left="118" w:right="101"/>
        <w:jc w:val="both"/>
        <w:rPr>
          <w:sz w:val="22"/>
          <w:szCs w:val="22"/>
        </w:rPr>
      </w:pPr>
    </w:p>
    <w:p w:rsidR="00CA3B14" w:rsidRPr="00CA3B14" w:rsidRDefault="00CA3B14" w:rsidP="00CA3B14">
      <w:pPr>
        <w:pStyle w:val="Zkladntext"/>
        <w:kinsoku w:val="0"/>
        <w:overflowPunct w:val="0"/>
        <w:ind w:left="118" w:right="101"/>
        <w:jc w:val="both"/>
        <w:rPr>
          <w:sz w:val="22"/>
          <w:szCs w:val="22"/>
        </w:rPr>
      </w:pPr>
    </w:p>
    <w:p w:rsidR="00CA3B14" w:rsidRPr="00CA3B14" w:rsidRDefault="00CA3B14" w:rsidP="00CA3B14">
      <w:pPr>
        <w:pStyle w:val="Zkladntext"/>
        <w:kinsoku w:val="0"/>
        <w:overflowPunct w:val="0"/>
        <w:ind w:left="118" w:right="101"/>
        <w:jc w:val="both"/>
        <w:rPr>
          <w:sz w:val="22"/>
          <w:szCs w:val="22"/>
        </w:rPr>
      </w:pPr>
    </w:p>
    <w:p w:rsidR="00CA3B14" w:rsidRPr="00CA3B14" w:rsidRDefault="00CA3B14" w:rsidP="00CA3B14">
      <w:pPr>
        <w:pStyle w:val="Zkladntext"/>
        <w:kinsoku w:val="0"/>
        <w:overflowPunct w:val="0"/>
        <w:ind w:left="118" w:right="101"/>
        <w:jc w:val="both"/>
        <w:rPr>
          <w:sz w:val="22"/>
          <w:szCs w:val="22"/>
        </w:rPr>
      </w:pPr>
    </w:p>
    <w:p w:rsidR="00CA3B14" w:rsidRPr="00CA3B14" w:rsidRDefault="00CA3B14" w:rsidP="00CA3B14">
      <w:pPr>
        <w:pStyle w:val="Zkladntext"/>
        <w:kinsoku w:val="0"/>
        <w:overflowPunct w:val="0"/>
        <w:ind w:left="118" w:right="101"/>
        <w:jc w:val="both"/>
        <w:rPr>
          <w:sz w:val="22"/>
          <w:szCs w:val="22"/>
        </w:rPr>
      </w:pPr>
    </w:p>
    <w:p w:rsidR="00CA3B14" w:rsidRPr="00CA3B14" w:rsidRDefault="00CA3B14" w:rsidP="00CA3B14">
      <w:pPr>
        <w:pStyle w:val="Zkladntext"/>
        <w:kinsoku w:val="0"/>
        <w:overflowPunct w:val="0"/>
        <w:ind w:left="118" w:right="101"/>
        <w:jc w:val="both"/>
        <w:rPr>
          <w:sz w:val="22"/>
          <w:szCs w:val="22"/>
        </w:rPr>
      </w:pPr>
    </w:p>
    <w:p w:rsidR="00CA3B14" w:rsidRPr="00CA3B14" w:rsidRDefault="00CA3B14" w:rsidP="00CA3B14">
      <w:pPr>
        <w:pStyle w:val="Zkladntext"/>
        <w:kinsoku w:val="0"/>
        <w:overflowPunct w:val="0"/>
        <w:ind w:left="118" w:right="101"/>
        <w:jc w:val="both"/>
        <w:rPr>
          <w:sz w:val="22"/>
          <w:szCs w:val="22"/>
        </w:rPr>
      </w:pPr>
    </w:p>
    <w:p w:rsidR="00CA3B14" w:rsidRPr="00CA3B14" w:rsidRDefault="00CA3B14" w:rsidP="00CA3B14">
      <w:pPr>
        <w:pStyle w:val="Zkladntext"/>
        <w:kinsoku w:val="0"/>
        <w:overflowPunct w:val="0"/>
        <w:ind w:left="118" w:right="101"/>
        <w:jc w:val="both"/>
        <w:rPr>
          <w:sz w:val="22"/>
          <w:szCs w:val="22"/>
        </w:rPr>
      </w:pPr>
    </w:p>
    <w:p w:rsidR="00CA3B14" w:rsidRPr="00CA3B14" w:rsidRDefault="00CA3B14" w:rsidP="00CA3B14">
      <w:pPr>
        <w:pStyle w:val="Zkladntext"/>
        <w:kinsoku w:val="0"/>
        <w:overflowPunct w:val="0"/>
        <w:ind w:left="118" w:right="101"/>
        <w:jc w:val="both"/>
        <w:rPr>
          <w:sz w:val="22"/>
          <w:szCs w:val="22"/>
        </w:rPr>
      </w:pPr>
    </w:p>
    <w:p w:rsidR="00CA3B14" w:rsidRPr="00CA3B14" w:rsidRDefault="00CA3B14" w:rsidP="00CA3B14">
      <w:pPr>
        <w:pStyle w:val="Zkladntext"/>
        <w:kinsoku w:val="0"/>
        <w:overflowPunct w:val="0"/>
        <w:ind w:left="118" w:right="101"/>
        <w:jc w:val="both"/>
        <w:rPr>
          <w:sz w:val="22"/>
          <w:szCs w:val="22"/>
        </w:rPr>
      </w:pPr>
    </w:p>
    <w:p w:rsidR="00CA3B14" w:rsidRPr="00CA3B14" w:rsidRDefault="00CA3B14" w:rsidP="00CA3B14">
      <w:pPr>
        <w:pStyle w:val="Zkladntext"/>
        <w:kinsoku w:val="0"/>
        <w:overflowPunct w:val="0"/>
        <w:ind w:left="118" w:right="101"/>
        <w:jc w:val="both"/>
        <w:rPr>
          <w:sz w:val="22"/>
          <w:szCs w:val="22"/>
        </w:rPr>
      </w:pPr>
    </w:p>
    <w:p w:rsidR="00CA3B14" w:rsidRPr="00CA3B14" w:rsidRDefault="00CA3B14" w:rsidP="00CA3B14">
      <w:pPr>
        <w:pStyle w:val="Zkladntext"/>
        <w:kinsoku w:val="0"/>
        <w:overflowPunct w:val="0"/>
        <w:ind w:left="118" w:right="101"/>
        <w:jc w:val="both"/>
        <w:rPr>
          <w:sz w:val="22"/>
          <w:szCs w:val="22"/>
        </w:rPr>
      </w:pPr>
    </w:p>
    <w:p w:rsidR="00CA3B14" w:rsidRPr="00CA3B14" w:rsidRDefault="00CA3B14" w:rsidP="00CA3B14">
      <w:pPr>
        <w:pStyle w:val="Zkladntext"/>
        <w:kinsoku w:val="0"/>
        <w:overflowPunct w:val="0"/>
        <w:ind w:left="118" w:right="101"/>
        <w:jc w:val="both"/>
        <w:rPr>
          <w:sz w:val="22"/>
          <w:szCs w:val="22"/>
        </w:rPr>
      </w:pPr>
    </w:p>
    <w:p w:rsidR="00CA3B14" w:rsidRPr="00CA3B14" w:rsidRDefault="00CA3B14" w:rsidP="00CA3B14">
      <w:pPr>
        <w:pStyle w:val="Zkladntext"/>
        <w:kinsoku w:val="0"/>
        <w:overflowPunct w:val="0"/>
        <w:ind w:left="118" w:right="101"/>
        <w:jc w:val="both"/>
        <w:rPr>
          <w:sz w:val="22"/>
          <w:szCs w:val="22"/>
        </w:rPr>
      </w:pPr>
    </w:p>
    <w:p w:rsidR="00B44F48" w:rsidRPr="00CA3B14" w:rsidRDefault="00B44F48">
      <w:pPr>
        <w:rPr>
          <w:sz w:val="22"/>
          <w:szCs w:val="22"/>
        </w:rPr>
      </w:pPr>
      <w:bookmarkStart w:id="1" w:name="_GoBack"/>
      <w:bookmarkEnd w:id="1"/>
    </w:p>
    <w:sectPr w:rsidR="00B44F48" w:rsidRPr="00CA3B14" w:rsidSect="00365CAA">
      <w:headerReference w:type="default" r:id="rId33"/>
      <w:footerReference w:type="default" r:id="rId34"/>
      <w:headerReference w:type="first" r:id="rId3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B14" w:rsidRDefault="00CA3B14" w:rsidP="00CA3B14">
      <w:r>
        <w:separator/>
      </w:r>
    </w:p>
  </w:endnote>
  <w:endnote w:type="continuationSeparator" w:id="0">
    <w:p w:rsidR="00CA3B14" w:rsidRDefault="00CA3B14" w:rsidP="00CA3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5709791"/>
      <w:docPartObj>
        <w:docPartGallery w:val="Page Numbers (Bottom of Page)"/>
        <w:docPartUnique/>
      </w:docPartObj>
    </w:sdtPr>
    <w:sdtEndPr/>
    <w:sdtContent>
      <w:p w:rsidR="00365CAA" w:rsidRDefault="00365CA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35DE">
          <w:rPr>
            <w:noProof/>
          </w:rPr>
          <w:t>9</w:t>
        </w:r>
        <w:r>
          <w:fldChar w:fldCharType="end"/>
        </w:r>
      </w:p>
    </w:sdtContent>
  </w:sdt>
  <w:p w:rsidR="00365CAA" w:rsidRDefault="00365CA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B14" w:rsidRDefault="00CA3B14" w:rsidP="00CA3B14">
      <w:r>
        <w:separator/>
      </w:r>
    </w:p>
  </w:footnote>
  <w:footnote w:type="continuationSeparator" w:id="0">
    <w:p w:rsidR="00CA3B14" w:rsidRDefault="00CA3B14" w:rsidP="00CA3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B14" w:rsidRDefault="00CA3B14">
    <w:pPr>
      <w:pStyle w:val="Hlavika"/>
    </w:pPr>
    <w:r w:rsidRPr="00F46862">
      <w:rPr>
        <w:noProof/>
        <w:sz w:val="16"/>
      </w:rPr>
      <w:drawing>
        <wp:anchor distT="0" distB="0" distL="114300" distR="114300" simplePos="0" relativeHeight="251659264" behindDoc="0" locked="0" layoutInCell="1" allowOverlap="1" wp14:anchorId="0CF8AED0" wp14:editId="3B571736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2462530" cy="556260"/>
          <wp:effectExtent l="0" t="0" r="0" b="0"/>
          <wp:wrapSquare wrapText="bothSides"/>
          <wp:docPr id="1" name="Obrázok 1" descr="\\data\Data\AktyRiadenia\SpLogotyp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data\Data\AktyRiadenia\SpLogotyp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253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CAA" w:rsidRDefault="00365CAA">
    <w:pPr>
      <w:pStyle w:val="Hlavika"/>
    </w:pPr>
    <w:r w:rsidRPr="00F46862">
      <w:rPr>
        <w:noProof/>
        <w:sz w:val="16"/>
      </w:rPr>
      <w:drawing>
        <wp:anchor distT="0" distB="0" distL="114300" distR="114300" simplePos="0" relativeHeight="251661312" behindDoc="0" locked="0" layoutInCell="1" allowOverlap="1" wp14:anchorId="298434AF" wp14:editId="4FE5F7A3">
          <wp:simplePos x="0" y="0"/>
          <wp:positionH relativeFrom="margin">
            <wp:posOffset>-190500</wp:posOffset>
          </wp:positionH>
          <wp:positionV relativeFrom="topMargin">
            <wp:align>bottom</wp:align>
          </wp:positionV>
          <wp:extent cx="2462530" cy="556260"/>
          <wp:effectExtent l="0" t="0" r="0" b="0"/>
          <wp:wrapSquare wrapText="bothSides"/>
          <wp:docPr id="2" name="Obrázok 2" descr="\\data\Data\AktyRiadenia\SpLogotyp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data\Data\AktyRiadenia\SpLogotyp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253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65B2"/>
    <w:multiLevelType w:val="hybridMultilevel"/>
    <w:tmpl w:val="67548B02"/>
    <w:lvl w:ilvl="0" w:tplc="A78E99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72CDE"/>
    <w:multiLevelType w:val="hybridMultilevel"/>
    <w:tmpl w:val="0F72D6EA"/>
    <w:lvl w:ilvl="0" w:tplc="A78E99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67E16"/>
    <w:multiLevelType w:val="hybridMultilevel"/>
    <w:tmpl w:val="E3B8CB66"/>
    <w:lvl w:ilvl="0" w:tplc="A78E99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35C05"/>
    <w:multiLevelType w:val="hybridMultilevel"/>
    <w:tmpl w:val="26CCDB62"/>
    <w:lvl w:ilvl="0" w:tplc="A78E99E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F7199"/>
    <w:multiLevelType w:val="hybridMultilevel"/>
    <w:tmpl w:val="AE64B8B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E2988"/>
    <w:multiLevelType w:val="hybridMultilevel"/>
    <w:tmpl w:val="B7EEA876"/>
    <w:lvl w:ilvl="0" w:tplc="A78E99E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B7869"/>
    <w:multiLevelType w:val="hybridMultilevel"/>
    <w:tmpl w:val="9B98AB80"/>
    <w:lvl w:ilvl="0" w:tplc="1E201A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C6056"/>
    <w:multiLevelType w:val="hybridMultilevel"/>
    <w:tmpl w:val="095A41DE"/>
    <w:lvl w:ilvl="0" w:tplc="A78E99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601B02"/>
    <w:multiLevelType w:val="hybridMultilevel"/>
    <w:tmpl w:val="360E3370"/>
    <w:lvl w:ilvl="0" w:tplc="A78E99E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9DC631DE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431176"/>
    <w:multiLevelType w:val="hybridMultilevel"/>
    <w:tmpl w:val="FBA20C4C"/>
    <w:lvl w:ilvl="0" w:tplc="A78E99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542CBF"/>
    <w:multiLevelType w:val="hybridMultilevel"/>
    <w:tmpl w:val="78F84B8A"/>
    <w:lvl w:ilvl="0" w:tplc="A78E99E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B8341A"/>
    <w:multiLevelType w:val="hybridMultilevel"/>
    <w:tmpl w:val="2C262F96"/>
    <w:lvl w:ilvl="0" w:tplc="A78E99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EE16E9"/>
    <w:multiLevelType w:val="hybridMultilevel"/>
    <w:tmpl w:val="53262E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4F72A8"/>
    <w:multiLevelType w:val="hybridMultilevel"/>
    <w:tmpl w:val="CD56197A"/>
    <w:lvl w:ilvl="0" w:tplc="A78E99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A6637D"/>
    <w:multiLevelType w:val="hybridMultilevel"/>
    <w:tmpl w:val="11C4EFAA"/>
    <w:lvl w:ilvl="0" w:tplc="A78E99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F951D5"/>
    <w:multiLevelType w:val="hybridMultilevel"/>
    <w:tmpl w:val="5B1A5B7A"/>
    <w:lvl w:ilvl="0" w:tplc="A78E99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DD5E09"/>
    <w:multiLevelType w:val="hybridMultilevel"/>
    <w:tmpl w:val="C8342ED0"/>
    <w:lvl w:ilvl="0" w:tplc="39CE02C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7A1360"/>
    <w:multiLevelType w:val="hybridMultilevel"/>
    <w:tmpl w:val="08C2720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153BD1"/>
    <w:multiLevelType w:val="hybridMultilevel"/>
    <w:tmpl w:val="4B1849E0"/>
    <w:lvl w:ilvl="0" w:tplc="A78E99E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8BFE2BA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814051"/>
    <w:multiLevelType w:val="hybridMultilevel"/>
    <w:tmpl w:val="A6BAAA5E"/>
    <w:lvl w:ilvl="0" w:tplc="A78E99E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D9496D"/>
    <w:multiLevelType w:val="hybridMultilevel"/>
    <w:tmpl w:val="58D8F2FA"/>
    <w:lvl w:ilvl="0" w:tplc="A78E99E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93792C"/>
    <w:multiLevelType w:val="hybridMultilevel"/>
    <w:tmpl w:val="EBACD70E"/>
    <w:lvl w:ilvl="0" w:tplc="A78E99E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3C3E0F"/>
    <w:multiLevelType w:val="hybridMultilevel"/>
    <w:tmpl w:val="12E8D1BA"/>
    <w:lvl w:ilvl="0" w:tplc="A78E99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CA53FA"/>
    <w:multiLevelType w:val="hybridMultilevel"/>
    <w:tmpl w:val="B31EF3D6"/>
    <w:lvl w:ilvl="0" w:tplc="A78E99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6"/>
  </w:num>
  <w:num w:numId="4">
    <w:abstractNumId w:val="13"/>
  </w:num>
  <w:num w:numId="5">
    <w:abstractNumId w:val="23"/>
  </w:num>
  <w:num w:numId="6">
    <w:abstractNumId w:val="3"/>
  </w:num>
  <w:num w:numId="7">
    <w:abstractNumId w:val="9"/>
  </w:num>
  <w:num w:numId="8">
    <w:abstractNumId w:val="5"/>
  </w:num>
  <w:num w:numId="9">
    <w:abstractNumId w:val="22"/>
  </w:num>
  <w:num w:numId="10">
    <w:abstractNumId w:val="10"/>
  </w:num>
  <w:num w:numId="11">
    <w:abstractNumId w:val="0"/>
  </w:num>
  <w:num w:numId="12">
    <w:abstractNumId w:val="8"/>
  </w:num>
  <w:num w:numId="13">
    <w:abstractNumId w:val="7"/>
  </w:num>
  <w:num w:numId="14">
    <w:abstractNumId w:val="15"/>
  </w:num>
  <w:num w:numId="15">
    <w:abstractNumId w:val="19"/>
  </w:num>
  <w:num w:numId="16">
    <w:abstractNumId w:val="14"/>
  </w:num>
  <w:num w:numId="17">
    <w:abstractNumId w:val="20"/>
  </w:num>
  <w:num w:numId="18">
    <w:abstractNumId w:val="2"/>
  </w:num>
  <w:num w:numId="19">
    <w:abstractNumId w:val="18"/>
  </w:num>
  <w:num w:numId="20">
    <w:abstractNumId w:val="1"/>
  </w:num>
  <w:num w:numId="21">
    <w:abstractNumId w:val="11"/>
  </w:num>
  <w:num w:numId="22">
    <w:abstractNumId w:val="21"/>
  </w:num>
  <w:num w:numId="23">
    <w:abstractNumId w:val="12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B14"/>
    <w:rsid w:val="000C520B"/>
    <w:rsid w:val="00365CAA"/>
    <w:rsid w:val="00B44F48"/>
    <w:rsid w:val="00CA3B14"/>
    <w:rsid w:val="00EA35DE"/>
    <w:rsid w:val="00F9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E475EF-FB8C-4EA0-AA5D-F13E1B24E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CA3B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A3B1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A3B1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A3B1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A3B1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aliases w:val="b,heading3,Body Text - Level 2,bt,body text,t1,taten_body,block,Body Text 1,NoticeText-List,Char Char Char Char Char Char Char Char Char,Char Char Char Char Char Char Char Char, Char, Char Char Char Char Char Char Char Char Char"/>
    <w:basedOn w:val="Normlny"/>
    <w:link w:val="ZkladntextChar"/>
    <w:uiPriority w:val="99"/>
    <w:qFormat/>
    <w:rsid w:val="00CA3B14"/>
  </w:style>
  <w:style w:type="character" w:customStyle="1" w:styleId="ZkladntextChar">
    <w:name w:val="Základný text Char"/>
    <w:aliases w:val="b Char,heading3 Char,Body Text - Level 2 Char,bt Char,body text Char,t1 Char,taten_body Char,block Char,Body Text 1 Char,NoticeText-List Char,Char Char Char Char Char Char Char Char Char Char, Char Char"/>
    <w:basedOn w:val="Predvolenpsmoodseku"/>
    <w:link w:val="Zkladntext"/>
    <w:uiPriority w:val="99"/>
    <w:rsid w:val="00CA3B14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CA3B14"/>
    <w:rPr>
      <w:color w:val="0563C1"/>
      <w:u w:val="single"/>
    </w:rPr>
  </w:style>
  <w:style w:type="paragraph" w:styleId="Odsekzoznamu">
    <w:name w:val="List Paragraph"/>
    <w:aliases w:val="Bullet Number,lp1,lp11,Use Case List Paragraph,body,Colorful List - Accent 11,body 2,Lista 1,Paragrafo elenco,Paragrafo elenco 2,or.bullet1,bullet,ODRAZKY PRVA UROVEN,Stredná mriežka 1 – zvýraznenie 22,Bullet List,FooterText,numbered"/>
    <w:basedOn w:val="Normlny"/>
    <w:link w:val="OdsekzoznamuChar"/>
    <w:uiPriority w:val="34"/>
    <w:qFormat/>
    <w:rsid w:val="00CA3B14"/>
    <w:pPr>
      <w:ind w:left="720"/>
      <w:contextualSpacing/>
    </w:pPr>
  </w:style>
  <w:style w:type="character" w:customStyle="1" w:styleId="OdsekzoznamuChar">
    <w:name w:val="Odsek zoznamu Char"/>
    <w:aliases w:val="Bullet Number Char,lp1 Char,lp11 Char,Use Case List Paragraph Char,body Char,Colorful List - Accent 11 Char,body 2 Char,Lista 1 Char,Paragrafo elenco Char,Paragrafo elenco 2 Char,or.bullet1 Char,bullet Char,ODRAZKY PRVA UROVEN Char"/>
    <w:link w:val="Odsekzoznamu"/>
    <w:uiPriority w:val="34"/>
    <w:qFormat/>
    <w:locked/>
    <w:rsid w:val="000C520B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pecing@socpoist.sk" TargetMode="External"/><Relationship Id="rId13" Type="http://schemas.openxmlformats.org/officeDocument/2006/relationships/hyperlink" Target="https://www.vlada.gov.sk/" TargetMode="External"/><Relationship Id="rId18" Type="http://schemas.openxmlformats.org/officeDocument/2006/relationships/hyperlink" Target="https://csirt.gov.sk" TargetMode="External"/><Relationship Id="rId26" Type="http://schemas.openxmlformats.org/officeDocument/2006/relationships/hyperlink" Target="https://www.rfc-editor.or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tranet/Stranky/DMS/dms.aspx" TargetMode="External"/><Relationship Id="rId34" Type="http://schemas.openxmlformats.org/officeDocument/2006/relationships/footer" Target="footer1.xml"/><Relationship Id="rId7" Type="http://schemas.openxmlformats.org/officeDocument/2006/relationships/hyperlink" Target="mailto:BIS@socpoist.sk" TargetMode="External"/><Relationship Id="rId12" Type="http://schemas.openxmlformats.org/officeDocument/2006/relationships/hyperlink" Target="https://knowww.eu" TargetMode="External"/><Relationship Id="rId17" Type="http://schemas.openxmlformats.org/officeDocument/2006/relationships/hyperlink" Target="https://www.mirri.gov.sk/" TargetMode="External"/><Relationship Id="rId25" Type="http://schemas.openxmlformats.org/officeDocument/2006/relationships/hyperlink" Target="https://www.iab.org/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rokovania.gov.sk/RVL/Resolution" TargetMode="External"/><Relationship Id="rId20" Type="http://schemas.openxmlformats.org/officeDocument/2006/relationships/hyperlink" Target="https://www.nbu.gov.sk/" TargetMode="External"/><Relationship Id="rId29" Type="http://schemas.openxmlformats.org/officeDocument/2006/relationships/hyperlink" Target="https://www.mirri.gov.sk/sekcie/informatizacia/riadenie-kvality-qa/riadenie-kvality-qa/index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ur-lex.europa.eu/homepage.html" TargetMode="External"/><Relationship Id="rId24" Type="http://schemas.openxmlformats.org/officeDocument/2006/relationships/hyperlink" Target="https://trustee.ietf.org/" TargetMode="External"/><Relationship Id="rId32" Type="http://schemas.openxmlformats.org/officeDocument/2006/relationships/hyperlink" Target="https://www.csirt.gov.sk/wp-content/uploads/2021/08/MetodikaZabezpeceniaIKT_v2.1.pdf?csrt=7605654333627490631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hsr.rokovania.sk/rokovania-legislativnej-rady-vlady-sr/" TargetMode="External"/><Relationship Id="rId23" Type="http://schemas.openxmlformats.org/officeDocument/2006/relationships/hyperlink" Target="https://owasp.org/" TargetMode="External"/><Relationship Id="rId28" Type="http://schemas.openxmlformats.org/officeDocument/2006/relationships/hyperlink" Target="https://www.mirri.gov.sk/wp-content/uploads/2019/04/Metodicke-usmernenie-pre-tvorbu-pouzivatelsky-kvalitnych-elektronickych-sluzieb-verejnej-spravy.pdf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slov-lex.sk/domov" TargetMode="External"/><Relationship Id="rId19" Type="http://schemas.openxmlformats.org/officeDocument/2006/relationships/hyperlink" Target="https://www.nases.gov.sk/index.html" TargetMode="External"/><Relationship Id="rId31" Type="http://schemas.openxmlformats.org/officeDocument/2006/relationships/hyperlink" Target="https://www.slov-lex.sk/pravne-predpisy/SK/ZZ/2018/18/2019090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ispecing@socpoist.sk" TargetMode="External"/><Relationship Id="rId14" Type="http://schemas.openxmlformats.org/officeDocument/2006/relationships/hyperlink" Target="https://www.slovensko.sk/sk/titulna-stranka" TargetMode="External"/><Relationship Id="rId22" Type="http://schemas.openxmlformats.org/officeDocument/2006/relationships/hyperlink" Target="https://www.nsa.gov/" TargetMode="External"/><Relationship Id="rId27" Type="http://schemas.openxmlformats.org/officeDocument/2006/relationships/hyperlink" Target="https://www.mirri.gov.sk/wp-content/uploads/2018/10/Metodicke-usmernenie-ID-SK-publikovat.pdf" TargetMode="External"/><Relationship Id="rId30" Type="http://schemas.openxmlformats.org/officeDocument/2006/relationships/hyperlink" Target="https://www.mirri.gov.sk/wp-content/uploads/2020/02/Metodicky_pokyn_ORACLE_CRD_2019.pdf" TargetMode="External"/><Relationship Id="rId35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10</Pages>
  <Words>3864</Words>
  <Characters>22030</Characters>
  <Application>Microsoft Office Word</Application>
  <DocSecurity>0</DocSecurity>
  <Lines>183</Lines>
  <Paragraphs>51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SocPoist</Company>
  <LinksUpToDate>false</LinksUpToDate>
  <CharactersWithSpaces>25843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P1_Bezp_polit_v1_27112024</dc:title>
  <dc:subject>KB_Zmluva</dc:subject>
  <dc:creator>Vranovičová Barbora</dc:creator>
  <cp:keywords/>
  <dc:description/>
  <cp:lastModifiedBy>Vatter René</cp:lastModifiedBy>
  <cp:revision>4</cp:revision>
  <dcterms:created xsi:type="dcterms:W3CDTF">2024-11-27T12:58:00Z</dcterms:created>
  <dcterms:modified xsi:type="dcterms:W3CDTF">2024-12-18T17:46:00Z</dcterms:modified>
</cp:coreProperties>
</file>