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52" w:rsidRPr="004F1F52" w:rsidRDefault="004F1F52" w:rsidP="004F1F52">
      <w:pPr>
        <w:pStyle w:val="Zkladntext"/>
        <w:kinsoku w:val="0"/>
        <w:overflowPunct w:val="0"/>
        <w:ind w:right="101"/>
        <w:jc w:val="center"/>
        <w:rPr>
          <w:b/>
          <w:bCs/>
          <w:i/>
          <w:sz w:val="22"/>
          <w:szCs w:val="22"/>
        </w:rPr>
      </w:pPr>
      <w:r w:rsidRPr="004F1F52">
        <w:rPr>
          <w:b/>
          <w:i/>
          <w:sz w:val="22"/>
          <w:szCs w:val="22"/>
        </w:rPr>
        <w:t>Príloha č. 3 k Zmluve</w:t>
      </w:r>
      <w:r w:rsidRPr="004F1F52">
        <w:rPr>
          <w:b/>
          <w:bCs/>
          <w:i/>
          <w:sz w:val="22"/>
          <w:szCs w:val="22"/>
        </w:rPr>
        <w:t xml:space="preserve"> o zabezpečení plnenia bezpečnostných opatrení a notifikačných povinností</w:t>
      </w:r>
    </w:p>
    <w:p w:rsidR="00E82492" w:rsidRPr="004F1F52" w:rsidRDefault="00E82492" w:rsidP="00E82492">
      <w:pPr>
        <w:pStyle w:val="Zkladntext"/>
        <w:kinsoku w:val="0"/>
        <w:overflowPunct w:val="0"/>
        <w:ind w:right="101"/>
        <w:jc w:val="center"/>
        <w:rPr>
          <w:b/>
          <w:i/>
          <w:sz w:val="22"/>
          <w:szCs w:val="22"/>
        </w:rPr>
      </w:pPr>
    </w:p>
    <w:p w:rsidR="004F1F52" w:rsidRPr="004F1F52" w:rsidRDefault="004F1F52" w:rsidP="004F1F52">
      <w:pPr>
        <w:pStyle w:val="Hlavikaobsahu"/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:lang w:val="sk-SK"/>
        </w:rPr>
      </w:pPr>
      <w:proofErr w:type="spellStart"/>
      <w:r w:rsidRPr="004F1F52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</w:rPr>
        <w:t>Logovací</w:t>
      </w:r>
      <w:proofErr w:type="spellEnd"/>
      <w:r w:rsidRPr="004F1F52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:lang w:val="sk-SK"/>
        </w:rPr>
        <w:t xml:space="preserve"> </w:t>
      </w:r>
      <w:r w:rsidRPr="004F1F52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:lang w:val="sk-SK"/>
        </w:rPr>
        <w:t>štandard</w:t>
      </w:r>
    </w:p>
    <w:p w:rsidR="004F1F52" w:rsidRDefault="004F1F52" w:rsidP="00CB576B"/>
    <w:p w:rsidR="004F1F52" w:rsidRDefault="004F1F52" w:rsidP="00CB576B"/>
    <w:p w:rsidR="004F1F52" w:rsidRDefault="004F1F52" w:rsidP="00CB576B"/>
    <w:sdt>
      <w:sdtPr>
        <w:id w:val="-110326626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sk-SK"/>
        </w:rPr>
      </w:sdtEndPr>
      <w:sdtContent>
        <w:p w:rsidR="00FB2BFE" w:rsidRDefault="0005704C" w:rsidP="009E617E">
          <w:pPr>
            <w:pStyle w:val="Hlavikaobsahu"/>
            <w:spacing w:line="240" w:lineRule="auto"/>
          </w:pPr>
          <w:r w:rsidRPr="00EC6E14">
            <w:rPr>
              <w:lang w:val="sk-SK"/>
            </w:rPr>
            <w:t>Obsah</w:t>
          </w:r>
        </w:p>
        <w:p w:rsidR="004F1F52" w:rsidRDefault="00FB2BF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295821" w:history="1">
            <w:r w:rsidR="004F1F52" w:rsidRPr="00D04277">
              <w:rPr>
                <w:rStyle w:val="Hypertextovprepojenie"/>
                <w:noProof/>
              </w:rPr>
              <w:t>Úvod</w:t>
            </w:r>
            <w:r w:rsidR="004F1F52">
              <w:rPr>
                <w:noProof/>
                <w:webHidden/>
              </w:rPr>
              <w:tab/>
            </w:r>
            <w:r w:rsidR="004F1F52">
              <w:rPr>
                <w:noProof/>
                <w:webHidden/>
              </w:rPr>
              <w:fldChar w:fldCharType="begin"/>
            </w:r>
            <w:r w:rsidR="004F1F52">
              <w:rPr>
                <w:noProof/>
                <w:webHidden/>
              </w:rPr>
              <w:instrText xml:space="preserve"> PAGEREF _Toc184295821 \h </w:instrText>
            </w:r>
            <w:r w:rsidR="004F1F52">
              <w:rPr>
                <w:noProof/>
                <w:webHidden/>
              </w:rPr>
            </w:r>
            <w:r w:rsidR="004F1F52">
              <w:rPr>
                <w:noProof/>
                <w:webHidden/>
              </w:rPr>
              <w:fldChar w:fldCharType="separate"/>
            </w:r>
            <w:r w:rsidR="004F1F52">
              <w:rPr>
                <w:noProof/>
                <w:webHidden/>
              </w:rPr>
              <w:t>1</w:t>
            </w:r>
            <w:r w:rsidR="004F1F52"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22" w:history="1">
            <w:r w:rsidRPr="00D04277">
              <w:rPr>
                <w:rStyle w:val="Hypertextovprepojenie"/>
                <w:noProof/>
              </w:rPr>
              <w:t>Cieľ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23" w:history="1">
            <w:r w:rsidRPr="00D04277">
              <w:rPr>
                <w:rStyle w:val="Hypertextovprepojenie"/>
                <w:noProof/>
              </w:rPr>
              <w:t>Obmedzenia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24" w:history="1">
            <w:r w:rsidRPr="00D04277">
              <w:rPr>
                <w:rStyle w:val="Hypertextovprepojenie"/>
                <w:noProof/>
              </w:rPr>
              <w:t>Definícia významu kľúčových slov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25" w:history="1">
            <w:r w:rsidRPr="00D04277">
              <w:rPr>
                <w:rStyle w:val="Hypertextovprepojenie"/>
                <w:noProof/>
              </w:rPr>
              <w:t>Štandardy pre logovanie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26" w:history="1">
            <w:r w:rsidRPr="00D04277">
              <w:rPr>
                <w:rStyle w:val="Hypertextovprepojenie"/>
                <w:rFonts w:eastAsia="Calibri"/>
                <w:noProof/>
              </w:rPr>
              <w:t>Obsah logov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27" w:history="1">
            <w:r w:rsidRPr="00D04277">
              <w:rPr>
                <w:rStyle w:val="Hypertextovprepojenie"/>
                <w:rFonts w:eastAsia="Calibri"/>
                <w:noProof/>
              </w:rPr>
              <w:t>Aktívne logovanie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28" w:history="1">
            <w:r w:rsidRPr="00D04277">
              <w:rPr>
                <w:rStyle w:val="Hypertextovprepojenie"/>
                <w:noProof/>
              </w:rPr>
              <w:t>Sumarizácia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29" w:history="1">
            <w:r w:rsidRPr="00D04277">
              <w:rPr>
                <w:rStyle w:val="Hypertextovprepojenie"/>
                <w:rFonts w:eastAsia="Calibri"/>
                <w:noProof/>
              </w:rPr>
              <w:t>Zdroje / kategórie logov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30" w:history="1">
            <w:r w:rsidRPr="00D04277">
              <w:rPr>
                <w:rStyle w:val="Hypertextovprepojenie"/>
                <w:noProof/>
              </w:rPr>
              <w:t>POZNÁMKY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31" w:history="1">
            <w:r w:rsidRPr="00D04277">
              <w:rPr>
                <w:rStyle w:val="Hypertextovprepojenie"/>
                <w:noProof/>
              </w:rPr>
              <w:t>Metóda MoSCoW: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32" w:history="1">
            <w:r w:rsidRPr="00D04277">
              <w:rPr>
                <w:rStyle w:val="Hypertextovprepojenie"/>
                <w:noProof/>
              </w:rPr>
              <w:t>Dodatky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33" w:history="1">
            <w:r w:rsidRPr="00D04277">
              <w:rPr>
                <w:rStyle w:val="Hypertextovprepojenie"/>
                <w:noProof/>
              </w:rPr>
              <w:t>Zdroje a Legislatívne východiská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1F52" w:rsidRDefault="004F1F52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184295834" w:history="1">
            <w:r w:rsidRPr="00D04277">
              <w:rPr>
                <w:rStyle w:val="Hypertextovprepojenie"/>
                <w:noProof/>
              </w:rPr>
              <w:t>Klasifikačné stupne informačných aktív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_Toc184295834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2BFE" w:rsidRPr="000D17CA" w:rsidRDefault="00FB2BFE" w:rsidP="009E617E">
          <w:pPr>
            <w:spacing w:line="24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8571A9" w:rsidRDefault="008571A9" w:rsidP="009E617E">
      <w:pPr>
        <w:spacing w:line="240" w:lineRule="auto"/>
      </w:pPr>
    </w:p>
    <w:p w:rsidR="00FB2BFE" w:rsidRDefault="009902F9" w:rsidP="008F3251">
      <w:pPr>
        <w:pStyle w:val="Nadpis1"/>
      </w:pPr>
      <w:bookmarkStart w:id="0" w:name="_Toc184295821"/>
      <w:r w:rsidRPr="008F3251">
        <w:t>Úvod</w:t>
      </w:r>
      <w:bookmarkEnd w:id="0"/>
    </w:p>
    <w:p w:rsidR="00B637B0" w:rsidRDefault="00B637B0" w:rsidP="00F2465F">
      <w:pPr>
        <w:jc w:val="both"/>
      </w:pPr>
      <w:r>
        <w:t xml:space="preserve">Každé vyšetrovanie je založené na dôkazoch, pre informačné systémy sú dôkazy záznamy o aktivitách ktoré aplikácia vykonala. Podobne ako pri vyšetrovaniach v fyzickom svete, lupič v digitálnom svete zanecháva digitálny odtlačok – pripojenie k serveru, autentifikácia do operačného systému, spustenie aplikácie vytvárajú záznam. Tieto záznamy o aktivite sa vytvárajú štandardne pre software zakúpený od osvedčeného výrobcu, pre aplikácie vyvíjané na zákazku alebo interne treba </w:t>
      </w:r>
      <w:r w:rsidR="00F2465F">
        <w:t>na logovanie , ktoré umožní vyšetrovanie v prípade incidentu zakomponovať do vývoja.</w:t>
      </w:r>
    </w:p>
    <w:p w:rsidR="000A1774" w:rsidRPr="00B637B0" w:rsidRDefault="000A1774" w:rsidP="00F2465F">
      <w:pPr>
        <w:jc w:val="both"/>
      </w:pPr>
      <w:r w:rsidRPr="000A1774">
        <w:t xml:space="preserve">Pre ex-post analýzu KB je nevyhnutné disponovať prevádzkovými záznamami z doby jej výskytu. </w:t>
      </w:r>
      <w:r>
        <w:t>Zariadení či systémov</w:t>
      </w:r>
      <w:r w:rsidRPr="000A1774">
        <w:t xml:space="preserve">, ktoré </w:t>
      </w:r>
      <w:r>
        <w:t xml:space="preserve">takéto </w:t>
      </w:r>
      <w:r w:rsidRPr="000A1774">
        <w:t>záznamy generujú</w:t>
      </w:r>
      <w:r>
        <w:t xml:space="preserve"> je veľa</w:t>
      </w:r>
      <w:r w:rsidRPr="000A1774">
        <w:t>, jedná sa všeobecne o bezpečnostné nástroje (antiv</w:t>
      </w:r>
      <w:r>
        <w:t>í</w:t>
      </w:r>
      <w:r w:rsidRPr="000A1774">
        <w:t>rus, IDS/IPS, proxy, router, switch, firewall,…), operačné systémy (autentizácia, privilegované spustenie, systémové udalosti,…) a aplikácie (komunikácia medzi klientom a serverom, užívateľské udalosti, prístupy,…)</w:t>
      </w:r>
      <w:r>
        <w:t>.</w:t>
      </w:r>
    </w:p>
    <w:p w:rsidR="00FB7E34" w:rsidRDefault="00FB7E34" w:rsidP="00FB7E34">
      <w:pPr>
        <w:pStyle w:val="Nadpis1"/>
      </w:pPr>
      <w:bookmarkStart w:id="1" w:name="_Toc184295822"/>
      <w:r w:rsidRPr="00FB7E34">
        <w:lastRenderedPageBreak/>
        <w:t>Cieľ dokumentu</w:t>
      </w:r>
      <w:bookmarkEnd w:id="1"/>
    </w:p>
    <w:p w:rsidR="00FB7E34" w:rsidRDefault="00FB7E34" w:rsidP="0009694A">
      <w:pPr>
        <w:spacing w:after="204"/>
        <w:ind w:left="-5" w:right="8"/>
        <w:jc w:val="both"/>
      </w:pPr>
      <w:r>
        <w:t xml:space="preserve">Tento dokument sumarizuje </w:t>
      </w:r>
      <w:r w:rsidR="0009694A">
        <w:t>požiadavky na logovanie, v</w:t>
      </w:r>
      <w:r>
        <w:t xml:space="preserve"> dokumente sa používajú kľúčové slová „</w:t>
      </w:r>
      <w:r w:rsidRPr="006A7AA0">
        <w:rPr>
          <w:b/>
          <w:i/>
          <w:color w:val="FF0000"/>
          <w:u w:val="single"/>
        </w:rPr>
        <w:t>musí</w:t>
      </w:r>
      <w:r>
        <w:t>“, „</w:t>
      </w:r>
      <w:r w:rsidRPr="006A7AA0">
        <w:rPr>
          <w:b/>
          <w:i/>
          <w:color w:val="FFC000"/>
          <w:u w:val="single"/>
        </w:rPr>
        <w:t>malo</w:t>
      </w:r>
      <w:r w:rsidRPr="006A7AA0">
        <w:rPr>
          <w:b/>
          <w:i/>
          <w:color w:val="FFC000"/>
        </w:rPr>
        <w:t xml:space="preserve"> </w:t>
      </w:r>
      <w:r w:rsidRPr="006A7AA0">
        <w:rPr>
          <w:b/>
          <w:i/>
          <w:color w:val="FFC000"/>
          <w:u w:val="single"/>
        </w:rPr>
        <w:t>by byť</w:t>
      </w:r>
      <w:r w:rsidRPr="006A7AA0">
        <w:rPr>
          <w:color w:val="000000" w:themeColor="text1"/>
        </w:rPr>
        <w:t>“</w:t>
      </w:r>
      <w:r>
        <w:t>, „</w:t>
      </w:r>
      <w:r w:rsidRPr="00833960">
        <w:rPr>
          <w:b/>
          <w:i/>
          <w:color w:val="00B050"/>
          <w:u w:val="single"/>
        </w:rPr>
        <w:t>odporúča sa</w:t>
      </w:r>
      <w:r>
        <w:t xml:space="preserve">“. Tieto sú ohodnotením dôležitosti daného opatrenia s ohľadom na jeho implementačnú náročnosť. </w:t>
      </w:r>
    </w:p>
    <w:p w:rsidR="00911EC8" w:rsidRDefault="00911EC8" w:rsidP="0009694A">
      <w:pPr>
        <w:spacing w:after="192" w:line="283" w:lineRule="auto"/>
        <w:ind w:left="-5"/>
        <w:jc w:val="both"/>
      </w:pPr>
      <w:r>
        <w:t xml:space="preserve">Na konci kapitoly je sumárna tabuľka zásad a opatrení s ohodnotením podľa metódy </w:t>
      </w:r>
      <w:proofErr w:type="spellStart"/>
      <w:r w:rsidRPr="00911EC8">
        <w:rPr>
          <w:b/>
          <w:u w:val="single"/>
        </w:rPr>
        <w:t>MoSCoW</w:t>
      </w:r>
      <w:proofErr w:type="spellEnd"/>
      <w:r>
        <w:t>, ktorá sa používa pri manažmente, pri analýzach, pri riadení projektov a vývoji softvéru a je v súlade s definíciou významu kľúčových slov uvedenú nižšie.</w:t>
      </w:r>
    </w:p>
    <w:p w:rsidR="00E966BD" w:rsidRDefault="007C6EFD" w:rsidP="007C6EFD">
      <w:pPr>
        <w:spacing w:after="192" w:line="283" w:lineRule="auto"/>
        <w:ind w:left="-5"/>
        <w:rPr>
          <w:b/>
        </w:rPr>
      </w:pPr>
      <w:r w:rsidRPr="00C20DCE">
        <w:rPr>
          <w:b/>
        </w:rPr>
        <w:t>Dokument vznikol na základe podkladov z originálu Metodiky zabezpečenia IKT verejnej správy v oblasti informačnej bezpečnosti, ktorého autorom je CSIRT.SK (</w:t>
      </w:r>
      <w:hyperlink r:id="rId8" w:history="1">
        <w:r w:rsidRPr="00C20DCE">
          <w:rPr>
            <w:rStyle w:val="Hypertextovprepojenie"/>
            <w:b/>
          </w:rPr>
          <w:t>MetodikaZabezpeceniaIKT_v2.1.pdf (gov.sk)</w:t>
        </w:r>
      </w:hyperlink>
      <w:r w:rsidRPr="00C20DCE">
        <w:rPr>
          <w:b/>
        </w:rPr>
        <w:t>)</w:t>
      </w:r>
      <w:r w:rsidR="00E966BD">
        <w:rPr>
          <w:b/>
        </w:rPr>
        <w:t xml:space="preserve"> a zároveň z dokumentu NIST800-92 </w:t>
      </w:r>
    </w:p>
    <w:p w:rsidR="007C6EFD" w:rsidRPr="00C20DCE" w:rsidRDefault="00E966BD" w:rsidP="007C6EFD">
      <w:pPr>
        <w:spacing w:after="192" w:line="283" w:lineRule="auto"/>
        <w:ind w:left="-5"/>
        <w:rPr>
          <w:b/>
        </w:rPr>
      </w:pPr>
      <w:r>
        <w:rPr>
          <w:b/>
        </w:rPr>
        <w:t>(</w:t>
      </w:r>
      <w:hyperlink r:id="rId9" w:history="1">
        <w:r w:rsidRPr="000A1774">
          <w:rPr>
            <w:rStyle w:val="Hypertextovprepojenie"/>
            <w:b/>
          </w:rPr>
          <w:t xml:space="preserve">SP 800-92, </w:t>
        </w:r>
        <w:proofErr w:type="spellStart"/>
        <w:r w:rsidRPr="000A1774">
          <w:rPr>
            <w:rStyle w:val="Hypertextovprepojenie"/>
            <w:b/>
          </w:rPr>
          <w:t>Guide</w:t>
        </w:r>
        <w:proofErr w:type="spellEnd"/>
        <w:r w:rsidRPr="000A1774">
          <w:rPr>
            <w:rStyle w:val="Hypertextovprepojenie"/>
            <w:b/>
          </w:rPr>
          <w:t xml:space="preserve"> to </w:t>
        </w:r>
        <w:proofErr w:type="spellStart"/>
        <w:r w:rsidRPr="000A1774">
          <w:rPr>
            <w:rStyle w:val="Hypertextovprepojenie"/>
            <w:b/>
          </w:rPr>
          <w:t>Computer</w:t>
        </w:r>
        <w:proofErr w:type="spellEnd"/>
        <w:r w:rsidRPr="000A1774">
          <w:rPr>
            <w:rStyle w:val="Hypertextovprepojenie"/>
            <w:b/>
          </w:rPr>
          <w:t xml:space="preserve"> </w:t>
        </w:r>
        <w:proofErr w:type="spellStart"/>
        <w:r w:rsidRPr="000A1774">
          <w:rPr>
            <w:rStyle w:val="Hypertextovprepojenie"/>
            <w:b/>
          </w:rPr>
          <w:t>Security</w:t>
        </w:r>
        <w:proofErr w:type="spellEnd"/>
        <w:r w:rsidRPr="000A1774">
          <w:rPr>
            <w:rStyle w:val="Hypertextovprepojenie"/>
            <w:b/>
          </w:rPr>
          <w:t xml:space="preserve"> Log Management | CSRC (nist.gov)</w:t>
        </w:r>
      </w:hyperlink>
      <w:r>
        <w:rPr>
          <w:b/>
        </w:rPr>
        <w:t>)</w:t>
      </w:r>
    </w:p>
    <w:p w:rsidR="000A1774" w:rsidRDefault="000A1774" w:rsidP="007C6EFD">
      <w:pPr>
        <w:spacing w:after="194" w:line="283" w:lineRule="auto"/>
        <w:ind w:left="-5"/>
        <w:jc w:val="both"/>
      </w:pPr>
      <w:r>
        <w:t>Pre nasadenie log manažmentu je kľúčové:</w:t>
      </w:r>
    </w:p>
    <w:p w:rsidR="000A1774" w:rsidRDefault="000A1774" w:rsidP="00D07F0B">
      <w:pPr>
        <w:pStyle w:val="Odsekzoznamu"/>
        <w:numPr>
          <w:ilvl w:val="0"/>
          <w:numId w:val="24"/>
        </w:numPr>
        <w:spacing w:after="194" w:line="283" w:lineRule="auto"/>
        <w:jc w:val="both"/>
      </w:pPr>
      <w:r>
        <w:t>Správne nastavené časové značky na všetkých zdrojoch</w:t>
      </w:r>
    </w:p>
    <w:p w:rsidR="000A1774" w:rsidRDefault="000A1774" w:rsidP="00D07F0B">
      <w:pPr>
        <w:pStyle w:val="Odsekzoznamu"/>
        <w:numPr>
          <w:ilvl w:val="0"/>
          <w:numId w:val="24"/>
        </w:numPr>
        <w:spacing w:after="194" w:line="283" w:lineRule="auto"/>
        <w:jc w:val="both"/>
      </w:pPr>
      <w:r>
        <w:t>Zaistenie dostatočnej kapacity pre logovanie, pravidelné odosielanie logov do centrálneho log manažmentu a ich uchovávanie po určenú dobu</w:t>
      </w:r>
    </w:p>
    <w:p w:rsidR="000A1774" w:rsidRDefault="000A1774" w:rsidP="00D07F0B">
      <w:pPr>
        <w:pStyle w:val="Odsekzoznamu"/>
        <w:numPr>
          <w:ilvl w:val="0"/>
          <w:numId w:val="24"/>
        </w:numPr>
        <w:spacing w:after="194" w:line="283" w:lineRule="auto"/>
        <w:jc w:val="both"/>
      </w:pPr>
      <w:r>
        <w:t>Pravidelná analýza logov v log manažmente, najlepšie automatizované upozornenia na výskyt abnormalít</w:t>
      </w:r>
    </w:p>
    <w:p w:rsidR="000A1774" w:rsidRDefault="000A1774" w:rsidP="00D07F0B">
      <w:pPr>
        <w:pStyle w:val="Odsekzoznamu"/>
        <w:numPr>
          <w:ilvl w:val="0"/>
          <w:numId w:val="24"/>
        </w:numPr>
        <w:spacing w:after="194" w:line="283" w:lineRule="auto"/>
        <w:jc w:val="both"/>
      </w:pPr>
      <w:r>
        <w:t xml:space="preserve">Zaistenie bezpečnosti a integrity </w:t>
      </w:r>
      <w:r w:rsidR="00D07F0B">
        <w:t>log záznamov (ochrana pred zneužitím, zmenením alebo vymazaním) naprieč celým log manažment systémom</w:t>
      </w:r>
    </w:p>
    <w:p w:rsidR="00D07F0B" w:rsidRDefault="00D07F0B" w:rsidP="004F1F52">
      <w:pPr>
        <w:pStyle w:val="Odsekzoznamu"/>
        <w:numPr>
          <w:ilvl w:val="0"/>
          <w:numId w:val="24"/>
        </w:numPr>
        <w:spacing w:after="194" w:line="283" w:lineRule="auto"/>
        <w:jc w:val="both"/>
      </w:pPr>
      <w:r>
        <w:t>Dostupnosť logov aj v prípade poruchy systému (zálohovanie)</w:t>
      </w:r>
    </w:p>
    <w:p w:rsidR="00D07F0B" w:rsidRDefault="00D07F0B" w:rsidP="00D07F0B">
      <w:pPr>
        <w:spacing w:after="0" w:line="283" w:lineRule="auto"/>
        <w:ind w:left="-6"/>
        <w:jc w:val="both"/>
      </w:pPr>
    </w:p>
    <w:p w:rsidR="007C6EFD" w:rsidRDefault="007C6EFD" w:rsidP="007C6EFD">
      <w:pPr>
        <w:spacing w:after="194" w:line="283" w:lineRule="auto"/>
        <w:ind w:left="-5"/>
        <w:jc w:val="both"/>
      </w:pPr>
      <w:r>
        <w:t>Dokument neobsahuje podrobné implementačné detaily jednotlivých opatrení. Podrobné implementačné detaily budú musieť byť vypracované v  projektovej dokumentácii, zmenovej dokumentácii a ostatných podkladových materiálov, ktoré spracujú zadávatelia projektov spolu s IT analytikmi, IT architektami, PM a internými či externými dodávateľmi a následne ich predložia odboru BIS na validáciu.</w:t>
      </w:r>
    </w:p>
    <w:p w:rsidR="007C6EFD" w:rsidRDefault="007C6EFD" w:rsidP="007C6EFD">
      <w:pPr>
        <w:pStyle w:val="Nadpis1"/>
      </w:pPr>
      <w:bookmarkStart w:id="2" w:name="_Toc99358979"/>
      <w:bookmarkStart w:id="3" w:name="_Toc184295823"/>
      <w:r>
        <w:t>Obmedzenia</w:t>
      </w:r>
      <w:bookmarkEnd w:id="2"/>
      <w:bookmarkEnd w:id="3"/>
      <w:r>
        <w:t xml:space="preserve"> </w:t>
      </w:r>
    </w:p>
    <w:p w:rsidR="007C6EFD" w:rsidRDefault="007C6EFD" w:rsidP="007C6EFD">
      <w:pPr>
        <w:spacing w:after="194" w:line="283" w:lineRule="auto"/>
        <w:ind w:left="-5"/>
      </w:pPr>
      <w:r>
        <w:t>Dokument sa v tejto verzií nezaoberá špecifickými požiadavkami na: fyzickú bezpečnosť infraštruktúry, bezpečnosť mobilných zariadení, bezpečnosť Internetu vecí (</w:t>
      </w:r>
      <w:proofErr w:type="spellStart"/>
      <w:r>
        <w:t>IoT</w:t>
      </w:r>
      <w:proofErr w:type="spellEnd"/>
      <w:r>
        <w:t xml:space="preserve"> – Internet of </w:t>
      </w:r>
      <w:proofErr w:type="spellStart"/>
      <w:r>
        <w:t>Things</w:t>
      </w:r>
      <w:proofErr w:type="spellEnd"/>
      <w:r>
        <w:t xml:space="preserve">), bezpečnosť ICS systémov (Industrial </w:t>
      </w:r>
      <w:proofErr w:type="spellStart"/>
      <w:r>
        <w:t>Control</w:t>
      </w:r>
      <w:proofErr w:type="spellEnd"/>
      <w:r>
        <w:t xml:space="preserve"> Systems), zabezpečenie služieb využívajúcich IPv4 </w:t>
      </w:r>
      <w:proofErr w:type="spellStart"/>
      <w:r>
        <w:t>multicast</w:t>
      </w:r>
      <w:proofErr w:type="spellEnd"/>
      <w:r>
        <w:t xml:space="preserve">, zabezpečenie webových služieb (web </w:t>
      </w:r>
      <w:proofErr w:type="spellStart"/>
      <w:r>
        <w:t>services</w:t>
      </w:r>
      <w:proofErr w:type="spellEnd"/>
      <w:r>
        <w:t>)</w:t>
      </w:r>
    </w:p>
    <w:p w:rsidR="007212B1" w:rsidRDefault="007212B1">
      <w:r>
        <w:br w:type="page"/>
      </w:r>
    </w:p>
    <w:p w:rsidR="00234A56" w:rsidRPr="00234A56" w:rsidRDefault="0009694A" w:rsidP="00543894">
      <w:pPr>
        <w:pStyle w:val="Nadpis1"/>
      </w:pPr>
      <w:bookmarkStart w:id="4" w:name="_Toc184295824"/>
      <w:r>
        <w:t>D</w:t>
      </w:r>
      <w:r w:rsidR="00234A56" w:rsidRPr="00234A56">
        <w:t>efinícia významu kľúčových slov</w:t>
      </w:r>
      <w:bookmarkEnd w:id="4"/>
    </w:p>
    <w:p w:rsidR="00234A56" w:rsidRDefault="00234A56" w:rsidP="00234A56">
      <w:pPr>
        <w:spacing w:after="181"/>
        <w:ind w:left="-5" w:right="8"/>
      </w:pPr>
      <w:r>
        <w:t>V tomto dokumente sú použité nasledujúce kľúčové slová podľa uvedeného významu:</w:t>
      </w:r>
    </w:p>
    <w:p w:rsidR="0009694A" w:rsidRDefault="00234A56" w:rsidP="0009694A">
      <w:pPr>
        <w:spacing w:after="181"/>
        <w:ind w:left="708" w:right="8"/>
      </w:pPr>
      <w:r>
        <w:rPr>
          <w:b/>
        </w:rPr>
        <w:t>„</w:t>
      </w:r>
      <w:r w:rsidRPr="006A7AA0">
        <w:rPr>
          <w:b/>
          <w:i/>
          <w:color w:val="FF0000"/>
          <w:u w:val="single"/>
        </w:rPr>
        <w:t>musí</w:t>
      </w:r>
      <w:r>
        <w:rPr>
          <w:b/>
        </w:rPr>
        <w:t>“</w:t>
      </w:r>
      <w:r>
        <w:t xml:space="preserve"> – špecifikuje povinnú požiadavku (platí aj pre „</w:t>
      </w:r>
      <w:r w:rsidRPr="00234A56">
        <w:rPr>
          <w:b/>
          <w:color w:val="FF0000"/>
        </w:rPr>
        <w:t>je nutné</w:t>
      </w:r>
      <w:r>
        <w:t>“)</w:t>
      </w:r>
    </w:p>
    <w:p w:rsidR="0009694A" w:rsidRDefault="00234A56" w:rsidP="0009694A">
      <w:pPr>
        <w:spacing w:after="181"/>
        <w:ind w:left="708" w:right="8"/>
      </w:pPr>
      <w:r>
        <w:rPr>
          <w:b/>
        </w:rPr>
        <w:t>„</w:t>
      </w:r>
      <w:r w:rsidRPr="006A7AA0">
        <w:rPr>
          <w:b/>
          <w:i/>
          <w:color w:val="FF0000"/>
          <w:u w:val="single"/>
        </w:rPr>
        <w:t>nesmie</w:t>
      </w:r>
      <w:r>
        <w:rPr>
          <w:b/>
        </w:rPr>
        <w:t xml:space="preserve">“ </w:t>
      </w:r>
      <w:r>
        <w:t>– špecifikuje povinný zákaz</w:t>
      </w:r>
    </w:p>
    <w:p w:rsidR="00234A56" w:rsidRDefault="00234A56" w:rsidP="0009694A">
      <w:pPr>
        <w:spacing w:after="181"/>
        <w:ind w:left="708" w:right="8"/>
      </w:pPr>
      <w:r>
        <w:rPr>
          <w:b/>
        </w:rPr>
        <w:t>„</w:t>
      </w:r>
      <w:r w:rsidRPr="006A7AA0">
        <w:rPr>
          <w:b/>
          <w:i/>
          <w:color w:val="FFC000"/>
          <w:u w:val="single"/>
        </w:rPr>
        <w:t>malo</w:t>
      </w:r>
      <w:r w:rsidRPr="006A7AA0">
        <w:rPr>
          <w:b/>
          <w:color w:val="FFC000"/>
          <w:u w:val="single"/>
        </w:rPr>
        <w:t xml:space="preserve"> by [byť]</w:t>
      </w:r>
      <w:r w:rsidRPr="00234A56">
        <w:rPr>
          <w:b/>
          <w:color w:val="FFC000"/>
        </w:rPr>
        <w:t>”</w:t>
      </w:r>
      <w:r w:rsidRPr="00234A56">
        <w:rPr>
          <w:color w:val="FFC000"/>
        </w:rPr>
        <w:t xml:space="preserve"> </w:t>
      </w:r>
      <w:r>
        <w:t xml:space="preserve">– špecifikuje požiadavku, ktorá je povinná pokiaľ neexistuje pádny dôvod prečo nemôže byť splnená. Ak existuje takýto dôvod, </w:t>
      </w:r>
      <w:r w:rsidRPr="006A7AA0">
        <w:rPr>
          <w:b/>
          <w:i/>
          <w:color w:val="FF0000"/>
          <w:u w:val="single"/>
        </w:rPr>
        <w:t>musí</w:t>
      </w:r>
      <w:r w:rsidRPr="006A7AA0">
        <w:rPr>
          <w:color w:val="FF0000"/>
        </w:rPr>
        <w:t xml:space="preserve"> </w:t>
      </w:r>
      <w:r>
        <w:t>byť zdokumentovaný a schválený.</w:t>
      </w:r>
    </w:p>
    <w:p w:rsidR="00234A56" w:rsidRDefault="00234A56" w:rsidP="0009694A">
      <w:pPr>
        <w:spacing w:after="178"/>
        <w:ind w:left="708" w:right="8"/>
      </w:pPr>
      <w:r>
        <w:rPr>
          <w:b/>
        </w:rPr>
        <w:t>“</w:t>
      </w:r>
      <w:r w:rsidRPr="006A7AA0">
        <w:rPr>
          <w:b/>
          <w:i/>
          <w:color w:val="FFC000"/>
          <w:u w:val="single"/>
        </w:rPr>
        <w:t>nemalo by [byť]</w:t>
      </w:r>
      <w:r w:rsidRPr="00234A56">
        <w:rPr>
          <w:b/>
          <w:color w:val="FFC000"/>
        </w:rPr>
        <w:t>”</w:t>
      </w:r>
      <w:r w:rsidRPr="00234A56">
        <w:rPr>
          <w:color w:val="FFC000"/>
        </w:rPr>
        <w:t xml:space="preserve"> </w:t>
      </w:r>
      <w:r>
        <w:t xml:space="preserve">- špecifikuje zákaz, ktorý je povinný pokiaľ neexistuje pádny dôvod prečo nie je </w:t>
      </w:r>
      <w:r w:rsidRPr="00833960">
        <w:rPr>
          <w:b/>
          <w:i/>
          <w:color w:val="00B050"/>
          <w:u w:val="single"/>
        </w:rPr>
        <w:t>možné</w:t>
      </w:r>
      <w:r>
        <w:t xml:space="preserve"> ho splniť. Ak existuje takýto dôvod, </w:t>
      </w:r>
      <w:r w:rsidRPr="006A7AA0">
        <w:rPr>
          <w:b/>
          <w:i/>
          <w:color w:val="FF0000"/>
          <w:u w:val="single"/>
        </w:rPr>
        <w:t>musí</w:t>
      </w:r>
      <w:r w:rsidRPr="006A7AA0">
        <w:rPr>
          <w:color w:val="FF0000"/>
        </w:rPr>
        <w:t xml:space="preserve"> </w:t>
      </w:r>
      <w:r>
        <w:t>byť zdokumentovaný a schválený.</w:t>
      </w:r>
    </w:p>
    <w:p w:rsidR="00234A56" w:rsidRDefault="00234A56" w:rsidP="0009694A">
      <w:pPr>
        <w:spacing w:after="181"/>
        <w:ind w:left="708" w:right="8"/>
      </w:pPr>
      <w:r>
        <w:rPr>
          <w:b/>
        </w:rPr>
        <w:t>“</w:t>
      </w:r>
      <w:r w:rsidRPr="00833960">
        <w:rPr>
          <w:b/>
          <w:i/>
          <w:color w:val="00B050"/>
          <w:u w:val="single"/>
        </w:rPr>
        <w:t>odporúča sa</w:t>
      </w:r>
      <w:r>
        <w:rPr>
          <w:b/>
        </w:rPr>
        <w:t>”</w:t>
      </w:r>
      <w:r>
        <w:t xml:space="preserve"> – špecifikuje odporúčanú požiadavku (platí aj pre “</w:t>
      </w:r>
      <w:r w:rsidRPr="00833960">
        <w:rPr>
          <w:b/>
          <w:i/>
          <w:color w:val="00B050"/>
          <w:u w:val="single"/>
        </w:rPr>
        <w:t xml:space="preserve">je </w:t>
      </w:r>
      <w:r w:rsidR="006A7AA0" w:rsidRPr="00833960">
        <w:rPr>
          <w:b/>
          <w:i/>
          <w:color w:val="00B050"/>
          <w:u w:val="single"/>
        </w:rPr>
        <w:t>možné</w:t>
      </w:r>
      <w:r>
        <w:t>”)</w:t>
      </w:r>
    </w:p>
    <w:p w:rsidR="00234A56" w:rsidRDefault="00234A56" w:rsidP="00234A56">
      <w:pPr>
        <w:spacing w:after="150"/>
        <w:ind w:left="-5" w:right="8"/>
      </w:pPr>
      <w:r>
        <w:t>Ak je rozdiel medzi operátorom (</w:t>
      </w:r>
      <w:r w:rsidRPr="006A7AA0">
        <w:rPr>
          <w:b/>
          <w:i/>
          <w:color w:val="FF0000"/>
          <w:u w:val="single"/>
        </w:rPr>
        <w:t>musí</w:t>
      </w:r>
      <w:r w:rsidRPr="006A7AA0">
        <w:rPr>
          <w:color w:val="FF0000"/>
        </w:rPr>
        <w:t xml:space="preserve"> </w:t>
      </w:r>
      <w:r>
        <w:t xml:space="preserve">/ </w:t>
      </w:r>
      <w:r w:rsidRPr="00833960">
        <w:rPr>
          <w:b/>
          <w:i/>
          <w:color w:val="FFC000"/>
          <w:u w:val="single"/>
        </w:rPr>
        <w:t>malo by byť</w:t>
      </w:r>
      <w:r w:rsidRPr="00833960">
        <w:rPr>
          <w:color w:val="FFC000"/>
        </w:rPr>
        <w:t xml:space="preserve"> </w:t>
      </w:r>
      <w:r>
        <w:t xml:space="preserve">/ </w:t>
      </w:r>
      <w:r w:rsidRPr="00833960">
        <w:rPr>
          <w:b/>
          <w:i/>
          <w:color w:val="00B050"/>
          <w:u w:val="single"/>
        </w:rPr>
        <w:t>odporúča sa</w:t>
      </w:r>
      <w:r>
        <w:t xml:space="preserve">)  v konkrétnom opatrení a jeho nadradeným číslovaných bodom, tak platí operátor v konkrétnej odrážke (to znamená posledný špecifikovaný). </w:t>
      </w:r>
      <w:r>
        <w:rPr>
          <w:i/>
        </w:rPr>
        <w:t>V nasledujúcom príklade pre bod b) platí operátor „</w:t>
      </w:r>
      <w:r w:rsidRPr="006A7AA0">
        <w:rPr>
          <w:b/>
          <w:i/>
          <w:color w:val="FFC000"/>
          <w:u w:val="single"/>
        </w:rPr>
        <w:t>malo</w:t>
      </w:r>
      <w:r w:rsidRPr="006A7AA0">
        <w:rPr>
          <w:i/>
          <w:color w:val="FFC000"/>
        </w:rPr>
        <w:t xml:space="preserve"> </w:t>
      </w:r>
      <w:r>
        <w:rPr>
          <w:i/>
        </w:rPr>
        <w:t>by byť“:</w:t>
      </w:r>
    </w:p>
    <w:p w:rsidR="00234A56" w:rsidRDefault="00234A56" w:rsidP="00234A56">
      <w:pPr>
        <w:tabs>
          <w:tab w:val="center" w:pos="4432"/>
        </w:tabs>
        <w:spacing w:after="24" w:line="265" w:lineRule="auto"/>
        <w:ind w:left="-15"/>
      </w:pPr>
      <w:r>
        <w:rPr>
          <w:i/>
          <w:sz w:val="18"/>
        </w:rPr>
        <w:t xml:space="preserve"> 1.1 </w:t>
      </w:r>
      <w:r>
        <w:rPr>
          <w:i/>
          <w:sz w:val="18"/>
        </w:rPr>
        <w:tab/>
        <w:t xml:space="preserve">V organizácii </w:t>
      </w:r>
      <w:r w:rsidRPr="006A7AA0">
        <w:rPr>
          <w:b/>
          <w:i/>
          <w:color w:val="FF0000"/>
          <w:sz w:val="18"/>
          <w:u w:val="single"/>
        </w:rPr>
        <w:t>musí</w:t>
      </w:r>
      <w:r w:rsidRPr="006A7AA0">
        <w:rPr>
          <w:i/>
          <w:color w:val="FF0000"/>
          <w:sz w:val="18"/>
        </w:rPr>
        <w:t xml:space="preserve"> </w:t>
      </w:r>
      <w:r>
        <w:rPr>
          <w:i/>
          <w:sz w:val="18"/>
        </w:rPr>
        <w:t>byť vykonávané pravidelné monitorovanie a preskúmavanie bezpečnosti IS v rozsahu:</w:t>
      </w:r>
    </w:p>
    <w:p w:rsidR="00234A56" w:rsidRDefault="00234A56" w:rsidP="00234A56">
      <w:pPr>
        <w:numPr>
          <w:ilvl w:val="1"/>
          <w:numId w:val="17"/>
        </w:numPr>
        <w:spacing w:after="27"/>
        <w:ind w:hanging="360"/>
      </w:pPr>
      <w:r>
        <w:rPr>
          <w:i/>
          <w:sz w:val="18"/>
        </w:rPr>
        <w:t>Pravidelné preskúmavanie plnenia cieľov bezpečnostnej politiky aspoň raz za 12 mesiacov vedením organizácie.</w:t>
      </w:r>
    </w:p>
    <w:p w:rsidR="00234A56" w:rsidRPr="007C6EFD" w:rsidRDefault="00234A56" w:rsidP="00234A56">
      <w:pPr>
        <w:numPr>
          <w:ilvl w:val="1"/>
          <w:numId w:val="17"/>
        </w:numPr>
        <w:spacing w:after="592" w:line="265" w:lineRule="auto"/>
        <w:ind w:hanging="360"/>
      </w:pPr>
      <w:r w:rsidRPr="006A7AA0">
        <w:rPr>
          <w:b/>
          <w:i/>
          <w:color w:val="FFC000"/>
          <w:sz w:val="18"/>
          <w:u w:val="single"/>
        </w:rPr>
        <w:t>Malo</w:t>
      </w:r>
      <w:r w:rsidRPr="006A7AA0">
        <w:rPr>
          <w:i/>
          <w:color w:val="FFC000"/>
          <w:sz w:val="18"/>
        </w:rPr>
        <w:t xml:space="preserve"> </w:t>
      </w:r>
      <w:r>
        <w:rPr>
          <w:i/>
          <w:sz w:val="18"/>
        </w:rPr>
        <w:t>by byť vykonávané pravidelné testovanie záloh dôležitých systémov na kontrolu funkčnosti.</w:t>
      </w:r>
    </w:p>
    <w:p w:rsidR="007212B1" w:rsidRDefault="007212B1">
      <w:pPr>
        <w:rPr>
          <w:b/>
          <w:i/>
          <w:color w:val="FFC000"/>
          <w:sz w:val="18"/>
          <w:u w:val="single"/>
        </w:rPr>
      </w:pPr>
      <w:r>
        <w:rPr>
          <w:b/>
          <w:i/>
          <w:color w:val="FFC000"/>
          <w:sz w:val="18"/>
          <w:u w:val="single"/>
        </w:rPr>
        <w:br w:type="page"/>
      </w:r>
    </w:p>
    <w:p w:rsidR="00C94AEF" w:rsidRDefault="00C94AEF" w:rsidP="0009694A">
      <w:pPr>
        <w:pStyle w:val="Nadpis1"/>
        <w:spacing w:after="214"/>
        <w:ind w:right="90"/>
      </w:pPr>
      <w:bookmarkStart w:id="5" w:name="_Toc184295825"/>
      <w:r w:rsidRPr="00757E05">
        <w:t xml:space="preserve">Štandardy </w:t>
      </w:r>
      <w:r>
        <w:t>pre logovanie</w:t>
      </w:r>
      <w:bookmarkEnd w:id="5"/>
    </w:p>
    <w:p w:rsidR="00C94AEF" w:rsidRDefault="00C94AEF" w:rsidP="0009694A">
      <w:pPr>
        <w:pStyle w:val="Nadpis2"/>
        <w:rPr>
          <w:rFonts w:eastAsia="Calibri"/>
        </w:rPr>
      </w:pPr>
      <w:bookmarkStart w:id="6" w:name="_Toc184295826"/>
      <w:r>
        <w:rPr>
          <w:rFonts w:eastAsia="Calibri"/>
        </w:rPr>
        <w:t>Obsah logov</w:t>
      </w:r>
      <w:bookmarkEnd w:id="6"/>
    </w:p>
    <w:p w:rsidR="000F37C5" w:rsidRDefault="000F37C5" w:rsidP="0072205B">
      <w:pPr>
        <w:pStyle w:val="Odsekzoznamu"/>
        <w:numPr>
          <w:ilvl w:val="0"/>
          <w:numId w:val="16"/>
        </w:numPr>
        <w:ind w:right="8"/>
      </w:pPr>
      <w:r w:rsidRPr="000F37C5">
        <w:rPr>
          <w:b/>
          <w:color w:val="FF0000"/>
          <w:u w:val="single"/>
        </w:rPr>
        <w:t xml:space="preserve">Musí </w:t>
      </w:r>
      <w:r>
        <w:rPr>
          <w:color w:val="000000"/>
        </w:rPr>
        <w:t xml:space="preserve">byť implementované logovanie a logy by </w:t>
      </w:r>
      <w:r w:rsidRPr="006A7AA0">
        <w:rPr>
          <w:b/>
          <w:i/>
          <w:color w:val="FFC000"/>
          <w:u w:val="single"/>
        </w:rPr>
        <w:t>mali</w:t>
      </w:r>
      <w:r>
        <w:rPr>
          <w:color w:val="000000"/>
        </w:rPr>
        <w:t xml:space="preserve"> zaznamenávať minimálne:</w:t>
      </w:r>
    </w:p>
    <w:p w:rsidR="000F37C5" w:rsidRDefault="00C94AEF" w:rsidP="0072205B">
      <w:pPr>
        <w:pStyle w:val="Odsekzoznamu"/>
        <w:numPr>
          <w:ilvl w:val="0"/>
          <w:numId w:val="13"/>
        </w:numPr>
        <w:spacing w:after="20" w:line="271" w:lineRule="auto"/>
        <w:ind w:right="8" w:hanging="360"/>
        <w:jc w:val="both"/>
      </w:pPr>
      <w:r>
        <w:t>(Úspešné aj neúspešné) Prihlásenie a</w:t>
      </w:r>
      <w:r w:rsidR="000F37C5">
        <w:t> </w:t>
      </w:r>
      <w:r>
        <w:t>odhlásenie</w:t>
      </w:r>
    </w:p>
    <w:p w:rsidR="00C94AEF" w:rsidRDefault="00C94AEF" w:rsidP="00234A56">
      <w:pPr>
        <w:numPr>
          <w:ilvl w:val="0"/>
          <w:numId w:val="13"/>
        </w:numPr>
        <w:spacing w:after="0" w:line="271" w:lineRule="auto"/>
        <w:ind w:right="6" w:hanging="357"/>
        <w:jc w:val="both"/>
      </w:pPr>
      <w:r>
        <w:t xml:space="preserve">(Úspešné aj neúspešné) Vytvorenie, modifikáciu alebo zmazanie používateľa alebo skupiny </w:t>
      </w:r>
    </w:p>
    <w:p w:rsidR="000F37C5" w:rsidRDefault="00C94AEF" w:rsidP="0072205B">
      <w:pPr>
        <w:numPr>
          <w:ilvl w:val="0"/>
          <w:numId w:val="13"/>
        </w:numPr>
        <w:spacing w:after="0" w:line="271" w:lineRule="auto"/>
        <w:ind w:right="6" w:hanging="357"/>
        <w:jc w:val="both"/>
      </w:pPr>
      <w:r>
        <w:t>(Úspešné aj neúspešné) Pokusy pristúpiť k citlivým údajom (údaje klasifikované hornými dvomi klasifikačnými stupňami v rámci organizácie)</w:t>
      </w:r>
    </w:p>
    <w:p w:rsidR="00C94AEF" w:rsidRDefault="00C94AEF" w:rsidP="0072205B">
      <w:pPr>
        <w:numPr>
          <w:ilvl w:val="0"/>
          <w:numId w:val="13"/>
        </w:numPr>
        <w:spacing w:after="0" w:line="271" w:lineRule="auto"/>
        <w:ind w:right="6" w:hanging="360"/>
        <w:jc w:val="both"/>
      </w:pPr>
      <w:r>
        <w:t>(Úspešné aj neúspešné) Pokusy o kritické operácie</w:t>
      </w:r>
    </w:p>
    <w:p w:rsidR="00C94AEF" w:rsidRDefault="00C94AEF" w:rsidP="0072205B">
      <w:pPr>
        <w:numPr>
          <w:ilvl w:val="0"/>
          <w:numId w:val="13"/>
        </w:numPr>
        <w:spacing w:after="20" w:line="271" w:lineRule="auto"/>
        <w:ind w:right="8" w:hanging="360"/>
        <w:jc w:val="both"/>
      </w:pPr>
      <w:r>
        <w:t>(Úspešné aj neúspešné) Spustenie procesu alebo služby</w:t>
      </w:r>
    </w:p>
    <w:p w:rsidR="00C94AEF" w:rsidRDefault="00C94AEF" w:rsidP="0072205B">
      <w:pPr>
        <w:numPr>
          <w:ilvl w:val="0"/>
          <w:numId w:val="13"/>
        </w:numPr>
        <w:spacing w:after="203" w:line="271" w:lineRule="auto"/>
        <w:ind w:right="8" w:hanging="360"/>
        <w:jc w:val="both"/>
      </w:pPr>
      <w:r>
        <w:t>(Úspešné aj neúspešné) Pokusy o prihlásenie prostredníctvom RDP, SSH</w:t>
      </w:r>
      <w:r w:rsidR="00444401">
        <w:t>, VPN</w:t>
      </w:r>
      <w:r>
        <w:t xml:space="preserve"> </w:t>
      </w:r>
    </w:p>
    <w:p w:rsidR="00C94AEF" w:rsidRDefault="00C94AEF" w:rsidP="0072205B">
      <w:pPr>
        <w:pStyle w:val="Odsekzoznamu"/>
        <w:numPr>
          <w:ilvl w:val="0"/>
          <w:numId w:val="16"/>
        </w:numPr>
        <w:ind w:right="8"/>
      </w:pPr>
      <w:r>
        <w:t xml:space="preserve">Logy </w:t>
      </w:r>
      <w:r w:rsidRPr="000F37C5">
        <w:rPr>
          <w:b/>
          <w:color w:val="FF0000"/>
          <w:u w:val="single"/>
        </w:rPr>
        <w:t>musia</w:t>
      </w:r>
      <w:r>
        <w:t xml:space="preserve"> byť centrálne  ukladané a archivované minimálne 6 mesiacov</w:t>
      </w:r>
    </w:p>
    <w:p w:rsidR="00C94AEF" w:rsidRDefault="00C94AEF" w:rsidP="0072205B">
      <w:pPr>
        <w:pStyle w:val="Odsekzoznamu"/>
        <w:numPr>
          <w:ilvl w:val="0"/>
          <w:numId w:val="16"/>
        </w:numPr>
        <w:spacing w:after="150"/>
        <w:ind w:right="8"/>
      </w:pPr>
      <w:r>
        <w:t xml:space="preserve">Riešenie </w:t>
      </w:r>
      <w:r w:rsidRPr="000F37C5">
        <w:rPr>
          <w:b/>
          <w:color w:val="FF0000"/>
          <w:u w:val="single"/>
        </w:rPr>
        <w:t>musí</w:t>
      </w:r>
      <w:r>
        <w:t xml:space="preserve"> podporovať aj logovanie </w:t>
      </w:r>
      <w:r w:rsidR="008A1B12" w:rsidRPr="008A1B12">
        <w:rPr>
          <w:b/>
        </w:rPr>
        <w:t>minimálne</w:t>
      </w:r>
      <w:r w:rsidR="008A1B12">
        <w:t xml:space="preserve"> </w:t>
      </w:r>
      <w:r>
        <w:t xml:space="preserve">vo formáte </w:t>
      </w:r>
      <w:proofErr w:type="spellStart"/>
      <w:r>
        <w:t>syslog</w:t>
      </w:r>
      <w:proofErr w:type="spellEnd"/>
      <w:r>
        <w:t xml:space="preserve"> a </w:t>
      </w:r>
      <w:r w:rsidRPr="000F37C5">
        <w:rPr>
          <w:b/>
          <w:color w:val="FF0000"/>
          <w:u w:val="single"/>
        </w:rPr>
        <w:t>musí</w:t>
      </w:r>
      <w:r>
        <w:t xml:space="preserve"> podporovať preposielanie týchto logov na externý </w:t>
      </w:r>
      <w:proofErr w:type="spellStart"/>
      <w:r>
        <w:t>syslog</w:t>
      </w:r>
      <w:proofErr w:type="spellEnd"/>
      <w:r>
        <w:t xml:space="preserve"> server</w:t>
      </w:r>
      <w:r w:rsidR="008A1B12">
        <w:t>.</w:t>
      </w:r>
    </w:p>
    <w:p w:rsidR="008945D6" w:rsidRDefault="008945D6" w:rsidP="0009694A">
      <w:pPr>
        <w:pStyle w:val="Nadpis2"/>
        <w:rPr>
          <w:rFonts w:eastAsia="Calibri"/>
        </w:rPr>
      </w:pPr>
      <w:bookmarkStart w:id="7" w:name="_Toc184295827"/>
      <w:r>
        <w:rPr>
          <w:rFonts w:eastAsia="Calibri"/>
        </w:rPr>
        <w:t>Aktívne logovanie</w:t>
      </w:r>
      <w:bookmarkEnd w:id="7"/>
    </w:p>
    <w:p w:rsidR="00C94AEF" w:rsidRDefault="00C94AEF" w:rsidP="0072205B">
      <w:pPr>
        <w:numPr>
          <w:ilvl w:val="0"/>
          <w:numId w:val="14"/>
        </w:numPr>
        <w:spacing w:after="20" w:line="271" w:lineRule="auto"/>
        <w:ind w:right="8" w:hanging="360"/>
        <w:jc w:val="both"/>
      </w:pPr>
      <w:r w:rsidRPr="006A7AA0">
        <w:rPr>
          <w:b/>
          <w:i/>
          <w:color w:val="FFC000"/>
          <w:u w:val="single"/>
        </w:rPr>
        <w:t>Malo</w:t>
      </w:r>
      <w:r>
        <w:t xml:space="preserve"> by byť použité kombinované logovanie na ukladanie Transfer logov (formát podporujúci prispôsobenie formátu logu). Ak takýto formát nie je dostupný, je potrebné zabezpečiť aby bolo logované aj hlavičky </w:t>
      </w:r>
      <w:proofErr w:type="spellStart"/>
      <w:r>
        <w:t>Referer</w:t>
      </w:r>
      <w:proofErr w:type="spellEnd"/>
      <w:r>
        <w:t xml:space="preserve"> a User-Agent.</w:t>
      </w:r>
    </w:p>
    <w:p w:rsidR="00C94AEF" w:rsidRDefault="00C94AEF" w:rsidP="0072205B">
      <w:pPr>
        <w:numPr>
          <w:ilvl w:val="0"/>
          <w:numId w:val="14"/>
        </w:numPr>
        <w:spacing w:after="20" w:line="271" w:lineRule="auto"/>
        <w:ind w:right="8" w:hanging="360"/>
        <w:jc w:val="both"/>
      </w:pPr>
      <w:r>
        <w:t xml:space="preserve">Pre každý virtuálny </w:t>
      </w:r>
      <w:proofErr w:type="spellStart"/>
      <w:r>
        <w:t>host</w:t>
      </w:r>
      <w:proofErr w:type="spellEnd"/>
      <w:r>
        <w:t xml:space="preserve"> na fyzickom </w:t>
      </w:r>
      <w:proofErr w:type="spellStart"/>
      <w:r>
        <w:t>webserveri</w:t>
      </w:r>
      <w:proofErr w:type="spellEnd"/>
      <w:r>
        <w:t xml:space="preserve"> by </w:t>
      </w:r>
      <w:r w:rsidRPr="006A7AA0">
        <w:rPr>
          <w:b/>
          <w:i/>
          <w:color w:val="FFC000"/>
          <w:u w:val="single"/>
        </w:rPr>
        <w:t>mal</w:t>
      </w:r>
      <w:r>
        <w:t xml:space="preserve"> existovať separátny log.</w:t>
      </w:r>
    </w:p>
    <w:p w:rsidR="00C94AEF" w:rsidRDefault="00C94AEF" w:rsidP="0072205B">
      <w:pPr>
        <w:numPr>
          <w:ilvl w:val="0"/>
          <w:numId w:val="14"/>
        </w:numPr>
        <w:spacing w:after="20" w:line="271" w:lineRule="auto"/>
        <w:ind w:right="8" w:hanging="360"/>
        <w:jc w:val="both"/>
      </w:pPr>
      <w:r>
        <w:t xml:space="preserve">V logoch </w:t>
      </w:r>
      <w:r w:rsidRPr="000F37C5">
        <w:rPr>
          <w:b/>
          <w:color w:val="FF0000"/>
          <w:u w:val="single"/>
        </w:rPr>
        <w:t>musia</w:t>
      </w:r>
      <w:r>
        <w:t xml:space="preserve"> byť uvedené: </w:t>
      </w:r>
      <w:proofErr w:type="spellStart"/>
      <w:r>
        <w:t>timestamp</w:t>
      </w:r>
      <w:proofErr w:type="spellEnd"/>
      <w:r>
        <w:t xml:space="preserve">, kedy udalosť nastala, vrátane určenia časovej zóny, verejná IP adresa používateľa, dopytovaná stránka/URL, HTTP kód odpovede servera, veľkosť odpovede servera v bytoch, obsahy hlavičiek User-Agent a </w:t>
      </w:r>
      <w:proofErr w:type="spellStart"/>
      <w:r>
        <w:t>Referer</w:t>
      </w:r>
      <w:proofErr w:type="spellEnd"/>
      <w:r>
        <w:t xml:space="preserve">. V prípade záznamov o udalostiach súvisiacich s autentifikáciou alebo s činnosťou  autentifikovaného používateľa je </w:t>
      </w:r>
      <w:r w:rsidRPr="00234A56">
        <w:rPr>
          <w:b/>
          <w:color w:val="FF0000"/>
          <w:u w:val="single"/>
        </w:rPr>
        <w:t>nutné</w:t>
      </w:r>
      <w:r>
        <w:t xml:space="preserve"> zaznamenať účet a akciu, aká bola vykonaná.</w:t>
      </w:r>
    </w:p>
    <w:p w:rsidR="00C94AEF" w:rsidRDefault="00C94AEF" w:rsidP="0072205B">
      <w:pPr>
        <w:numPr>
          <w:ilvl w:val="0"/>
          <w:numId w:val="14"/>
        </w:numPr>
        <w:spacing w:after="20" w:line="271" w:lineRule="auto"/>
        <w:ind w:right="8" w:hanging="360"/>
        <w:jc w:val="both"/>
      </w:pPr>
      <w:r>
        <w:t xml:space="preserve">Logy </w:t>
      </w:r>
      <w:r w:rsidRPr="000F37C5">
        <w:rPr>
          <w:b/>
          <w:color w:val="FF0000"/>
          <w:u w:val="single"/>
        </w:rPr>
        <w:t>musia</w:t>
      </w:r>
      <w:r>
        <w:t xml:space="preserve"> byť uchovávané na separátnom zariadení, resp. na separátnej logickej partícii.</w:t>
      </w:r>
    </w:p>
    <w:p w:rsidR="00C94AEF" w:rsidRDefault="00C94AEF" w:rsidP="0072205B">
      <w:pPr>
        <w:numPr>
          <w:ilvl w:val="0"/>
          <w:numId w:val="14"/>
        </w:numPr>
        <w:spacing w:after="20" w:line="271" w:lineRule="auto"/>
        <w:ind w:right="8" w:hanging="360"/>
        <w:jc w:val="both"/>
      </w:pPr>
      <w:r>
        <w:t xml:space="preserve">Na uchovávanie logov </w:t>
      </w:r>
      <w:r w:rsidRPr="000F37C5">
        <w:rPr>
          <w:b/>
          <w:color w:val="FF0000"/>
          <w:u w:val="single"/>
        </w:rPr>
        <w:t>musí</w:t>
      </w:r>
      <w:r>
        <w:t xml:space="preserve"> byť vyhradená dostatočná kapacita.</w:t>
      </w:r>
    </w:p>
    <w:p w:rsidR="00C94AEF" w:rsidRDefault="00C94AEF" w:rsidP="0072205B">
      <w:pPr>
        <w:numPr>
          <w:ilvl w:val="0"/>
          <w:numId w:val="14"/>
        </w:numPr>
        <w:spacing w:after="0" w:line="271" w:lineRule="auto"/>
        <w:ind w:right="6" w:hanging="360"/>
        <w:jc w:val="both"/>
      </w:pPr>
      <w:r>
        <w:t xml:space="preserve">Logy by </w:t>
      </w:r>
      <w:r w:rsidRPr="006A7AA0">
        <w:rPr>
          <w:b/>
          <w:i/>
          <w:color w:val="FFC000"/>
          <w:u w:val="single"/>
        </w:rPr>
        <w:t>mali</w:t>
      </w:r>
      <w:r>
        <w:t xml:space="preserve"> byť archivované po dobu stanovenú pravidlami organizácie, minimálne však počas 6 mesiacov.</w:t>
      </w:r>
    </w:p>
    <w:p w:rsidR="00C94AEF" w:rsidRDefault="00C94AEF" w:rsidP="0072205B">
      <w:pPr>
        <w:numPr>
          <w:ilvl w:val="0"/>
          <w:numId w:val="14"/>
        </w:numPr>
        <w:spacing w:after="0" w:line="271" w:lineRule="auto"/>
        <w:ind w:right="6" w:hanging="360"/>
        <w:jc w:val="both"/>
      </w:pPr>
      <w:r>
        <w:t xml:space="preserve">Logy </w:t>
      </w:r>
      <w:r w:rsidRPr="000F37C5">
        <w:rPr>
          <w:b/>
          <w:color w:val="FF0000"/>
          <w:u w:val="single"/>
        </w:rPr>
        <w:t>musia</w:t>
      </w:r>
      <w:r>
        <w:t xml:space="preserve"> byť prezerané v pravidelných intervaloch v závislosti od politiky organizácie, minimálne však raz týždenne. V prípade služieb, ktoré  spracúvajú citlivé údaje alebo ich správna činnosť ovplyvňuje kritické aktíva organizácie, by </w:t>
      </w:r>
      <w:r w:rsidRPr="006A7AA0">
        <w:rPr>
          <w:b/>
          <w:i/>
          <w:color w:val="FFC000"/>
          <w:u w:val="single"/>
        </w:rPr>
        <w:t>mali</w:t>
      </w:r>
      <w:r>
        <w:t xml:space="preserve"> byť logy kontrolované denne.</w:t>
      </w:r>
    </w:p>
    <w:p w:rsidR="00C94AEF" w:rsidRDefault="00C94AEF" w:rsidP="0072205B">
      <w:pPr>
        <w:numPr>
          <w:ilvl w:val="0"/>
          <w:numId w:val="14"/>
        </w:numPr>
        <w:spacing w:after="0" w:line="271" w:lineRule="auto"/>
        <w:ind w:right="6" w:hanging="360"/>
        <w:jc w:val="both"/>
      </w:pPr>
      <w:r>
        <w:t xml:space="preserve">Logy </w:t>
      </w:r>
      <w:r w:rsidRPr="000F37C5">
        <w:rPr>
          <w:b/>
          <w:color w:val="FF0000"/>
          <w:u w:val="single"/>
        </w:rPr>
        <w:t>musia</w:t>
      </w:r>
      <w:r>
        <w:t xml:space="preserve"> obsahovať korektné informácie o dátume, čase a použitej časovej zóne. Pre korektné nastavenie času sa </w:t>
      </w:r>
      <w:r w:rsidRPr="00833960">
        <w:rPr>
          <w:b/>
          <w:i/>
          <w:color w:val="00B050"/>
          <w:u w:val="single"/>
        </w:rPr>
        <w:t>odporúča</w:t>
      </w:r>
      <w:r>
        <w:t xml:space="preserve"> nastaviť </w:t>
      </w:r>
      <w:proofErr w:type="spellStart"/>
      <w:r>
        <w:t>synchornizáciu</w:t>
      </w:r>
      <w:proofErr w:type="spellEnd"/>
      <w:r>
        <w:t xml:space="preserve"> s dôveryhodným NTP serverom. </w:t>
      </w:r>
      <w:r w:rsidRPr="00833960">
        <w:rPr>
          <w:b/>
          <w:i/>
          <w:color w:val="00B050"/>
          <w:u w:val="single"/>
        </w:rPr>
        <w:t>Odporúča</w:t>
      </w:r>
      <w:r>
        <w:t xml:space="preserve"> sa využiť autentifikovanú NTP synchronizáciu.</w:t>
      </w:r>
    </w:p>
    <w:p w:rsidR="007118AC" w:rsidRDefault="007118AC" w:rsidP="007118AC">
      <w:pPr>
        <w:numPr>
          <w:ilvl w:val="0"/>
          <w:numId w:val="14"/>
        </w:numPr>
        <w:spacing w:after="0" w:line="271" w:lineRule="auto"/>
        <w:ind w:right="6" w:hanging="360"/>
        <w:jc w:val="both"/>
      </w:pPr>
      <w:r>
        <w:t xml:space="preserve">Všetky servery a </w:t>
      </w:r>
      <w:proofErr w:type="spellStart"/>
      <w:r>
        <w:t>syslog</w:t>
      </w:r>
      <w:proofErr w:type="spellEnd"/>
      <w:r>
        <w:t xml:space="preserve"> servery </w:t>
      </w:r>
      <w:r w:rsidRPr="00E61627">
        <w:rPr>
          <w:b/>
          <w:color w:val="FF0000"/>
          <w:u w:val="single"/>
        </w:rPr>
        <w:t>musia</w:t>
      </w:r>
      <w:r>
        <w:t xml:space="preserve"> byť synchronizované s dôveryhodným NTP serverom.</w:t>
      </w:r>
    </w:p>
    <w:p w:rsidR="00C94AEF" w:rsidRDefault="00C94AEF" w:rsidP="0072205B">
      <w:pPr>
        <w:numPr>
          <w:ilvl w:val="0"/>
          <w:numId w:val="14"/>
        </w:numPr>
        <w:spacing w:after="0" w:line="271" w:lineRule="auto"/>
        <w:ind w:right="6" w:hanging="360"/>
        <w:jc w:val="both"/>
      </w:pPr>
      <w:r>
        <w:t xml:space="preserve">Logovanie </w:t>
      </w:r>
      <w:r w:rsidRPr="000F37C5">
        <w:rPr>
          <w:b/>
          <w:color w:val="FF0000"/>
          <w:u w:val="single"/>
        </w:rPr>
        <w:t>musí</w:t>
      </w:r>
      <w:r>
        <w:t xml:space="preserve"> byť nastavené tak, aby prípadné zaplnenie logovacieho miesta neovplyvnilo stabilitu OS. </w:t>
      </w:r>
      <w:r w:rsidRPr="00833960">
        <w:rPr>
          <w:b/>
          <w:i/>
          <w:color w:val="00B050"/>
          <w:u w:val="single"/>
        </w:rPr>
        <w:t>Možné</w:t>
      </w:r>
      <w:r>
        <w:t xml:space="preserve"> opatrenia: samostatná disková partícia, rotovanie logov a maximálna veľkosť logov.</w:t>
      </w:r>
    </w:p>
    <w:p w:rsidR="00C94AEF" w:rsidRDefault="00C94AEF" w:rsidP="0072205B">
      <w:pPr>
        <w:numPr>
          <w:ilvl w:val="0"/>
          <w:numId w:val="14"/>
        </w:numPr>
        <w:spacing w:after="0" w:line="271" w:lineRule="auto"/>
        <w:ind w:right="6" w:hanging="360"/>
        <w:jc w:val="both"/>
      </w:pPr>
      <w:r>
        <w:t xml:space="preserve">Logy z kritických služieb a serverov </w:t>
      </w:r>
      <w:r w:rsidRPr="000F37C5">
        <w:rPr>
          <w:b/>
          <w:color w:val="FF0000"/>
          <w:u w:val="single"/>
        </w:rPr>
        <w:t>musia</w:t>
      </w:r>
      <w:r>
        <w:t xml:space="preserve"> byť synchronizované na samostatné logovacie zariadenie.</w:t>
      </w:r>
    </w:p>
    <w:p w:rsidR="00C94AEF" w:rsidRDefault="00C94AEF" w:rsidP="0072205B">
      <w:pPr>
        <w:numPr>
          <w:ilvl w:val="0"/>
          <w:numId w:val="14"/>
        </w:numPr>
        <w:spacing w:after="0" w:line="271" w:lineRule="auto"/>
        <w:ind w:right="6" w:hanging="360"/>
        <w:jc w:val="both"/>
      </w:pPr>
      <w:r>
        <w:t xml:space="preserve">Logovacie súbory by </w:t>
      </w:r>
      <w:r w:rsidRPr="006A7AA0">
        <w:rPr>
          <w:b/>
          <w:i/>
          <w:color w:val="FFC000"/>
          <w:u w:val="single"/>
        </w:rPr>
        <w:t>mali</w:t>
      </w:r>
      <w:r>
        <w:t xml:space="preserve"> byť zabezpečené aspoň takýmto spôsobom:</w:t>
      </w:r>
    </w:p>
    <w:p w:rsidR="00C94AEF" w:rsidRDefault="00C94AEF" w:rsidP="0072205B">
      <w:pPr>
        <w:pStyle w:val="Odsekzoznamu"/>
        <w:numPr>
          <w:ilvl w:val="0"/>
          <w:numId w:val="15"/>
        </w:numPr>
        <w:spacing w:after="0" w:line="271" w:lineRule="auto"/>
        <w:ind w:right="6" w:hanging="357"/>
        <w:jc w:val="both"/>
      </w:pPr>
      <w:r w:rsidRPr="006A7AA0">
        <w:rPr>
          <w:b/>
          <w:i/>
          <w:color w:val="FFC000"/>
          <w:u w:val="single"/>
        </w:rPr>
        <w:t>Mali</w:t>
      </w:r>
      <w:r w:rsidRPr="0072205B">
        <w:rPr>
          <w:color w:val="FFC000"/>
        </w:rPr>
        <w:t xml:space="preserve"> </w:t>
      </w:r>
      <w:r>
        <w:t>by byť čitateľné len administrátorom.</w:t>
      </w:r>
    </w:p>
    <w:p w:rsidR="00C94AEF" w:rsidRDefault="00C94AEF" w:rsidP="0072205B">
      <w:pPr>
        <w:pStyle w:val="Odsekzoznamu"/>
        <w:numPr>
          <w:ilvl w:val="0"/>
          <w:numId w:val="15"/>
        </w:numPr>
        <w:spacing w:after="44" w:line="271" w:lineRule="auto"/>
        <w:ind w:right="8"/>
        <w:jc w:val="both"/>
      </w:pPr>
      <w:r w:rsidRPr="006A7AA0">
        <w:rPr>
          <w:b/>
          <w:i/>
          <w:color w:val="FFC000"/>
          <w:u w:val="single"/>
        </w:rPr>
        <w:t>Nemali</w:t>
      </w:r>
      <w:r>
        <w:t xml:space="preserve"> by byť prepisovateľné a </w:t>
      </w:r>
      <w:proofErr w:type="spellStart"/>
      <w:r>
        <w:t>vymazateľné</w:t>
      </w:r>
      <w:proofErr w:type="spellEnd"/>
      <w:r>
        <w:t xml:space="preserve"> (</w:t>
      </w:r>
      <w:r w:rsidRPr="006A7AA0">
        <w:rPr>
          <w:b/>
          <w:i/>
          <w:color w:val="FFC000"/>
          <w:u w:val="single"/>
        </w:rPr>
        <w:t>mal</w:t>
      </w:r>
      <w:r>
        <w:t xml:space="preserve"> by byť m</w:t>
      </w:r>
      <w:r w:rsidR="00E61627">
        <w:t>ožný len zápis na koniec súboru)</w:t>
      </w:r>
    </w:p>
    <w:p w:rsidR="000F37C5" w:rsidRDefault="00C94AEF" w:rsidP="0072205B">
      <w:pPr>
        <w:pStyle w:val="Odsekzoznamu"/>
        <w:numPr>
          <w:ilvl w:val="0"/>
          <w:numId w:val="15"/>
        </w:numPr>
        <w:spacing w:after="20" w:line="271" w:lineRule="auto"/>
        <w:ind w:right="8"/>
        <w:jc w:val="both"/>
      </w:pPr>
      <w:r w:rsidRPr="00833960">
        <w:rPr>
          <w:b/>
          <w:i/>
          <w:color w:val="00B050"/>
          <w:u w:val="single"/>
        </w:rPr>
        <w:t>Odporúča</w:t>
      </w:r>
      <w:r w:rsidRPr="0072205B">
        <w:rPr>
          <w:color w:val="00B050"/>
        </w:rPr>
        <w:t xml:space="preserve"> </w:t>
      </w:r>
      <w:r>
        <w:t xml:space="preserve">sa komprimovať  a šifrovať archivované logovacie súbory. Pri ručnej archivácii sa </w:t>
      </w:r>
      <w:r w:rsidRPr="00833960">
        <w:rPr>
          <w:b/>
          <w:i/>
          <w:color w:val="00B050"/>
          <w:u w:val="single"/>
        </w:rPr>
        <w:t>odporúča</w:t>
      </w:r>
      <w:r>
        <w:t xml:space="preserve"> aj podpisovať logovacie súbory.</w:t>
      </w:r>
    </w:p>
    <w:p w:rsidR="007118AC" w:rsidRDefault="007118AC" w:rsidP="007118AC">
      <w:pPr>
        <w:numPr>
          <w:ilvl w:val="0"/>
          <w:numId w:val="14"/>
        </w:numPr>
        <w:spacing w:after="0" w:line="271" w:lineRule="auto"/>
        <w:ind w:right="6" w:hanging="360"/>
        <w:jc w:val="both"/>
      </w:pPr>
      <w:proofErr w:type="spellStart"/>
      <w:r>
        <w:t>Granularita</w:t>
      </w:r>
      <w:proofErr w:type="spellEnd"/>
      <w:r>
        <w:t xml:space="preserve"> logovania </w:t>
      </w:r>
      <w:r w:rsidRPr="000F37C5">
        <w:rPr>
          <w:b/>
          <w:color w:val="FF0000"/>
          <w:u w:val="single"/>
        </w:rPr>
        <w:t>musí</w:t>
      </w:r>
      <w:r>
        <w:t xml:space="preserve"> zodpovedať požiadavkám danej služby alebo zariadenia a jeho kritickosti.</w:t>
      </w:r>
    </w:p>
    <w:p w:rsidR="007118AC" w:rsidRDefault="007118AC" w:rsidP="0072205B">
      <w:pPr>
        <w:spacing w:after="0" w:line="271" w:lineRule="auto"/>
        <w:ind w:left="363" w:right="6"/>
        <w:jc w:val="both"/>
      </w:pPr>
    </w:p>
    <w:p w:rsidR="00543894" w:rsidRDefault="00543894" w:rsidP="00543894">
      <w:pPr>
        <w:pStyle w:val="Nadpis2"/>
      </w:pPr>
      <w:bookmarkStart w:id="8" w:name="_Toc184295828"/>
      <w:r>
        <w:t>Sumarizácia</w:t>
      </w:r>
      <w:bookmarkEnd w:id="8"/>
    </w:p>
    <w:p w:rsidR="00543894" w:rsidRDefault="00543894" w:rsidP="0072205B">
      <w:pPr>
        <w:spacing w:after="0" w:line="271" w:lineRule="auto"/>
        <w:ind w:left="363" w:right="6"/>
        <w:jc w:val="both"/>
      </w:pPr>
    </w:p>
    <w:p w:rsidR="00893843" w:rsidRDefault="00893843" w:rsidP="00893843">
      <w:pPr>
        <w:pStyle w:val="Popis"/>
        <w:keepNext/>
      </w:pPr>
      <w:r>
        <w:t xml:space="preserve">Tabuľka </w:t>
      </w:r>
      <w:r w:rsidR="00543894">
        <w:t>1</w:t>
      </w:r>
    </w:p>
    <w:tbl>
      <w:tblPr>
        <w:tblW w:w="96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516"/>
        <w:gridCol w:w="1134"/>
        <w:gridCol w:w="1150"/>
      </w:tblGrid>
      <w:tr w:rsidR="00CF2B98" w:rsidRPr="00893843" w:rsidTr="00CF2B98">
        <w:trPr>
          <w:jc w:val="center"/>
        </w:trPr>
        <w:tc>
          <w:tcPr>
            <w:tcW w:w="84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3843">
              <w:rPr>
                <w:rFonts w:ascii="Arial" w:hAnsi="Arial" w:cs="Arial"/>
                <w:b/>
                <w:bCs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651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bCs/>
                <w:sz w:val="18"/>
                <w:szCs w:val="18"/>
              </w:rPr>
              <w:t>Požiadavka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3843">
              <w:rPr>
                <w:rFonts w:ascii="Arial" w:hAnsi="Arial" w:cs="Arial"/>
                <w:b/>
                <w:bCs/>
                <w:sz w:val="18"/>
                <w:szCs w:val="18"/>
              </w:rPr>
              <w:t>MoSCoW</w:t>
            </w:r>
            <w:proofErr w:type="spellEnd"/>
          </w:p>
        </w:tc>
        <w:tc>
          <w:tcPr>
            <w:tcW w:w="115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Komentár 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21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Implementované logovanie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22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(Úspešné aj neúspešné) Prihlásenie a odhlásenie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23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(Úspešné aj neúspešné) Vytvorenie, modifikáciu alebo zmazanie používateľa alebo skupiny 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24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(Úspešné aj neúspešné) Pokusy pristúpiť k citlivým údajom (údaje klasifikované hornými dvomi klasifikačnými stupňami v rámci organizácie)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25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(Úspešné aj neúspešné) Pokusy o kritické operácie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26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(Úspešné aj neúspešné) Spustenie procesu alebo služby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27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(Úspešné aj neúspešné) Pokusy o prihlásenie prostredníctvom RDP, SSH 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28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Logy musia byť centrálne  ukladané a archivované minimálne 6 mesiacov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29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C20C2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Riešenie musí podporovať aj logovanie vo formáte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syslog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a musí podporovať preposielanie týchto logov na externý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syslog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server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C20C2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45D6" w:rsidRDefault="008945D6" w:rsidP="0072205B">
      <w:pPr>
        <w:spacing w:after="0" w:line="271" w:lineRule="auto"/>
        <w:ind w:left="363" w:right="6"/>
        <w:jc w:val="both"/>
      </w:pPr>
    </w:p>
    <w:p w:rsidR="00893843" w:rsidRDefault="00893843" w:rsidP="00893843">
      <w:pPr>
        <w:pStyle w:val="Popis"/>
        <w:keepNext/>
      </w:pPr>
      <w:r>
        <w:t xml:space="preserve">Tabuľka </w:t>
      </w:r>
      <w:r w:rsidR="009A52DC">
        <w:t>2</w:t>
      </w:r>
    </w:p>
    <w:tbl>
      <w:tblPr>
        <w:tblW w:w="96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516"/>
        <w:gridCol w:w="1134"/>
        <w:gridCol w:w="1150"/>
      </w:tblGrid>
      <w:tr w:rsidR="00CF2B98" w:rsidRPr="00893843" w:rsidTr="00CF2B98">
        <w:trPr>
          <w:jc w:val="center"/>
        </w:trPr>
        <w:tc>
          <w:tcPr>
            <w:tcW w:w="841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3843">
              <w:rPr>
                <w:rFonts w:ascii="Arial" w:hAnsi="Arial" w:cs="Arial"/>
                <w:b/>
                <w:bCs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651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bCs/>
                <w:sz w:val="18"/>
                <w:szCs w:val="18"/>
              </w:rPr>
              <w:t>Požiadavka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3843">
              <w:rPr>
                <w:rFonts w:ascii="Arial" w:hAnsi="Arial" w:cs="Arial"/>
                <w:b/>
                <w:bCs/>
                <w:sz w:val="18"/>
                <w:szCs w:val="18"/>
              </w:rPr>
              <w:t>MoSCoW</w:t>
            </w:r>
            <w:proofErr w:type="spellEnd"/>
          </w:p>
        </w:tc>
        <w:tc>
          <w:tcPr>
            <w:tcW w:w="115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Komentár 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8945D6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30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7118AC">
            <w:pPr>
              <w:spacing w:after="20" w:line="271" w:lineRule="auto"/>
              <w:ind w:right="8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Použitie kombinácie logovanie na ukladanie Transfer logov (formát podporujúci prispôsobenie formátu logu). Ak takýto formát nie je dostupný, je potrebné zabezpečiť aby bolo logované aj hlavičky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Referer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a User-Agent.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8945D6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31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20" w:line="271" w:lineRule="auto"/>
              <w:ind w:right="8"/>
              <w:jc w:val="both"/>
              <w:rPr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Pre každý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virtuál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host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na fyzickom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webserveri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by mal existovať separátny log.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32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8945D6">
            <w:pPr>
              <w:spacing w:after="20" w:line="271" w:lineRule="auto"/>
              <w:ind w:right="8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  <w:u w:val="single"/>
              </w:rPr>
              <w:t>Obsah logu:</w:t>
            </w:r>
            <w:r w:rsidRPr="0089384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timestamp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, kedy udalosť nastala, vrátane určenia časovej zóny, verejná IP adresa používateľa, dopytovaná stránka/URL, HTTP kód odpovede servera, veľkosť odpovede servera v bytoch, obsahy hlavičiek User-Agent a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Referer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>. V prípade záznamov o udalostiach súvisiacich s autentifikáciou alebo s činnosťou  autentifikovaného používateľa je nutné zaznamenať účet a akciu, aká bola vykonaná.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33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8945D6">
            <w:pPr>
              <w:spacing w:after="20" w:line="271" w:lineRule="auto"/>
              <w:ind w:right="8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Logy musia byť uchovávané na separátnom zariadení, resp. na separátnej logickej partícii.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34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20" w:line="271" w:lineRule="auto"/>
              <w:ind w:right="8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Na uchovávanie logov musí byť vyhradená dostatočná kapacita.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35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0" w:line="271" w:lineRule="auto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Logy by mali byť archivované po dobu stanovenú pravidlami organizácie, minimálne však počas 6 mesiacov.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36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Logy musia byť prezerané v pravidelných intervaloch v závislosti od politiky organizácie, minimálne však raz týždenne.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37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V prípade služieb, ktoré  spracúvajú citlivé údaje alebo ich správna činnosť ovplyvňuje kritické aktíva organizácie, by mali byť logy kontrolované denne.</w:t>
            </w:r>
          </w:p>
        </w:tc>
        <w:tc>
          <w:tcPr>
            <w:tcW w:w="1134" w:type="dxa"/>
            <w:vAlign w:val="center"/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38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spacing w:after="48" w:line="283" w:lineRule="auto"/>
              <w:ind w:right="268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Logy musia obsahovať korektné informácie o dátume, čase a použitej časovej zóne.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39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0" w:line="271" w:lineRule="auto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Pre korektné nastavenie času sa odporúča nastaviť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synchornizáciu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s dôveryhodným NTP serverom. Odporúča sa využiť autentifikovanú NTP synchronizáciu.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00B050"/>
                <w:sz w:val="18"/>
                <w:szCs w:val="18"/>
              </w:rPr>
              <w:t>C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40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0" w:line="271" w:lineRule="auto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Všetky servery a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syslog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servery musia byť synchronizované s dôveryhodným NTP serverom.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41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0" w:line="271" w:lineRule="auto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Logovanie musí byť nastavené tak, aby prípadné zaplnenie logovacieho miesta neovplyvnilo stabilitu OS. 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42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0" w:line="271" w:lineRule="auto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Možné opatrenia: samostatná disková partícia, rotovanie logov a maximálna veľkosť logov.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00B050"/>
                <w:sz w:val="18"/>
                <w:szCs w:val="18"/>
              </w:rPr>
              <w:t>C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43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0" w:line="271" w:lineRule="auto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Logy z kritických služieb a serverov musia byť synchronizované na samostatné logovacie zariadenie.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44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0" w:line="271" w:lineRule="auto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Logovacie súbory by mali byť čitateľné len administrátorom.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45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44" w:line="271" w:lineRule="auto"/>
              <w:ind w:right="8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 xml:space="preserve">Logovacie súbory by nemali byť prepisovateľné a </w:t>
            </w:r>
            <w:proofErr w:type="spellStart"/>
            <w:r w:rsidRPr="00893843">
              <w:rPr>
                <w:rFonts w:cs="Arial"/>
                <w:sz w:val="18"/>
                <w:szCs w:val="18"/>
              </w:rPr>
              <w:t>vymazateľné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(mal by byť možný len zápis na koniec súboru).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C000"/>
                <w:sz w:val="18"/>
                <w:szCs w:val="18"/>
              </w:rPr>
              <w:t>S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46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20" w:line="271" w:lineRule="auto"/>
              <w:ind w:right="8"/>
              <w:jc w:val="both"/>
              <w:rPr>
                <w:rFonts w:cs="Arial"/>
                <w:sz w:val="18"/>
                <w:szCs w:val="18"/>
              </w:rPr>
            </w:pPr>
            <w:r w:rsidRPr="00893843">
              <w:rPr>
                <w:rFonts w:cs="Arial"/>
                <w:sz w:val="18"/>
                <w:szCs w:val="18"/>
              </w:rPr>
              <w:t>Odporúča sa komprimovať  a šifrovať archivované logovacie súbory. Pri ručnej archivácii sa odporúča aj podpisovať logovacie súbory.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00B050"/>
                <w:sz w:val="18"/>
                <w:szCs w:val="18"/>
              </w:rPr>
              <w:t>C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B98" w:rsidRPr="00893843" w:rsidTr="00CF2B98">
        <w:trPr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93843">
              <w:rPr>
                <w:rFonts w:ascii="Arial" w:hAnsi="Arial" w:cs="Arial"/>
                <w:sz w:val="18"/>
                <w:szCs w:val="18"/>
              </w:rPr>
              <w:t>SR 47</w:t>
            </w:r>
          </w:p>
        </w:tc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B98" w:rsidRPr="00893843" w:rsidRDefault="00CF2B98" w:rsidP="007118AC">
            <w:pPr>
              <w:spacing w:after="0" w:line="271" w:lineRule="auto"/>
              <w:ind w:right="6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893843">
              <w:rPr>
                <w:rFonts w:cs="Arial"/>
                <w:sz w:val="18"/>
                <w:szCs w:val="18"/>
              </w:rPr>
              <w:t>Granularita</w:t>
            </w:r>
            <w:proofErr w:type="spellEnd"/>
            <w:r w:rsidRPr="00893843">
              <w:rPr>
                <w:rFonts w:cs="Arial"/>
                <w:sz w:val="18"/>
                <w:szCs w:val="18"/>
              </w:rPr>
              <w:t xml:space="preserve"> logovania musí zodpovedať požiadavkám danej služby alebo zariadenia a jeho kritickosti.</w:t>
            </w:r>
          </w:p>
        </w:tc>
        <w:tc>
          <w:tcPr>
            <w:tcW w:w="1134" w:type="dxa"/>
            <w:vAlign w:val="center"/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3843">
              <w:rPr>
                <w:rFonts w:ascii="Arial" w:hAnsi="Arial" w:cs="Arial"/>
                <w:b/>
                <w:color w:val="FF0000"/>
                <w:sz w:val="18"/>
                <w:szCs w:val="18"/>
              </w:rPr>
              <w:t>M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98" w:rsidRPr="00893843" w:rsidRDefault="00CF2B98" w:rsidP="00FE63F5">
            <w:pPr>
              <w:pStyle w:val="Normlnywebov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FE" w:rsidRDefault="007E73FE" w:rsidP="007E73FE">
      <w:pPr>
        <w:spacing w:after="148"/>
        <w:ind w:left="720" w:right="8"/>
      </w:pPr>
    </w:p>
    <w:p w:rsidR="00C579A6" w:rsidRDefault="00FE63F5" w:rsidP="00254BDC">
      <w:pPr>
        <w:pStyle w:val="Nadpis2"/>
        <w:rPr>
          <w:rFonts w:eastAsia="Calibri"/>
        </w:rPr>
      </w:pPr>
      <w:bookmarkStart w:id="9" w:name="_Toc184295829"/>
      <w:r w:rsidRPr="00254BDC">
        <w:rPr>
          <w:rFonts w:eastAsia="Calibri"/>
        </w:rPr>
        <w:t xml:space="preserve">Zdroje </w:t>
      </w:r>
      <w:r w:rsidR="00C579A6">
        <w:rPr>
          <w:rFonts w:eastAsia="Calibri"/>
        </w:rPr>
        <w:t xml:space="preserve">/ kategórie </w:t>
      </w:r>
      <w:r w:rsidRPr="00254BDC">
        <w:rPr>
          <w:rFonts w:eastAsia="Calibri"/>
        </w:rPr>
        <w:t>logov</w:t>
      </w:r>
      <w:bookmarkEnd w:id="9"/>
      <w:r w:rsidRPr="00254BDC">
        <w:rPr>
          <w:rFonts w:eastAsia="Calibri"/>
        </w:rPr>
        <w:t xml:space="preserve"> </w:t>
      </w:r>
    </w:p>
    <w:p w:rsidR="00FE63F5" w:rsidRDefault="00FE63F5" w:rsidP="00FE63F5">
      <w:pPr>
        <w:pStyle w:val="Odsekzoznamu"/>
        <w:numPr>
          <w:ilvl w:val="0"/>
          <w:numId w:val="25"/>
        </w:numPr>
        <w:spacing w:after="194" w:line="283" w:lineRule="auto"/>
        <w:jc w:val="both"/>
      </w:pPr>
      <w:r w:rsidRPr="009A744A">
        <w:rPr>
          <w:b/>
        </w:rPr>
        <w:t>Skupinou SEC</w:t>
      </w:r>
      <w:r w:rsidRPr="00D07F0B">
        <w:t xml:space="preserve"> je myslený bezpečnostný softvér a nástroje, ako </w:t>
      </w:r>
      <w:r w:rsidR="00CD2A08">
        <w:t xml:space="preserve">sú </w:t>
      </w:r>
      <w:r w:rsidR="009A744A" w:rsidRPr="009A744A">
        <w:rPr>
          <w:i/>
        </w:rPr>
        <w:t>AV</w:t>
      </w:r>
      <w:r w:rsidR="009A744A">
        <w:t xml:space="preserve"> </w:t>
      </w:r>
      <w:r w:rsidRPr="00D07F0B">
        <w:t>antivírusový/</w:t>
      </w:r>
      <w:proofErr w:type="spellStart"/>
      <w:r w:rsidRPr="00D07F0B">
        <w:t>antimalware</w:t>
      </w:r>
      <w:proofErr w:type="spellEnd"/>
      <w:r w:rsidRPr="00D07F0B">
        <w:t xml:space="preserve"> softvér, </w:t>
      </w:r>
      <w:r w:rsidRPr="009A744A">
        <w:rPr>
          <w:i/>
        </w:rPr>
        <w:t>IPS a IDS</w:t>
      </w:r>
      <w:r w:rsidRPr="00D07F0B">
        <w:t xml:space="preserve"> systémy, </w:t>
      </w:r>
      <w:r w:rsidRPr="009A744A">
        <w:rPr>
          <w:i/>
        </w:rPr>
        <w:t>VPN</w:t>
      </w:r>
      <w:r w:rsidR="009A744A">
        <w:t xml:space="preserve"> Vzdialený prístup, </w:t>
      </w:r>
      <w:r w:rsidR="009A744A" w:rsidRPr="009A744A">
        <w:rPr>
          <w:i/>
        </w:rPr>
        <w:t>W</w:t>
      </w:r>
      <w:r w:rsidRPr="009A744A">
        <w:rPr>
          <w:i/>
        </w:rPr>
        <w:t>eb proxy</w:t>
      </w:r>
      <w:r w:rsidRPr="00D07F0B">
        <w:t xml:space="preserve">, </w:t>
      </w:r>
      <w:proofErr w:type="spellStart"/>
      <w:r w:rsidR="009A744A" w:rsidRPr="009A744A">
        <w:rPr>
          <w:i/>
        </w:rPr>
        <w:t>V</w:t>
      </w:r>
      <w:r w:rsidRPr="009A744A">
        <w:rPr>
          <w:i/>
        </w:rPr>
        <w:t>ulnerability</w:t>
      </w:r>
      <w:proofErr w:type="spellEnd"/>
      <w:r w:rsidRPr="009A744A">
        <w:rPr>
          <w:i/>
        </w:rPr>
        <w:t xml:space="preserve"> management</w:t>
      </w:r>
      <w:r w:rsidRPr="00D07F0B">
        <w:t xml:space="preserve"> software, </w:t>
      </w:r>
      <w:r w:rsidRPr="006C6C33">
        <w:rPr>
          <w:i/>
        </w:rPr>
        <w:t>firewally a routery</w:t>
      </w:r>
      <w:r w:rsidRPr="00D07F0B">
        <w:t xml:space="preserve">, </w:t>
      </w:r>
      <w:r w:rsidRPr="006C6C33">
        <w:rPr>
          <w:i/>
        </w:rPr>
        <w:t>autentizačné servery</w:t>
      </w:r>
      <w:r w:rsidRPr="00D07F0B">
        <w:t xml:space="preserve"> a pod.</w:t>
      </w:r>
    </w:p>
    <w:p w:rsidR="00FE63F5" w:rsidRDefault="00FE63F5" w:rsidP="00FE63F5">
      <w:pPr>
        <w:pStyle w:val="Odsekzoznamu"/>
        <w:numPr>
          <w:ilvl w:val="0"/>
          <w:numId w:val="25"/>
        </w:numPr>
        <w:spacing w:after="0" w:line="283" w:lineRule="auto"/>
        <w:jc w:val="both"/>
      </w:pPr>
      <w:r w:rsidRPr="009A744A">
        <w:rPr>
          <w:b/>
        </w:rPr>
        <w:t>Skupina OS</w:t>
      </w:r>
      <w:r>
        <w:t xml:space="preserve"> zahŕňa servery, pracovné stanice a sieťové prvky (routery a </w:t>
      </w:r>
      <w:proofErr w:type="spellStart"/>
      <w:r>
        <w:t>switche</w:t>
      </w:r>
      <w:proofErr w:type="spellEnd"/>
      <w:r>
        <w:t>).</w:t>
      </w:r>
    </w:p>
    <w:p w:rsidR="00FE63F5" w:rsidRDefault="00FE63F5" w:rsidP="00FE63F5">
      <w:pPr>
        <w:pStyle w:val="Odsekzoznamu"/>
        <w:spacing w:after="0" w:line="283" w:lineRule="auto"/>
        <w:jc w:val="both"/>
      </w:pPr>
      <w:r>
        <w:t>Ide prevažne o dva typy logov:</w:t>
      </w:r>
    </w:p>
    <w:p w:rsidR="00FE63F5" w:rsidRDefault="00FE63F5" w:rsidP="00FE63F5">
      <w:pPr>
        <w:pStyle w:val="Odsekzoznamu"/>
        <w:numPr>
          <w:ilvl w:val="0"/>
          <w:numId w:val="26"/>
        </w:numPr>
        <w:spacing w:after="0" w:line="283" w:lineRule="auto"/>
        <w:jc w:val="both"/>
      </w:pPr>
      <w:r w:rsidRPr="006C6C33">
        <w:rPr>
          <w:i/>
        </w:rPr>
        <w:t>systémové udalosti</w:t>
      </w:r>
      <w:r>
        <w:t xml:space="preserve"> (spustenie/zastavenie služby, vypnutie/zapnutie stanice, zlyhanie služieb, závažné chyby a pod.)</w:t>
      </w:r>
    </w:p>
    <w:p w:rsidR="00FE63F5" w:rsidRDefault="00FE63F5" w:rsidP="00FE63F5">
      <w:pPr>
        <w:pStyle w:val="Odsekzoznamu"/>
        <w:numPr>
          <w:ilvl w:val="0"/>
          <w:numId w:val="26"/>
        </w:numPr>
        <w:spacing w:after="0" w:line="283" w:lineRule="auto"/>
        <w:jc w:val="both"/>
      </w:pPr>
      <w:r w:rsidRPr="006C6C33">
        <w:rPr>
          <w:i/>
        </w:rPr>
        <w:t>udalosti auditu</w:t>
      </w:r>
      <w:r>
        <w:t xml:space="preserve"> (pokusy o </w:t>
      </w:r>
      <w:proofErr w:type="spellStart"/>
      <w:r>
        <w:t>ne</w:t>
      </w:r>
      <w:proofErr w:type="spellEnd"/>
      <w:r>
        <w:t>/úspešné prihlásenie, prístupy k súborom, zmeny nastavenie, využitie oprávnenia a pod.)</w:t>
      </w:r>
    </w:p>
    <w:p w:rsidR="00FE63F5" w:rsidRDefault="00FE63F5" w:rsidP="00FE63F5">
      <w:pPr>
        <w:pStyle w:val="Odsekzoznamu"/>
        <w:numPr>
          <w:ilvl w:val="0"/>
          <w:numId w:val="25"/>
        </w:numPr>
        <w:spacing w:after="0" w:line="283" w:lineRule="auto"/>
        <w:jc w:val="both"/>
      </w:pPr>
      <w:r w:rsidRPr="009A744A">
        <w:rPr>
          <w:b/>
        </w:rPr>
        <w:t>Skupina APP</w:t>
      </w:r>
      <w:r>
        <w:t xml:space="preserve"> označuje logovanie chodu aplikácií. </w:t>
      </w:r>
    </w:p>
    <w:p w:rsidR="00FE63F5" w:rsidRDefault="00FE63F5" w:rsidP="00FE63F5">
      <w:pPr>
        <w:pStyle w:val="Odsekzoznamu"/>
        <w:spacing w:after="0" w:line="283" w:lineRule="auto"/>
        <w:jc w:val="both"/>
      </w:pPr>
      <w:r>
        <w:t>Ide predovšetkým o:</w:t>
      </w:r>
    </w:p>
    <w:p w:rsidR="00FE63F5" w:rsidRDefault="00FE63F5" w:rsidP="00FE63F5">
      <w:pPr>
        <w:pStyle w:val="Odsekzoznamu"/>
        <w:numPr>
          <w:ilvl w:val="0"/>
          <w:numId w:val="29"/>
        </w:numPr>
        <w:spacing w:after="0" w:line="283" w:lineRule="auto"/>
        <w:jc w:val="both"/>
      </w:pPr>
      <w:r>
        <w:t>Komunikácia klienta so serverom (</w:t>
      </w:r>
      <w:r w:rsidRPr="006C6C33">
        <w:rPr>
          <w:i/>
        </w:rPr>
        <w:t>C&lt;&gt;S</w:t>
      </w:r>
      <w:r>
        <w:t>) - klientske požiadavky prijaté serverom a ich odpovede.</w:t>
      </w:r>
    </w:p>
    <w:p w:rsidR="00FE63F5" w:rsidRDefault="00FE63F5" w:rsidP="00FE63F5">
      <w:pPr>
        <w:pStyle w:val="Odsekzoznamu"/>
        <w:numPr>
          <w:ilvl w:val="0"/>
          <w:numId w:val="29"/>
        </w:numPr>
        <w:spacing w:after="0" w:line="283" w:lineRule="auto"/>
        <w:jc w:val="both"/>
      </w:pPr>
      <w:r>
        <w:t>Využitie účtov (</w:t>
      </w:r>
      <w:r w:rsidRPr="006C6C33">
        <w:rPr>
          <w:i/>
        </w:rPr>
        <w:t>ACC</w:t>
      </w:r>
      <w:r>
        <w:t xml:space="preserve"> =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info</w:t>
      </w:r>
      <w:proofErr w:type="spellEnd"/>
      <w:r>
        <w:t>.) - Informácie o prihlásení k aplikácii/službe (aj neúspešné pokusy), zmeny v účtoch, zmeny oprávnenia a pod.</w:t>
      </w:r>
    </w:p>
    <w:p w:rsidR="00FE63F5" w:rsidRDefault="00FE63F5" w:rsidP="00FE63F5">
      <w:pPr>
        <w:pStyle w:val="Odsekzoznamu"/>
        <w:numPr>
          <w:ilvl w:val="0"/>
          <w:numId w:val="29"/>
        </w:numPr>
        <w:spacing w:after="0" w:line="283" w:lineRule="auto"/>
        <w:jc w:val="both"/>
      </w:pPr>
      <w:r>
        <w:t>Údaje o aktivite užívateľov (</w:t>
      </w:r>
      <w:r w:rsidRPr="006C6C33">
        <w:rPr>
          <w:i/>
        </w:rPr>
        <w:t>Aktivita</w:t>
      </w:r>
      <w:r>
        <w:t>) – napr. počty transakcií a ich objem.</w:t>
      </w:r>
    </w:p>
    <w:p w:rsidR="00FE63F5" w:rsidRDefault="00FE63F5" w:rsidP="00FE63F5">
      <w:pPr>
        <w:pStyle w:val="Odsekzoznamu"/>
        <w:numPr>
          <w:ilvl w:val="0"/>
          <w:numId w:val="29"/>
        </w:numPr>
        <w:spacing w:after="0" w:line="283" w:lineRule="auto"/>
        <w:jc w:val="both"/>
      </w:pPr>
      <w:r>
        <w:t>Významné prevádzkové akcie (</w:t>
      </w:r>
      <w:r w:rsidRPr="006C6C33">
        <w:rPr>
          <w:i/>
        </w:rPr>
        <w:t>Akcie</w:t>
      </w:r>
      <w:r>
        <w:t>) ako spustenie alebo ukončenie aplikácie, pády aplikácie alebo jej významné zmeny.</w:t>
      </w:r>
    </w:p>
    <w:p w:rsidR="00FE63F5" w:rsidRDefault="00FE63F5" w:rsidP="00FE63F5">
      <w:pPr>
        <w:pStyle w:val="Popis"/>
        <w:keepNext/>
      </w:pPr>
      <w:r>
        <w:t>Tabuľka 3</w:t>
      </w:r>
    </w:p>
    <w:tbl>
      <w:tblPr>
        <w:tblStyle w:val="Mriekatabuky"/>
        <w:tblW w:w="9532" w:type="dxa"/>
        <w:jc w:val="center"/>
        <w:tblLook w:val="04A0" w:firstRow="1" w:lastRow="0" w:firstColumn="1" w:lastColumn="0" w:noHBand="0" w:noVBand="1"/>
      </w:tblPr>
      <w:tblGrid>
        <w:gridCol w:w="926"/>
        <w:gridCol w:w="811"/>
        <w:gridCol w:w="829"/>
        <w:gridCol w:w="1021"/>
        <w:gridCol w:w="685"/>
        <w:gridCol w:w="1302"/>
        <w:gridCol w:w="1331"/>
        <w:gridCol w:w="990"/>
        <w:gridCol w:w="863"/>
        <w:gridCol w:w="774"/>
      </w:tblGrid>
      <w:tr w:rsidR="00FE63F5" w:rsidRPr="00A748B7" w:rsidTr="006C6C33">
        <w:trPr>
          <w:jc w:val="center"/>
        </w:trPr>
        <w:tc>
          <w:tcPr>
            <w:tcW w:w="938" w:type="dxa"/>
            <w:shd w:val="clear" w:color="auto" w:fill="A8D08D" w:themeFill="accent6" w:themeFillTint="99"/>
            <w:vAlign w:val="center"/>
          </w:tcPr>
          <w:p w:rsidR="00FE63F5" w:rsidRPr="006C6C33" w:rsidRDefault="00FE63F5" w:rsidP="00FE63F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D65AF">
              <w:rPr>
                <w:b/>
                <w:color w:val="FFFFFF" w:themeColor="background1"/>
                <w:sz w:val="24"/>
                <w:szCs w:val="24"/>
              </w:rPr>
              <w:t>SEC</w:t>
            </w:r>
            <w:r w:rsidR="006C6C33">
              <w:rPr>
                <w:b/>
                <w:color w:val="FFFFFF" w:themeColor="background1"/>
                <w:sz w:val="24"/>
                <w:szCs w:val="24"/>
              </w:rPr>
              <w:t xml:space="preserve"> =</w:t>
            </w:r>
            <w:r w:rsidR="006C6C33">
              <w:rPr>
                <w:b/>
                <w:color w:val="FFFFFF" w:themeColor="background1"/>
                <w:sz w:val="24"/>
                <w:szCs w:val="24"/>
                <w:lang w:val="en-GB"/>
              </w:rPr>
              <w:t>&gt;</w:t>
            </w:r>
          </w:p>
        </w:tc>
        <w:tc>
          <w:tcPr>
            <w:tcW w:w="811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AV</w:t>
            </w:r>
          </w:p>
        </w:tc>
        <w:tc>
          <w:tcPr>
            <w:tcW w:w="829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IDS/IPS</w:t>
            </w:r>
          </w:p>
        </w:tc>
        <w:tc>
          <w:tcPr>
            <w:tcW w:w="1021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Vzdialený prístup</w:t>
            </w:r>
          </w:p>
        </w:tc>
        <w:tc>
          <w:tcPr>
            <w:tcW w:w="685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Web Proxy</w:t>
            </w:r>
          </w:p>
        </w:tc>
        <w:tc>
          <w:tcPr>
            <w:tcW w:w="1302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Autentizačný server</w:t>
            </w:r>
          </w:p>
        </w:tc>
        <w:tc>
          <w:tcPr>
            <w:tcW w:w="1331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Vulnerability</w:t>
            </w:r>
            <w:proofErr w:type="spellEnd"/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 xml:space="preserve"> management</w:t>
            </w:r>
          </w:p>
        </w:tc>
        <w:tc>
          <w:tcPr>
            <w:tcW w:w="978" w:type="dxa"/>
            <w:shd w:val="clear" w:color="auto" w:fill="5B9BD5" w:themeFill="accent1"/>
            <w:vAlign w:val="center"/>
          </w:tcPr>
          <w:p w:rsidR="00FE63F5" w:rsidRPr="00CD65AF" w:rsidRDefault="009A744A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FW</w:t>
            </w:r>
            <w:r w:rsidR="006C6C33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/</w:t>
            </w:r>
            <w:r w:rsidR="00FE63F5" w:rsidRPr="00CD65AF">
              <w:rPr>
                <w:b/>
                <w:i/>
                <w:color w:val="FFFFFF" w:themeColor="background1"/>
                <w:sz w:val="20"/>
                <w:szCs w:val="20"/>
              </w:rPr>
              <w:t>Routery</w:t>
            </w:r>
          </w:p>
        </w:tc>
        <w:tc>
          <w:tcPr>
            <w:tcW w:w="863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Switche</w:t>
            </w:r>
            <w:proofErr w:type="spellEnd"/>
          </w:p>
        </w:tc>
        <w:tc>
          <w:tcPr>
            <w:tcW w:w="774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Radius</w:t>
            </w:r>
            <w:proofErr w:type="spellEnd"/>
          </w:p>
        </w:tc>
      </w:tr>
      <w:tr w:rsidR="00FE63F5" w:rsidRPr="00A748B7" w:rsidTr="006C6C33">
        <w:trPr>
          <w:jc w:val="center"/>
        </w:trPr>
        <w:tc>
          <w:tcPr>
            <w:tcW w:w="924" w:type="dxa"/>
            <w:shd w:val="clear" w:color="auto" w:fill="FFFFFF" w:themeFill="background1"/>
            <w:vAlign w:val="center"/>
          </w:tcPr>
          <w:p w:rsidR="00FE63F5" w:rsidRPr="00A748B7" w:rsidRDefault="00FE63F5" w:rsidP="00FE63F5">
            <w:pPr>
              <w:jc w:val="center"/>
              <w:rPr>
                <w:b/>
                <w:sz w:val="20"/>
                <w:szCs w:val="20"/>
              </w:rPr>
            </w:pPr>
            <w:r w:rsidRPr="00A748B7">
              <w:rPr>
                <w:b/>
                <w:sz w:val="20"/>
                <w:szCs w:val="20"/>
              </w:rPr>
              <w:t>Počet dní</w:t>
            </w:r>
          </w:p>
        </w:tc>
        <w:tc>
          <w:tcPr>
            <w:tcW w:w="811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9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1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5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2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4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C6C33" w:rsidRPr="00A748B7" w:rsidTr="003235C2">
        <w:trPr>
          <w:jc w:val="center"/>
        </w:trPr>
        <w:tc>
          <w:tcPr>
            <w:tcW w:w="924" w:type="dxa"/>
            <w:shd w:val="clear" w:color="auto" w:fill="A8D08D" w:themeFill="accent6" w:themeFillTint="99"/>
            <w:vAlign w:val="center"/>
          </w:tcPr>
          <w:p w:rsidR="006C6C33" w:rsidRPr="00CD65AF" w:rsidRDefault="006C6C33" w:rsidP="00FE63F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5AF">
              <w:rPr>
                <w:b/>
                <w:color w:val="FFFFFF" w:themeColor="background1"/>
                <w:sz w:val="24"/>
                <w:szCs w:val="24"/>
              </w:rPr>
              <w:t>OS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=&gt;</w:t>
            </w:r>
          </w:p>
        </w:tc>
        <w:tc>
          <w:tcPr>
            <w:tcW w:w="811" w:type="dxa"/>
            <w:shd w:val="clear" w:color="auto" w:fill="5B9BD5" w:themeFill="accent1"/>
            <w:vAlign w:val="center"/>
          </w:tcPr>
          <w:p w:rsidR="006C6C33" w:rsidRPr="00CD65AF" w:rsidRDefault="006C6C33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Systém</w:t>
            </w:r>
          </w:p>
        </w:tc>
        <w:tc>
          <w:tcPr>
            <w:tcW w:w="829" w:type="dxa"/>
            <w:shd w:val="clear" w:color="auto" w:fill="5B9BD5" w:themeFill="accent1"/>
            <w:vAlign w:val="center"/>
          </w:tcPr>
          <w:p w:rsidR="006C6C33" w:rsidRPr="00CD65AF" w:rsidRDefault="006C6C33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Audit</w:t>
            </w:r>
          </w:p>
        </w:tc>
        <w:tc>
          <w:tcPr>
            <w:tcW w:w="6954" w:type="dxa"/>
            <w:gridSpan w:val="7"/>
            <w:shd w:val="clear" w:color="auto" w:fill="5B9BD5" w:themeFill="accent1"/>
            <w:vAlign w:val="center"/>
          </w:tcPr>
          <w:p w:rsidR="006C6C33" w:rsidRPr="00A748B7" w:rsidRDefault="006C6C33" w:rsidP="00FE6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C6C33" w:rsidRPr="00A748B7" w:rsidTr="006C6C33">
        <w:trPr>
          <w:jc w:val="center"/>
        </w:trPr>
        <w:tc>
          <w:tcPr>
            <w:tcW w:w="938" w:type="dxa"/>
            <w:shd w:val="clear" w:color="auto" w:fill="FFFFFF" w:themeFill="background1"/>
            <w:vAlign w:val="center"/>
          </w:tcPr>
          <w:p w:rsidR="006C6C33" w:rsidRPr="00A748B7" w:rsidRDefault="006C6C33" w:rsidP="00FE63F5">
            <w:pPr>
              <w:jc w:val="center"/>
              <w:rPr>
                <w:b/>
                <w:sz w:val="20"/>
                <w:szCs w:val="20"/>
              </w:rPr>
            </w:pPr>
            <w:r w:rsidRPr="00A748B7">
              <w:rPr>
                <w:b/>
                <w:sz w:val="20"/>
                <w:szCs w:val="20"/>
              </w:rPr>
              <w:t>Počet dní</w:t>
            </w:r>
          </w:p>
        </w:tc>
        <w:tc>
          <w:tcPr>
            <w:tcW w:w="811" w:type="dxa"/>
            <w:vAlign w:val="center"/>
          </w:tcPr>
          <w:p w:rsidR="006C6C33" w:rsidRPr="00A748B7" w:rsidRDefault="006C6C33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9" w:type="dxa"/>
            <w:vAlign w:val="center"/>
          </w:tcPr>
          <w:p w:rsidR="006C6C33" w:rsidRPr="00A748B7" w:rsidRDefault="006C6C33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54" w:type="dxa"/>
            <w:gridSpan w:val="7"/>
            <w:shd w:val="clear" w:color="auto" w:fill="BFBFBF" w:themeFill="background1" w:themeFillShade="BF"/>
            <w:vAlign w:val="center"/>
          </w:tcPr>
          <w:p w:rsidR="006C6C33" w:rsidRPr="00A748B7" w:rsidRDefault="006C6C33" w:rsidP="00FE63F5">
            <w:pPr>
              <w:jc w:val="center"/>
              <w:rPr>
                <w:sz w:val="20"/>
                <w:szCs w:val="20"/>
              </w:rPr>
            </w:pPr>
          </w:p>
        </w:tc>
      </w:tr>
      <w:tr w:rsidR="006C6C33" w:rsidRPr="00A748B7" w:rsidTr="006C6C33">
        <w:trPr>
          <w:jc w:val="center"/>
        </w:trPr>
        <w:tc>
          <w:tcPr>
            <w:tcW w:w="938" w:type="dxa"/>
            <w:shd w:val="clear" w:color="auto" w:fill="A8D08D" w:themeFill="accent6" w:themeFillTint="99"/>
            <w:vAlign w:val="center"/>
          </w:tcPr>
          <w:p w:rsidR="006C6C33" w:rsidRPr="00CD65AF" w:rsidRDefault="006C6C33" w:rsidP="00FE63F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5AF">
              <w:rPr>
                <w:b/>
                <w:color w:val="FFFFFF" w:themeColor="background1"/>
                <w:sz w:val="24"/>
                <w:szCs w:val="24"/>
              </w:rPr>
              <w:t>APP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=&gt;</w:t>
            </w:r>
          </w:p>
        </w:tc>
        <w:tc>
          <w:tcPr>
            <w:tcW w:w="811" w:type="dxa"/>
            <w:shd w:val="clear" w:color="auto" w:fill="5B9BD5" w:themeFill="accent1"/>
            <w:vAlign w:val="center"/>
          </w:tcPr>
          <w:p w:rsidR="006C6C33" w:rsidRPr="00CD65AF" w:rsidRDefault="006C6C33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C</w:t>
            </w:r>
            <w:r w:rsidRPr="00CD65AF">
              <w:rPr>
                <w:b/>
                <w:i/>
                <w:color w:val="FFFFFF" w:themeColor="background1"/>
                <w:sz w:val="20"/>
                <w:szCs w:val="20"/>
                <w:lang w:val="en-GB"/>
              </w:rPr>
              <w:t>&lt;&gt;S</w:t>
            </w:r>
          </w:p>
        </w:tc>
        <w:tc>
          <w:tcPr>
            <w:tcW w:w="829" w:type="dxa"/>
            <w:shd w:val="clear" w:color="auto" w:fill="5B9BD5" w:themeFill="accent1"/>
            <w:vAlign w:val="center"/>
          </w:tcPr>
          <w:p w:rsidR="006C6C33" w:rsidRPr="00CD65AF" w:rsidRDefault="006C6C33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ACC</w:t>
            </w:r>
          </w:p>
        </w:tc>
        <w:tc>
          <w:tcPr>
            <w:tcW w:w="1021" w:type="dxa"/>
            <w:shd w:val="clear" w:color="auto" w:fill="5B9BD5" w:themeFill="accent1"/>
            <w:vAlign w:val="center"/>
          </w:tcPr>
          <w:p w:rsidR="006C6C33" w:rsidRPr="00CD65AF" w:rsidRDefault="006C6C33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Aktivita</w:t>
            </w:r>
          </w:p>
        </w:tc>
        <w:tc>
          <w:tcPr>
            <w:tcW w:w="685" w:type="dxa"/>
            <w:shd w:val="clear" w:color="auto" w:fill="5B9BD5" w:themeFill="accent1"/>
            <w:vAlign w:val="center"/>
          </w:tcPr>
          <w:p w:rsidR="006C6C33" w:rsidRPr="00CD65AF" w:rsidRDefault="006C6C33" w:rsidP="00FE63F5">
            <w:pPr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D65AF">
              <w:rPr>
                <w:b/>
                <w:i/>
                <w:color w:val="FFFFFF" w:themeColor="background1"/>
                <w:sz w:val="20"/>
                <w:szCs w:val="20"/>
              </w:rPr>
              <w:t>Akcie</w:t>
            </w:r>
          </w:p>
        </w:tc>
        <w:tc>
          <w:tcPr>
            <w:tcW w:w="5248" w:type="dxa"/>
            <w:gridSpan w:val="5"/>
            <w:shd w:val="clear" w:color="auto" w:fill="5B9BD5" w:themeFill="accent1"/>
            <w:vAlign w:val="center"/>
          </w:tcPr>
          <w:p w:rsidR="006C6C33" w:rsidRPr="00A748B7" w:rsidRDefault="006C6C33" w:rsidP="00FE6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C6C33" w:rsidRPr="00A748B7" w:rsidTr="006C6C33">
        <w:trPr>
          <w:jc w:val="center"/>
        </w:trPr>
        <w:tc>
          <w:tcPr>
            <w:tcW w:w="938" w:type="dxa"/>
            <w:shd w:val="clear" w:color="auto" w:fill="FFFFFF" w:themeFill="background1"/>
            <w:vAlign w:val="center"/>
          </w:tcPr>
          <w:p w:rsidR="006C6C33" w:rsidRPr="00A748B7" w:rsidRDefault="006C6C33" w:rsidP="00FE63F5">
            <w:pPr>
              <w:jc w:val="center"/>
              <w:rPr>
                <w:b/>
                <w:sz w:val="20"/>
                <w:szCs w:val="20"/>
              </w:rPr>
            </w:pPr>
            <w:r w:rsidRPr="00A748B7">
              <w:rPr>
                <w:b/>
                <w:sz w:val="20"/>
                <w:szCs w:val="20"/>
              </w:rPr>
              <w:t>Počet dní</w:t>
            </w:r>
          </w:p>
        </w:tc>
        <w:tc>
          <w:tcPr>
            <w:tcW w:w="811" w:type="dxa"/>
            <w:vAlign w:val="center"/>
          </w:tcPr>
          <w:p w:rsidR="006C6C33" w:rsidRPr="00A748B7" w:rsidRDefault="006C6C33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9" w:type="dxa"/>
            <w:vAlign w:val="center"/>
          </w:tcPr>
          <w:p w:rsidR="006C6C33" w:rsidRPr="00A748B7" w:rsidRDefault="006C6C33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6C6C33" w:rsidRPr="00A748B7" w:rsidRDefault="006C6C33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6C6C33" w:rsidRPr="00A748B7" w:rsidRDefault="006C6C33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8" w:type="dxa"/>
            <w:gridSpan w:val="5"/>
            <w:shd w:val="clear" w:color="auto" w:fill="BFBFBF" w:themeFill="background1" w:themeFillShade="BF"/>
            <w:vAlign w:val="center"/>
          </w:tcPr>
          <w:p w:rsidR="006C6C33" w:rsidRPr="00A748B7" w:rsidRDefault="006C6C33" w:rsidP="00FE63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63F5" w:rsidRDefault="00FE63F5" w:rsidP="00FE63F5"/>
    <w:p w:rsidR="00FE63F5" w:rsidRDefault="00FE63F5" w:rsidP="00FE63F5">
      <w:r>
        <w:t>Tabuľka 3 špecifikuje jednotlivé skupiny logov a stanovuje koeficient (počet dní) pre jednotlivé skupiny</w:t>
      </w:r>
      <w:r w:rsidR="00062D77">
        <w:t xml:space="preserve"> na uchovávanie </w:t>
      </w:r>
      <w:r w:rsidR="00CD2A08">
        <w:t>logov</w:t>
      </w:r>
    </w:p>
    <w:p w:rsidR="00FE63F5" w:rsidRDefault="00FE63F5" w:rsidP="00FE63F5">
      <w:pPr>
        <w:pStyle w:val="Popis"/>
        <w:keepNext/>
      </w:pPr>
      <w:r>
        <w:t>Tabuľka 4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2546"/>
      </w:tblGrid>
      <w:tr w:rsidR="00FE63F5" w:rsidRPr="00A748B7" w:rsidTr="009A744A">
        <w:trPr>
          <w:jc w:val="center"/>
        </w:trPr>
        <w:tc>
          <w:tcPr>
            <w:tcW w:w="2122" w:type="dxa"/>
            <w:shd w:val="clear" w:color="auto" w:fill="5B9BD5" w:themeFill="accent1"/>
            <w:vAlign w:val="center"/>
          </w:tcPr>
          <w:p w:rsidR="00FE63F5" w:rsidRPr="00CD65AF" w:rsidRDefault="00FE63F5" w:rsidP="00FE63F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5AF">
              <w:rPr>
                <w:b/>
                <w:color w:val="FFFFFF" w:themeColor="background1"/>
                <w:sz w:val="24"/>
                <w:szCs w:val="24"/>
              </w:rPr>
              <w:t>Kategória</w:t>
            </w:r>
            <w:r w:rsidR="00DE68D9">
              <w:rPr>
                <w:b/>
                <w:color w:val="FFFFFF" w:themeColor="background1"/>
                <w:sz w:val="24"/>
                <w:szCs w:val="24"/>
              </w:rPr>
              <w:t xml:space="preserve"> IT podľa vplyvu na chod SP</w:t>
            </w:r>
          </w:p>
        </w:tc>
        <w:tc>
          <w:tcPr>
            <w:tcW w:w="1984" w:type="dxa"/>
            <w:shd w:val="clear" w:color="auto" w:fill="5B9BD5" w:themeFill="accent1"/>
            <w:vAlign w:val="center"/>
          </w:tcPr>
          <w:p w:rsidR="00FE63F5" w:rsidRPr="00DE68D9" w:rsidRDefault="00DE68D9" w:rsidP="00DE68D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Nízky</w:t>
            </w:r>
          </w:p>
        </w:tc>
        <w:tc>
          <w:tcPr>
            <w:tcW w:w="2410" w:type="dxa"/>
            <w:shd w:val="clear" w:color="auto" w:fill="5B9BD5" w:themeFill="accent1"/>
            <w:vAlign w:val="center"/>
          </w:tcPr>
          <w:p w:rsidR="00FE63F5" w:rsidRPr="00A748B7" w:rsidRDefault="00444401" w:rsidP="00FE6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Stredný</w:t>
            </w:r>
          </w:p>
        </w:tc>
        <w:tc>
          <w:tcPr>
            <w:tcW w:w="2546" w:type="dxa"/>
            <w:shd w:val="clear" w:color="auto" w:fill="5B9BD5" w:themeFill="accent1"/>
            <w:vAlign w:val="center"/>
          </w:tcPr>
          <w:p w:rsidR="00DE68D9" w:rsidRPr="00A748B7" w:rsidRDefault="00DE68D9" w:rsidP="00FE63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Vysoký</w:t>
            </w:r>
          </w:p>
        </w:tc>
      </w:tr>
      <w:tr w:rsidR="00FE63F5" w:rsidRPr="00A748B7" w:rsidTr="009A744A">
        <w:trPr>
          <w:jc w:val="center"/>
        </w:trPr>
        <w:tc>
          <w:tcPr>
            <w:tcW w:w="2122" w:type="dxa"/>
            <w:vAlign w:val="center"/>
          </w:tcPr>
          <w:p w:rsidR="00FE63F5" w:rsidRPr="00A748B7" w:rsidRDefault="00FE63F5" w:rsidP="00FE63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Retencie</w:t>
            </w:r>
            <w:proofErr w:type="spellEnd"/>
            <w:r>
              <w:rPr>
                <w:sz w:val="20"/>
                <w:szCs w:val="20"/>
              </w:rPr>
              <w:t xml:space="preserve"> dát SEC</w:t>
            </w:r>
          </w:p>
        </w:tc>
        <w:tc>
          <w:tcPr>
            <w:tcW w:w="1984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 * počet dní</w:t>
            </w:r>
          </w:p>
        </w:tc>
        <w:tc>
          <w:tcPr>
            <w:tcW w:w="2410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3 * počet dní</w:t>
            </w:r>
          </w:p>
        </w:tc>
        <w:tc>
          <w:tcPr>
            <w:tcW w:w="2546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6 * počet dní</w:t>
            </w:r>
          </w:p>
        </w:tc>
      </w:tr>
      <w:tr w:rsidR="00FE63F5" w:rsidRPr="00A748B7" w:rsidTr="009A744A">
        <w:trPr>
          <w:jc w:val="center"/>
        </w:trPr>
        <w:tc>
          <w:tcPr>
            <w:tcW w:w="2122" w:type="dxa"/>
            <w:vAlign w:val="center"/>
          </w:tcPr>
          <w:p w:rsidR="00FE63F5" w:rsidRPr="00A748B7" w:rsidRDefault="00FE63F5" w:rsidP="00FE63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Retencie</w:t>
            </w:r>
            <w:proofErr w:type="spellEnd"/>
            <w:r>
              <w:rPr>
                <w:sz w:val="20"/>
                <w:szCs w:val="20"/>
              </w:rPr>
              <w:t xml:space="preserve"> dát OS</w:t>
            </w:r>
          </w:p>
        </w:tc>
        <w:tc>
          <w:tcPr>
            <w:tcW w:w="1984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 * počet dní</w:t>
            </w:r>
          </w:p>
        </w:tc>
        <w:tc>
          <w:tcPr>
            <w:tcW w:w="2410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3 * počet dní</w:t>
            </w:r>
          </w:p>
        </w:tc>
        <w:tc>
          <w:tcPr>
            <w:tcW w:w="2546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6 * počet dní</w:t>
            </w:r>
          </w:p>
        </w:tc>
      </w:tr>
      <w:tr w:rsidR="00FE63F5" w:rsidRPr="00A748B7" w:rsidTr="009A744A">
        <w:trPr>
          <w:jc w:val="center"/>
        </w:trPr>
        <w:tc>
          <w:tcPr>
            <w:tcW w:w="2122" w:type="dxa"/>
            <w:vAlign w:val="center"/>
          </w:tcPr>
          <w:p w:rsidR="00FE63F5" w:rsidRPr="00A748B7" w:rsidRDefault="00FE63F5" w:rsidP="00FE63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Retencie</w:t>
            </w:r>
            <w:proofErr w:type="spellEnd"/>
            <w:r>
              <w:rPr>
                <w:sz w:val="20"/>
                <w:szCs w:val="20"/>
              </w:rPr>
              <w:t xml:space="preserve"> dát APP</w:t>
            </w:r>
          </w:p>
        </w:tc>
        <w:tc>
          <w:tcPr>
            <w:tcW w:w="1984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 * počet dní</w:t>
            </w:r>
          </w:p>
        </w:tc>
        <w:tc>
          <w:tcPr>
            <w:tcW w:w="2410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3 * počet dní</w:t>
            </w:r>
          </w:p>
        </w:tc>
        <w:tc>
          <w:tcPr>
            <w:tcW w:w="2546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6 * počet dní</w:t>
            </w:r>
          </w:p>
        </w:tc>
      </w:tr>
      <w:tr w:rsidR="00FE63F5" w:rsidRPr="00A748B7" w:rsidTr="009A744A">
        <w:trPr>
          <w:jc w:val="center"/>
        </w:trPr>
        <w:tc>
          <w:tcPr>
            <w:tcW w:w="2122" w:type="dxa"/>
            <w:vAlign w:val="center"/>
          </w:tcPr>
          <w:p w:rsidR="00FE63F5" w:rsidRPr="00A748B7" w:rsidRDefault="00FE63F5" w:rsidP="00FE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Rotácie logov</w:t>
            </w:r>
          </w:p>
        </w:tc>
        <w:tc>
          <w:tcPr>
            <w:tcW w:w="1984" w:type="dxa"/>
            <w:vAlign w:val="center"/>
          </w:tcPr>
          <w:p w:rsidR="00FE63F5" w:rsidRPr="00A748B7" w:rsidRDefault="00FE63F5" w:rsidP="009A7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týždeň alebo </w:t>
            </w:r>
            <w:r w:rsidR="009A744A">
              <w:rPr>
                <w:sz w:val="20"/>
                <w:szCs w:val="20"/>
              </w:rPr>
              <w:t>každých</w:t>
            </w:r>
            <w:r>
              <w:rPr>
                <w:sz w:val="20"/>
                <w:szCs w:val="20"/>
              </w:rPr>
              <w:t xml:space="preserve"> 25MB</w:t>
            </w:r>
          </w:p>
        </w:tc>
        <w:tc>
          <w:tcPr>
            <w:tcW w:w="2410" w:type="dxa"/>
            <w:vAlign w:val="center"/>
          </w:tcPr>
          <w:p w:rsidR="00FE63F5" w:rsidRPr="00A748B7" w:rsidRDefault="009A744A" w:rsidP="009A7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Každých</w:t>
            </w:r>
            <w:r w:rsidR="00FE63F5">
              <w:rPr>
                <w:sz w:val="20"/>
                <w:szCs w:val="20"/>
              </w:rPr>
              <w:t xml:space="preserve"> 6 – 24 hod</w:t>
            </w:r>
            <w:r>
              <w:rPr>
                <w:sz w:val="20"/>
                <w:szCs w:val="20"/>
              </w:rPr>
              <w:t>ín</w:t>
            </w:r>
            <w:r w:rsidR="00FE63F5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>každých 2 až</w:t>
            </w:r>
            <w:r w:rsidR="00FE63F5">
              <w:rPr>
                <w:sz w:val="20"/>
                <w:szCs w:val="20"/>
              </w:rPr>
              <w:t xml:space="preserve"> 5MB</w:t>
            </w:r>
          </w:p>
        </w:tc>
        <w:tc>
          <w:tcPr>
            <w:tcW w:w="2546" w:type="dxa"/>
            <w:vAlign w:val="center"/>
          </w:tcPr>
          <w:p w:rsidR="00FE63F5" w:rsidRPr="00A748B7" w:rsidRDefault="009A744A" w:rsidP="009A7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Každých </w:t>
            </w:r>
            <w:r w:rsidR="00FE63F5">
              <w:rPr>
                <w:sz w:val="20"/>
                <w:szCs w:val="20"/>
              </w:rPr>
              <w:t xml:space="preserve">15-60 minút alebo </w:t>
            </w:r>
            <w:r>
              <w:rPr>
                <w:sz w:val="20"/>
                <w:szCs w:val="20"/>
              </w:rPr>
              <w:t>každých 0,5 až</w:t>
            </w:r>
            <w:r w:rsidR="00FE63F5">
              <w:rPr>
                <w:sz w:val="20"/>
                <w:szCs w:val="20"/>
              </w:rPr>
              <w:t xml:space="preserve"> 1MB</w:t>
            </w:r>
          </w:p>
        </w:tc>
      </w:tr>
      <w:tr w:rsidR="00FE63F5" w:rsidRPr="00A748B7" w:rsidTr="009A744A">
        <w:trPr>
          <w:jc w:val="center"/>
        </w:trPr>
        <w:tc>
          <w:tcPr>
            <w:tcW w:w="2122" w:type="dxa"/>
            <w:vAlign w:val="center"/>
          </w:tcPr>
          <w:p w:rsidR="00FE63F5" w:rsidRPr="00A748B7" w:rsidRDefault="00FE63F5" w:rsidP="00FE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Odosielanie do </w:t>
            </w:r>
            <w:proofErr w:type="spellStart"/>
            <w:r>
              <w:rPr>
                <w:sz w:val="20"/>
                <w:szCs w:val="20"/>
              </w:rPr>
              <w:t>agregátora</w:t>
            </w:r>
            <w:proofErr w:type="spellEnd"/>
            <w:r>
              <w:rPr>
                <w:sz w:val="20"/>
                <w:szCs w:val="20"/>
              </w:rPr>
              <w:t xml:space="preserve"> logov (managementu logov)</w:t>
            </w:r>
          </w:p>
        </w:tc>
        <w:tc>
          <w:tcPr>
            <w:tcW w:w="1984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3-24 hodín</w:t>
            </w:r>
          </w:p>
        </w:tc>
        <w:tc>
          <w:tcPr>
            <w:tcW w:w="2410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Každých 15 – 60 minút</w:t>
            </w:r>
          </w:p>
        </w:tc>
        <w:tc>
          <w:tcPr>
            <w:tcW w:w="2546" w:type="dxa"/>
            <w:vAlign w:val="center"/>
          </w:tcPr>
          <w:p w:rsidR="00FE63F5" w:rsidRPr="00A748B7" w:rsidRDefault="009A744A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Aspoň</w:t>
            </w:r>
            <w:r w:rsidR="00FE63F5">
              <w:rPr>
                <w:sz w:val="20"/>
                <w:szCs w:val="20"/>
              </w:rPr>
              <w:t xml:space="preserve"> každých 5 minút</w:t>
            </w:r>
          </w:p>
        </w:tc>
      </w:tr>
      <w:tr w:rsidR="00FE63F5" w:rsidRPr="00A748B7" w:rsidTr="009A744A">
        <w:trPr>
          <w:jc w:val="center"/>
        </w:trPr>
        <w:tc>
          <w:tcPr>
            <w:tcW w:w="2122" w:type="dxa"/>
            <w:vAlign w:val="center"/>
          </w:tcPr>
          <w:p w:rsidR="00FE63F5" w:rsidRPr="00A748B7" w:rsidRDefault="00FE63F5" w:rsidP="006C6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integrity (</w:t>
            </w:r>
            <w:r w:rsidR="006C6C33">
              <w:rPr>
                <w:sz w:val="20"/>
                <w:szCs w:val="20"/>
              </w:rPr>
              <w:t xml:space="preserve">pri </w:t>
            </w:r>
            <w:r>
              <w:rPr>
                <w:sz w:val="20"/>
                <w:szCs w:val="20"/>
              </w:rPr>
              <w:t>rotáci</w:t>
            </w:r>
            <w:r w:rsidR="006C6C3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Voliteľná</w:t>
            </w:r>
          </w:p>
        </w:tc>
        <w:tc>
          <w:tcPr>
            <w:tcW w:w="2410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2546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</w:tr>
      <w:tr w:rsidR="00FE63F5" w:rsidRPr="00A748B7" w:rsidTr="009A744A">
        <w:trPr>
          <w:jc w:val="center"/>
        </w:trPr>
        <w:tc>
          <w:tcPr>
            <w:tcW w:w="2122" w:type="dxa"/>
            <w:vAlign w:val="center"/>
          </w:tcPr>
          <w:p w:rsidR="00FE63F5" w:rsidRPr="00A748B7" w:rsidRDefault="00FE63F5" w:rsidP="00FE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Šifrovanie logov</w:t>
            </w:r>
          </w:p>
        </w:tc>
        <w:tc>
          <w:tcPr>
            <w:tcW w:w="1984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Voliteľné</w:t>
            </w:r>
          </w:p>
        </w:tc>
        <w:tc>
          <w:tcPr>
            <w:tcW w:w="2410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2546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</w:tr>
      <w:tr w:rsidR="00FE63F5" w:rsidRPr="00A748B7" w:rsidTr="009A744A">
        <w:trPr>
          <w:jc w:val="center"/>
        </w:trPr>
        <w:tc>
          <w:tcPr>
            <w:tcW w:w="2122" w:type="dxa"/>
            <w:vAlign w:val="center"/>
          </w:tcPr>
          <w:p w:rsidR="00FE63F5" w:rsidRPr="00A748B7" w:rsidRDefault="00FE63F5" w:rsidP="00FE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Šifrovaný prenos logov do </w:t>
            </w:r>
            <w:proofErr w:type="spellStart"/>
            <w:r>
              <w:rPr>
                <w:sz w:val="20"/>
                <w:szCs w:val="20"/>
              </w:rPr>
              <w:t>agregátora</w:t>
            </w:r>
            <w:proofErr w:type="spellEnd"/>
            <w:r>
              <w:rPr>
                <w:sz w:val="20"/>
                <w:szCs w:val="20"/>
              </w:rPr>
              <w:t xml:space="preserve"> logov (managementu logov)</w:t>
            </w:r>
          </w:p>
        </w:tc>
        <w:tc>
          <w:tcPr>
            <w:tcW w:w="1984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Voliteľný</w:t>
            </w:r>
          </w:p>
        </w:tc>
        <w:tc>
          <w:tcPr>
            <w:tcW w:w="2410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2546" w:type="dxa"/>
            <w:vAlign w:val="center"/>
          </w:tcPr>
          <w:p w:rsidR="00FE63F5" w:rsidRPr="00A748B7" w:rsidRDefault="00FE63F5" w:rsidP="00FE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</w:tr>
    </w:tbl>
    <w:p w:rsidR="00FE63F5" w:rsidRDefault="00FE63F5" w:rsidP="00FE63F5"/>
    <w:p w:rsidR="00254BDC" w:rsidRDefault="00FE63F5" w:rsidP="004F1F52">
      <w:r>
        <w:t xml:space="preserve">Tabuľka 4 určuje odporučenia pre kategórie informačných </w:t>
      </w:r>
      <w:r w:rsidR="00DE68D9">
        <w:t>technológií</w:t>
      </w:r>
      <w:r>
        <w:t xml:space="preserve"> v zmysle </w:t>
      </w:r>
      <w:r w:rsidR="00CD2A08">
        <w:t xml:space="preserve">uvedenej doby uchovávania logov podľa </w:t>
      </w:r>
      <w:r>
        <w:t>Tabuľk</w:t>
      </w:r>
      <w:r w:rsidR="00CD2A08">
        <w:t>y</w:t>
      </w:r>
      <w:r>
        <w:t xml:space="preserve"> 3.</w:t>
      </w:r>
      <w:bookmarkStart w:id="10" w:name="_GoBack"/>
      <w:bookmarkEnd w:id="10"/>
    </w:p>
    <w:p w:rsidR="00B81B97" w:rsidRPr="007212B1" w:rsidRDefault="007212B1" w:rsidP="007212B1">
      <w:pPr>
        <w:pStyle w:val="Nadpis1"/>
      </w:pPr>
      <w:bookmarkStart w:id="11" w:name="_Toc184295830"/>
      <w:r>
        <w:t>POZNÁMKY</w:t>
      </w:r>
      <w:bookmarkEnd w:id="11"/>
    </w:p>
    <w:p w:rsidR="00B81B97" w:rsidRPr="007212B1" w:rsidRDefault="00B81B97" w:rsidP="007212B1">
      <w:pPr>
        <w:pStyle w:val="Nadpis2"/>
      </w:pPr>
      <w:bookmarkStart w:id="12" w:name="_Toc184295831"/>
      <w:r w:rsidRPr="007212B1">
        <w:t xml:space="preserve">Metóda </w:t>
      </w:r>
      <w:proofErr w:type="spellStart"/>
      <w:r w:rsidRPr="007212B1">
        <w:t>MoSCoW</w:t>
      </w:r>
      <w:proofErr w:type="spellEnd"/>
      <w:r w:rsidRPr="007212B1">
        <w:t>:</w:t>
      </w:r>
      <w:bookmarkEnd w:id="12"/>
    </w:p>
    <w:p w:rsidR="00B81B97" w:rsidRPr="00546F3A" w:rsidRDefault="00B81B97" w:rsidP="001877BA">
      <w:pPr>
        <w:numPr>
          <w:ilvl w:val="0"/>
          <w:numId w:val="19"/>
        </w:numPr>
        <w:spacing w:before="120" w:after="120" w:line="240" w:lineRule="auto"/>
        <w:ind w:left="153" w:firstLine="0"/>
        <w:rPr>
          <w:color w:val="000000"/>
        </w:rPr>
      </w:pPr>
      <w:r w:rsidRPr="00546F3A">
        <w:rPr>
          <w:rFonts w:cs="Arial"/>
          <w:b/>
          <w:bCs/>
          <w:color w:val="FF0000"/>
        </w:rPr>
        <w:t>M</w:t>
      </w:r>
      <w:r w:rsidRPr="00546F3A">
        <w:rPr>
          <w:rFonts w:cs="Arial"/>
          <w:b/>
          <w:bCs/>
          <w:color w:val="000000"/>
        </w:rPr>
        <w:t> </w:t>
      </w:r>
      <w:r w:rsidRPr="00546F3A">
        <w:rPr>
          <w:rFonts w:cs="Arial"/>
          <w:color w:val="000000"/>
        </w:rPr>
        <w:t>– MUSÍ BYŤ (</w:t>
      </w:r>
      <w:proofErr w:type="spellStart"/>
      <w:r w:rsidRPr="00546F3A">
        <w:rPr>
          <w:rFonts w:cs="Arial"/>
          <w:b/>
          <w:bCs/>
          <w:color w:val="FF0000"/>
          <w:shd w:val="clear" w:color="auto" w:fill="FFFFFF"/>
        </w:rPr>
        <w:t>Must</w:t>
      </w:r>
      <w:proofErr w:type="spellEnd"/>
      <w:r w:rsidRPr="00546F3A">
        <w:rPr>
          <w:rFonts w:cs="Arial"/>
          <w:b/>
          <w:bCs/>
          <w:color w:val="FF0000"/>
          <w:shd w:val="clear" w:color="auto" w:fill="FFFFFF"/>
        </w:rPr>
        <w:t xml:space="preserve"> </w:t>
      </w:r>
      <w:proofErr w:type="spellStart"/>
      <w:r w:rsidRPr="00546F3A">
        <w:rPr>
          <w:rFonts w:cs="Arial"/>
          <w:b/>
          <w:bCs/>
          <w:color w:val="FF0000"/>
          <w:shd w:val="clear" w:color="auto" w:fill="FFFFFF"/>
        </w:rPr>
        <w:t>have</w:t>
      </w:r>
      <w:proofErr w:type="spellEnd"/>
      <w:r w:rsidRPr="00546F3A">
        <w:rPr>
          <w:rFonts w:cs="Arial"/>
          <w:color w:val="000000"/>
        </w:rPr>
        <w:t>) – špecifikuje povinnú požiadavku (platí aj pre „</w:t>
      </w:r>
      <w:r w:rsidRPr="00546F3A">
        <w:rPr>
          <w:rFonts w:cs="Arial"/>
          <w:b/>
          <w:color w:val="FF0000"/>
        </w:rPr>
        <w:t>je nutné</w:t>
      </w:r>
      <w:r w:rsidRPr="00546F3A">
        <w:rPr>
          <w:rFonts w:cs="Arial"/>
          <w:color w:val="000000"/>
        </w:rPr>
        <w:t>“ ako aj pre povinný zákaz „</w:t>
      </w:r>
      <w:r w:rsidRPr="00546F3A">
        <w:rPr>
          <w:rFonts w:cs="Arial"/>
          <w:b/>
          <w:color w:val="FF0000"/>
        </w:rPr>
        <w:t>nesmie</w:t>
      </w:r>
      <w:r w:rsidRPr="00546F3A">
        <w:rPr>
          <w:rFonts w:cs="Arial"/>
          <w:color w:val="000000"/>
        </w:rPr>
        <w:t>“).</w:t>
      </w:r>
    </w:p>
    <w:p w:rsidR="00B81B97" w:rsidRPr="00546F3A" w:rsidRDefault="00B81B97" w:rsidP="001877BA">
      <w:pPr>
        <w:numPr>
          <w:ilvl w:val="0"/>
          <w:numId w:val="19"/>
        </w:numPr>
        <w:spacing w:before="120" w:after="120" w:line="240" w:lineRule="auto"/>
        <w:ind w:left="153" w:firstLine="0"/>
        <w:rPr>
          <w:color w:val="000000"/>
        </w:rPr>
      </w:pPr>
      <w:r w:rsidRPr="00546F3A">
        <w:rPr>
          <w:rFonts w:cs="Arial"/>
          <w:b/>
          <w:bCs/>
          <w:color w:val="FFC000"/>
        </w:rPr>
        <w:t>S</w:t>
      </w:r>
      <w:r w:rsidRPr="00546F3A">
        <w:rPr>
          <w:rFonts w:cs="Arial"/>
          <w:b/>
          <w:bCs/>
          <w:color w:val="000000"/>
        </w:rPr>
        <w:t> </w:t>
      </w:r>
      <w:r w:rsidRPr="00546F3A">
        <w:rPr>
          <w:rFonts w:cs="Arial"/>
          <w:color w:val="000000"/>
        </w:rPr>
        <w:t>– MALO BY BYŤ (</w:t>
      </w:r>
      <w:proofErr w:type="spellStart"/>
      <w:r w:rsidRPr="00546F3A">
        <w:rPr>
          <w:rFonts w:cs="Arial"/>
          <w:b/>
          <w:bCs/>
          <w:color w:val="FFC000"/>
          <w:shd w:val="clear" w:color="auto" w:fill="FFFFFF"/>
        </w:rPr>
        <w:t>Should</w:t>
      </w:r>
      <w:proofErr w:type="spellEnd"/>
      <w:r w:rsidRPr="00546F3A">
        <w:rPr>
          <w:rFonts w:cs="Arial"/>
          <w:b/>
          <w:bCs/>
          <w:color w:val="FFC000"/>
          <w:shd w:val="clear" w:color="auto" w:fill="FFFFFF"/>
        </w:rPr>
        <w:t xml:space="preserve"> </w:t>
      </w:r>
      <w:proofErr w:type="spellStart"/>
      <w:r w:rsidRPr="00546F3A">
        <w:rPr>
          <w:rFonts w:cs="Arial"/>
          <w:b/>
          <w:bCs/>
          <w:color w:val="FFC000"/>
          <w:shd w:val="clear" w:color="auto" w:fill="FFFFFF"/>
        </w:rPr>
        <w:t>have</w:t>
      </w:r>
      <w:proofErr w:type="spellEnd"/>
      <w:r w:rsidRPr="00546F3A">
        <w:rPr>
          <w:rFonts w:cs="Arial"/>
          <w:color w:val="000000"/>
        </w:rPr>
        <w:t xml:space="preserve">) - </w:t>
      </w:r>
      <w:r w:rsidRPr="00546F3A">
        <w:t xml:space="preserve">špecifikuje požiadavku, ktorá je povinná pokiaľ neexistuje pádny dôvod prečo nemôže byť splnená. </w:t>
      </w:r>
    </w:p>
    <w:p w:rsidR="00B81B97" w:rsidRPr="00546F3A" w:rsidRDefault="00B81B97" w:rsidP="00B81B97">
      <w:pPr>
        <w:spacing w:after="178"/>
        <w:ind w:right="8" w:firstLine="153"/>
        <w:rPr>
          <w:rFonts w:cs="Arial"/>
          <w:color w:val="000000"/>
        </w:rPr>
      </w:pPr>
      <w:r w:rsidRPr="00546F3A">
        <w:t xml:space="preserve">Ak existuje takýto dôvod, </w:t>
      </w:r>
      <w:r w:rsidRPr="00546F3A">
        <w:rPr>
          <w:b/>
          <w:i/>
          <w:color w:val="FF0000"/>
          <w:u w:val="single"/>
        </w:rPr>
        <w:t>musí</w:t>
      </w:r>
      <w:r w:rsidRPr="00546F3A">
        <w:rPr>
          <w:color w:val="FF0000"/>
        </w:rPr>
        <w:t xml:space="preserve"> </w:t>
      </w:r>
      <w:r w:rsidRPr="00546F3A">
        <w:t>byť zdokumentovaný a schválený</w:t>
      </w:r>
      <w:r w:rsidRPr="00546F3A">
        <w:rPr>
          <w:rFonts w:cs="Arial"/>
          <w:color w:val="000000"/>
        </w:rPr>
        <w:t xml:space="preserve">. </w:t>
      </w:r>
    </w:p>
    <w:p w:rsidR="00B81B97" w:rsidRPr="00546F3A" w:rsidRDefault="00B81B97" w:rsidP="00B81B97">
      <w:pPr>
        <w:spacing w:after="178"/>
        <w:ind w:left="153" w:right="8"/>
      </w:pPr>
      <w:r w:rsidRPr="00546F3A">
        <w:rPr>
          <w:rFonts w:cs="Arial"/>
          <w:color w:val="000000"/>
        </w:rPr>
        <w:t xml:space="preserve">Platí aj pre </w:t>
      </w:r>
      <w:r w:rsidRPr="00546F3A">
        <w:t>zákaz “</w:t>
      </w:r>
      <w:r w:rsidRPr="00546F3A">
        <w:rPr>
          <w:b/>
          <w:color w:val="FFC000"/>
        </w:rPr>
        <w:t>nemalo by byť</w:t>
      </w:r>
      <w:r w:rsidRPr="00546F3A">
        <w:t xml:space="preserve">”, ktorý je povinný pokiaľ neexistuje pádny dôvod prečo nie je </w:t>
      </w:r>
      <w:r w:rsidRPr="00546F3A">
        <w:rPr>
          <w:b/>
          <w:i/>
          <w:color w:val="00B050"/>
          <w:u w:val="single"/>
        </w:rPr>
        <w:t>možné</w:t>
      </w:r>
      <w:r w:rsidRPr="00546F3A">
        <w:t xml:space="preserve"> ho splniť. </w:t>
      </w:r>
    </w:p>
    <w:p w:rsidR="00B81B97" w:rsidRPr="00546F3A" w:rsidRDefault="00B81B97" w:rsidP="00B81B97">
      <w:pPr>
        <w:spacing w:after="178"/>
        <w:ind w:right="8" w:firstLine="153"/>
      </w:pPr>
      <w:r w:rsidRPr="00546F3A">
        <w:t xml:space="preserve">Ak existuje takýto dôvod, </w:t>
      </w:r>
      <w:r w:rsidRPr="00546F3A">
        <w:rPr>
          <w:b/>
          <w:i/>
          <w:color w:val="FF0000"/>
          <w:u w:val="single"/>
        </w:rPr>
        <w:t>musí</w:t>
      </w:r>
      <w:r w:rsidRPr="00546F3A">
        <w:rPr>
          <w:color w:val="FF0000"/>
        </w:rPr>
        <w:t xml:space="preserve"> </w:t>
      </w:r>
      <w:r w:rsidRPr="00546F3A">
        <w:t>byť zdokumentovaný a schválený.</w:t>
      </w:r>
    </w:p>
    <w:p w:rsidR="00B81B97" w:rsidRPr="00546F3A" w:rsidRDefault="00B81B97" w:rsidP="001877BA">
      <w:pPr>
        <w:numPr>
          <w:ilvl w:val="0"/>
          <w:numId w:val="19"/>
        </w:numPr>
        <w:spacing w:before="120" w:after="120" w:line="240" w:lineRule="auto"/>
        <w:ind w:left="153" w:firstLine="0"/>
        <w:rPr>
          <w:color w:val="000000"/>
        </w:rPr>
      </w:pPr>
      <w:r w:rsidRPr="00546F3A">
        <w:rPr>
          <w:rFonts w:cs="Arial"/>
          <w:b/>
          <w:bCs/>
          <w:color w:val="000000"/>
        </w:rPr>
        <w:t>C </w:t>
      </w:r>
      <w:r w:rsidRPr="00546F3A">
        <w:rPr>
          <w:rFonts w:cs="Arial"/>
          <w:color w:val="000000"/>
        </w:rPr>
        <w:t>- MOHLI BY BYŤ (</w:t>
      </w:r>
      <w:proofErr w:type="spellStart"/>
      <w:r w:rsidRPr="00546F3A">
        <w:rPr>
          <w:rFonts w:cs="Arial"/>
          <w:b/>
          <w:bCs/>
          <w:color w:val="00B050"/>
          <w:shd w:val="clear" w:color="auto" w:fill="FFFFFF"/>
        </w:rPr>
        <w:t>Could</w:t>
      </w:r>
      <w:proofErr w:type="spellEnd"/>
      <w:r w:rsidRPr="00546F3A">
        <w:rPr>
          <w:rFonts w:cs="Arial"/>
          <w:b/>
          <w:bCs/>
          <w:color w:val="00B050"/>
          <w:shd w:val="clear" w:color="auto" w:fill="FFFFFF"/>
        </w:rPr>
        <w:t xml:space="preserve"> </w:t>
      </w:r>
      <w:proofErr w:type="spellStart"/>
      <w:r w:rsidRPr="00546F3A">
        <w:rPr>
          <w:rFonts w:cs="Arial"/>
          <w:b/>
          <w:bCs/>
          <w:color w:val="00B050"/>
          <w:shd w:val="clear" w:color="auto" w:fill="FFFFFF"/>
        </w:rPr>
        <w:t>have</w:t>
      </w:r>
      <w:proofErr w:type="spellEnd"/>
      <w:r w:rsidRPr="00546F3A">
        <w:rPr>
          <w:rFonts w:cs="Arial"/>
          <w:color w:val="000000"/>
        </w:rPr>
        <w:t xml:space="preserve">) - </w:t>
      </w:r>
      <w:r w:rsidRPr="00546F3A">
        <w:t>špecifikuje odporúčanú požiadavku (platí aj pre “</w:t>
      </w:r>
      <w:r w:rsidRPr="00546F3A">
        <w:rPr>
          <w:b/>
          <w:i/>
          <w:color w:val="00B050"/>
          <w:u w:val="single"/>
        </w:rPr>
        <w:t>je možné</w:t>
      </w:r>
      <w:r w:rsidRPr="00546F3A">
        <w:t>”)</w:t>
      </w:r>
      <w:r w:rsidRPr="00546F3A">
        <w:rPr>
          <w:rFonts w:cs="Arial"/>
          <w:color w:val="000000"/>
        </w:rPr>
        <w:t>.</w:t>
      </w:r>
    </w:p>
    <w:p w:rsidR="00B81B97" w:rsidRPr="00CB576B" w:rsidRDefault="00B81B97" w:rsidP="001877BA">
      <w:pPr>
        <w:numPr>
          <w:ilvl w:val="0"/>
          <w:numId w:val="19"/>
        </w:numPr>
        <w:spacing w:before="120" w:after="120" w:line="240" w:lineRule="auto"/>
        <w:ind w:left="153" w:firstLine="0"/>
        <w:rPr>
          <w:color w:val="000000"/>
        </w:rPr>
      </w:pPr>
      <w:r w:rsidRPr="00546F3A">
        <w:rPr>
          <w:rFonts w:cs="Arial"/>
          <w:b/>
          <w:bCs/>
          <w:color w:val="000000"/>
        </w:rPr>
        <w:t>W </w:t>
      </w:r>
      <w:r w:rsidRPr="00546F3A">
        <w:rPr>
          <w:rFonts w:cs="Arial"/>
          <w:color w:val="000000"/>
        </w:rPr>
        <w:t>– NATERAZ NEBUDE, ale v budúcnosti možno (</w:t>
      </w:r>
      <w:proofErr w:type="spellStart"/>
      <w:r w:rsidRPr="00546F3A">
        <w:rPr>
          <w:rFonts w:cs="Arial"/>
          <w:b/>
          <w:bCs/>
          <w:color w:val="0070C0"/>
          <w:shd w:val="clear" w:color="auto" w:fill="FFFFFF"/>
        </w:rPr>
        <w:t>Won't</w:t>
      </w:r>
      <w:proofErr w:type="spellEnd"/>
      <w:r w:rsidRPr="00546F3A">
        <w:rPr>
          <w:rFonts w:cs="Arial"/>
          <w:b/>
          <w:bCs/>
          <w:color w:val="0070C0"/>
          <w:shd w:val="clear" w:color="auto" w:fill="FFFFFF"/>
        </w:rPr>
        <w:t xml:space="preserve"> </w:t>
      </w:r>
      <w:proofErr w:type="spellStart"/>
      <w:r w:rsidRPr="00546F3A">
        <w:rPr>
          <w:rFonts w:cs="Arial"/>
          <w:b/>
          <w:bCs/>
          <w:color w:val="0070C0"/>
          <w:shd w:val="clear" w:color="auto" w:fill="FFFFFF"/>
        </w:rPr>
        <w:t>have</w:t>
      </w:r>
      <w:proofErr w:type="spellEnd"/>
      <w:r w:rsidRPr="00546F3A">
        <w:rPr>
          <w:rFonts w:cs="Arial"/>
          <w:b/>
          <w:bCs/>
          <w:color w:val="0070C0"/>
          <w:shd w:val="clear" w:color="auto" w:fill="FFFFFF"/>
        </w:rPr>
        <w:t xml:space="preserve"> (</w:t>
      </w:r>
      <w:proofErr w:type="spellStart"/>
      <w:r w:rsidRPr="00546F3A">
        <w:rPr>
          <w:rFonts w:cs="Arial"/>
          <w:b/>
          <w:bCs/>
          <w:color w:val="0070C0"/>
          <w:shd w:val="clear" w:color="auto" w:fill="FFFFFF"/>
        </w:rPr>
        <w:t>this</w:t>
      </w:r>
      <w:proofErr w:type="spellEnd"/>
      <w:r w:rsidRPr="00546F3A">
        <w:rPr>
          <w:rFonts w:cs="Arial"/>
          <w:b/>
          <w:bCs/>
          <w:color w:val="0070C0"/>
          <w:shd w:val="clear" w:color="auto" w:fill="FFFFFF"/>
        </w:rPr>
        <w:t xml:space="preserve"> </w:t>
      </w:r>
      <w:proofErr w:type="spellStart"/>
      <w:r w:rsidRPr="00546F3A">
        <w:rPr>
          <w:rFonts w:cs="Arial"/>
          <w:b/>
          <w:bCs/>
          <w:color w:val="0070C0"/>
          <w:shd w:val="clear" w:color="auto" w:fill="FFFFFF"/>
        </w:rPr>
        <w:t>time</w:t>
      </w:r>
      <w:proofErr w:type="spellEnd"/>
      <w:r w:rsidRPr="00546F3A">
        <w:rPr>
          <w:rFonts w:cs="Arial"/>
          <w:b/>
          <w:bCs/>
          <w:color w:val="0070C0"/>
          <w:shd w:val="clear" w:color="auto" w:fill="FFFFFF"/>
        </w:rPr>
        <w:t>)</w:t>
      </w:r>
      <w:r w:rsidRPr="00546F3A">
        <w:rPr>
          <w:rFonts w:cs="Arial"/>
          <w:color w:val="000000"/>
        </w:rPr>
        <w:t>).</w:t>
      </w:r>
    </w:p>
    <w:p w:rsidR="007212B1" w:rsidRDefault="007212B1">
      <w:r>
        <w:br w:type="page"/>
      </w:r>
    </w:p>
    <w:p w:rsidR="00CB576B" w:rsidRDefault="00B94792" w:rsidP="0009694A">
      <w:pPr>
        <w:pStyle w:val="Nadpis1"/>
      </w:pPr>
      <w:bookmarkStart w:id="13" w:name="_Toc184295832"/>
      <w:r>
        <w:t>Dodatky</w:t>
      </w:r>
      <w:bookmarkEnd w:id="13"/>
    </w:p>
    <w:p w:rsidR="00CB576B" w:rsidRDefault="00CB576B" w:rsidP="0009694A">
      <w:pPr>
        <w:pStyle w:val="Nadpis2"/>
      </w:pPr>
      <w:bookmarkStart w:id="14" w:name="_Toc184295833"/>
      <w:r w:rsidRPr="0009694A">
        <w:t>Zdroje</w:t>
      </w:r>
      <w:r w:rsidR="007212B1">
        <w:t xml:space="preserve"> a Legislatívne východiská</w:t>
      </w:r>
      <w:bookmarkEnd w:id="14"/>
    </w:p>
    <w:p w:rsidR="002D502E" w:rsidRPr="003F0FA6" w:rsidRDefault="002D502E" w:rsidP="002D502E">
      <w:pPr>
        <w:rPr>
          <w:u w:val="single"/>
        </w:rPr>
      </w:pPr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10" w:history="1">
        <w:r w:rsidR="002D502E" w:rsidRPr="003F0FA6">
          <w:rPr>
            <w:rStyle w:val="Hypertextovprepojenie"/>
          </w:rPr>
          <w:t>Slov-lex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  <w:rPr>
          <w:rStyle w:val="Hypertextovprepojenie"/>
        </w:rPr>
      </w:pPr>
      <w:hyperlink r:id="rId11" w:history="1">
        <w:r w:rsidR="002D502E" w:rsidRPr="003F0FA6">
          <w:rPr>
            <w:rStyle w:val="Hypertextovprepojenie"/>
          </w:rPr>
          <w:t>Eur-lex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  <w:rPr>
          <w:rStyle w:val="Hypertextovprepojenie"/>
        </w:rPr>
      </w:pPr>
      <w:hyperlink r:id="rId12" w:history="1">
        <w:r w:rsidR="002D502E" w:rsidRPr="003F0FA6">
          <w:rPr>
            <w:rStyle w:val="Hypertextovprepojenie"/>
          </w:rPr>
          <w:t xml:space="preserve">Sémantický znalostný strom vedomostí </w:t>
        </w:r>
        <w:proofErr w:type="spellStart"/>
        <w:r w:rsidR="002D502E" w:rsidRPr="003F0FA6">
          <w:rPr>
            <w:rStyle w:val="Hypertextovprepojenie"/>
          </w:rPr>
          <w:t>Knowww</w:t>
        </w:r>
        <w:proofErr w:type="spellEnd"/>
        <w:r w:rsidR="002D502E" w:rsidRPr="003F0FA6">
          <w:rPr>
            <w:rStyle w:val="Hypertextovprepojenie"/>
          </w:rPr>
          <w:t xml:space="preserve"> EU portál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  <w:rPr>
          <w:rStyle w:val="Hypertextovprepojenie"/>
        </w:rPr>
      </w:pPr>
      <w:hyperlink r:id="rId13" w:history="1">
        <w:r w:rsidR="002D502E" w:rsidRPr="003F0FA6">
          <w:rPr>
            <w:rStyle w:val="Hypertextovprepojenie"/>
          </w:rPr>
          <w:t>Vláda SR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14" w:history="1">
        <w:r w:rsidR="002D502E" w:rsidRPr="003F0FA6">
          <w:rPr>
            <w:rStyle w:val="Hypertextovprepojenie"/>
          </w:rPr>
          <w:t>Ústredný portál verejnej správy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15" w:history="1">
        <w:r w:rsidR="002D502E" w:rsidRPr="003F0FA6">
          <w:rPr>
            <w:rStyle w:val="Hypertextovprepojenie"/>
          </w:rPr>
          <w:t>Rokovania legislatívnej rady vlády SR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16" w:history="1">
        <w:r w:rsidR="002D502E" w:rsidRPr="003F0FA6">
          <w:rPr>
            <w:rStyle w:val="Hypertextovprepojenie"/>
          </w:rPr>
          <w:t>Zoznam uznesení vlády SR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17" w:history="1">
        <w:r w:rsidR="002D502E" w:rsidRPr="003F0FA6">
          <w:rPr>
            <w:rStyle w:val="Hypertextovprepojenie"/>
          </w:rPr>
          <w:t>Ministerstvo investícií, regionálneho rozvoja a informatizácie Slovenskej republiky</w:t>
        </w:r>
      </w:hyperlink>
      <w:r w:rsidR="002D502E" w:rsidRPr="003F0FA6">
        <w:t xml:space="preserve"> </w:t>
      </w:r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18" w:history="1">
        <w:r w:rsidR="002D502E" w:rsidRPr="003F0FA6">
          <w:rPr>
            <w:rStyle w:val="Hypertextovprepojenie"/>
          </w:rPr>
          <w:t>CSIRT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19" w:history="1">
        <w:r w:rsidR="002D502E" w:rsidRPr="003F0FA6">
          <w:rPr>
            <w:rStyle w:val="Hypertextovprepojenie"/>
          </w:rPr>
          <w:t>NASES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20" w:history="1">
        <w:r w:rsidR="002D502E" w:rsidRPr="003F0FA6">
          <w:rPr>
            <w:rStyle w:val="Hypertextovprepojenie"/>
          </w:rPr>
          <w:t>NBÚ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21" w:history="1">
        <w:r w:rsidR="002D502E" w:rsidRPr="003F0FA6">
          <w:rPr>
            <w:rStyle w:val="Hypertextovprepojenie"/>
          </w:rPr>
          <w:t>Interné normy SP</w:t>
        </w:r>
      </w:hyperlink>
      <w:r w:rsidR="002D502E" w:rsidRPr="003F0FA6">
        <w:t xml:space="preserve"> 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rPr>
          <w:rStyle w:val="Hypertextovprepojenie"/>
        </w:rPr>
      </w:pPr>
      <w:r w:rsidRPr="003F0FA6">
        <w:fldChar w:fldCharType="begin"/>
      </w:r>
      <w:r w:rsidRPr="003F0FA6">
        <w:instrText xml:space="preserve"> HYPERLINK "http://www.nist.gov" </w:instrText>
      </w:r>
      <w:r w:rsidRPr="003F0FA6">
        <w:fldChar w:fldCharType="separate"/>
      </w:r>
      <w:r w:rsidRPr="003F0FA6">
        <w:rPr>
          <w:rStyle w:val="Hypertextovprepojenie"/>
        </w:rPr>
        <w:t>NIST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</w:pPr>
      <w:r w:rsidRPr="003F0FA6">
        <w:fldChar w:fldCharType="end"/>
      </w:r>
      <w:hyperlink r:id="rId22" w:history="1">
        <w:r w:rsidRPr="003F0FA6">
          <w:rPr>
            <w:rStyle w:val="Hypertextovprepojenie"/>
          </w:rPr>
          <w:t>NSA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23" w:history="1">
        <w:r w:rsidR="002D502E" w:rsidRPr="003F0FA6">
          <w:rPr>
            <w:rStyle w:val="Hypertextovprepojenie"/>
          </w:rPr>
          <w:t>OWASP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24" w:history="1">
        <w:r w:rsidR="002D502E" w:rsidRPr="003F0FA6">
          <w:rPr>
            <w:rStyle w:val="Hypertextovprepojenie"/>
          </w:rPr>
          <w:t>IETF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25" w:history="1">
        <w:r w:rsidR="002D502E" w:rsidRPr="003F0FA6">
          <w:rPr>
            <w:rStyle w:val="Hypertextovprepojenie"/>
          </w:rPr>
          <w:t>IAB</w:t>
        </w:r>
      </w:hyperlink>
    </w:p>
    <w:p w:rsidR="002D502E" w:rsidRPr="003F0FA6" w:rsidRDefault="00E82492" w:rsidP="002D502E">
      <w:pPr>
        <w:pStyle w:val="Odsekzoznamu"/>
        <w:numPr>
          <w:ilvl w:val="0"/>
          <w:numId w:val="1"/>
        </w:numPr>
        <w:spacing w:after="0" w:line="240" w:lineRule="auto"/>
      </w:pPr>
      <w:hyperlink r:id="rId26" w:history="1">
        <w:r w:rsidR="002D502E" w:rsidRPr="003F0FA6">
          <w:rPr>
            <w:rStyle w:val="Hypertextovprepojenie"/>
          </w:rPr>
          <w:t>RFC</w:t>
        </w:r>
      </w:hyperlink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395/2002</w:t>
      </w:r>
      <w:r w:rsidRPr="003F0FA6">
        <w:t xml:space="preserve"> Z. z. o archívoch a registratúrach a o doplnení niektorých zákonov v 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461/2003</w:t>
      </w:r>
      <w:r w:rsidRPr="003F0FA6">
        <w:t xml:space="preserve"> Z. z. o sociálnom poistení</w:t>
      </w:r>
      <w:r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215/2004</w:t>
      </w:r>
      <w:r w:rsidRPr="003F0FA6">
        <w:t xml:space="preserve"> Z. z. o ochrane utajovaných skutočností a o zmene a doplnení niektorých zákonov</w:t>
      </w:r>
      <w:r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Trestný zákon č. </w:t>
      </w:r>
      <w:r w:rsidRPr="003F0FA6">
        <w:rPr>
          <w:b/>
        </w:rPr>
        <w:t>300/2005</w:t>
      </w:r>
      <w:r w:rsidRPr="003F0FA6">
        <w:t xml:space="preserve"> Z. z. (trestné činy páchané pomocou elektronických prostriedkov a v elektronickom prostredí)</w:t>
      </w:r>
      <w:r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45/2011</w:t>
      </w:r>
      <w:r w:rsidRPr="003F0FA6">
        <w:t xml:space="preserve"> Z.</w:t>
      </w:r>
      <w:r>
        <w:t xml:space="preserve"> z. o k</w:t>
      </w:r>
      <w:r w:rsidRPr="003F0FA6">
        <w:t>ritickej infraštruktúre</w:t>
      </w:r>
      <w:r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line="240" w:lineRule="auto"/>
        <w:jc w:val="both"/>
      </w:pPr>
      <w:r w:rsidRPr="003F0FA6">
        <w:t xml:space="preserve">Zákon č. </w:t>
      </w:r>
      <w:r w:rsidRPr="003F0FA6">
        <w:rPr>
          <w:b/>
        </w:rPr>
        <w:t>305/2013</w:t>
      </w:r>
      <w:r w:rsidRPr="003F0FA6">
        <w:t xml:space="preserve"> Z. z. o elektronic</w:t>
      </w:r>
      <w:r>
        <w:t>kej podobe výkonu pôsobnosti orgánov verejnej moci</w:t>
      </w:r>
      <w:r w:rsidRPr="003F0FA6">
        <w:t xml:space="preserve"> a o zmene a doplnení niektorých zákonov (zákon o e-</w:t>
      </w:r>
      <w:proofErr w:type="spellStart"/>
      <w:r w:rsidRPr="003F0FA6">
        <w:t>Governmente</w:t>
      </w:r>
      <w:proofErr w:type="spellEnd"/>
      <w:r w:rsidRPr="003F0FA6">
        <w:t>)</w:t>
      </w:r>
      <w:r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272/2016</w:t>
      </w:r>
      <w:r w:rsidRPr="003F0FA6">
        <w:t xml:space="preserve"> Z. z. o dôver</w:t>
      </w:r>
      <w:r>
        <w:t>yhod</w:t>
      </w:r>
      <w:r w:rsidRPr="003F0FA6">
        <w:t>nýc</w:t>
      </w:r>
      <w:r>
        <w:t>h službách</w:t>
      </w:r>
      <w:r w:rsidRPr="003F0FA6">
        <w:t xml:space="preserve"> pre elektronické transakc</w:t>
      </w:r>
      <w:r>
        <w:t xml:space="preserve">ie na vnútornom trhu </w:t>
      </w:r>
      <w:r w:rsidRPr="003F0FA6">
        <w:t>a o zmene a doplnení niektorých zákonov</w:t>
      </w:r>
      <w:r>
        <w:t xml:space="preserve"> (zákon o dôveryhodných službách)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18/2018</w:t>
      </w:r>
      <w:r w:rsidRPr="003F0FA6">
        <w:t xml:space="preserve"> Z. z. o ochrane osobných údajov a o zmene a doplnení niektorých zákonov</w:t>
      </w:r>
      <w:r>
        <w:t xml:space="preserve"> v znení neskorších predpisov</w:t>
      </w:r>
      <w:r w:rsidRPr="003F0FA6">
        <w:t xml:space="preserve"> a odporúčacích opatrení (zákon o ochrane osobných údajov)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69/2018</w:t>
      </w:r>
      <w:r>
        <w:t xml:space="preserve"> Z. z. o k</w:t>
      </w:r>
      <w:r w:rsidRPr="003F0FA6">
        <w:t>ybernetickej bezpečnosti a o zmen</w:t>
      </w:r>
      <w:r>
        <w:t>e a doplnení niektorých zákonov</w:t>
      </w:r>
      <w:r w:rsidRPr="003F0FA6"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95/2019</w:t>
      </w:r>
      <w:r>
        <w:t xml:space="preserve"> Z. z.</w:t>
      </w:r>
      <w:r w:rsidRPr="003F0FA6">
        <w:t xml:space="preserve"> o informačných technológiách vo verejnej správe a o zmen</w:t>
      </w:r>
      <w:r>
        <w:t>e a doplnení niektorých zákonov</w:t>
      </w:r>
      <w:r w:rsidRPr="003F0FA6"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20"/>
        </w:numPr>
        <w:spacing w:after="0" w:line="240" w:lineRule="auto"/>
        <w:jc w:val="both"/>
      </w:pPr>
      <w:r w:rsidRPr="003F0FA6">
        <w:t xml:space="preserve">Zákon č. </w:t>
      </w:r>
      <w:r w:rsidRPr="003F0FA6">
        <w:rPr>
          <w:b/>
        </w:rPr>
        <w:t>452/2021</w:t>
      </w:r>
      <w:r w:rsidRPr="003F0FA6">
        <w:t xml:space="preserve"> Z. z. o elektronických komunikáciách</w:t>
      </w:r>
      <w:r>
        <w:t xml:space="preserve"> v znení neskorších predpisov</w:t>
      </w:r>
      <w:r w:rsidRPr="003F0FA6">
        <w:t xml:space="preserve"> (ochrana súkromia a osobných údajov, ochrana sietí a zariadení)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Úradu podpredsedu vlády Slovenskej republiky pre investície a informatizáciu č. </w:t>
      </w:r>
      <w:r w:rsidRPr="003F0FA6">
        <w:rPr>
          <w:b/>
        </w:rPr>
        <w:t>401/2023</w:t>
      </w:r>
      <w:r w:rsidRPr="003F0FA6">
        <w:t xml:space="preserve"> Z. z. o riadení projektov a zmenových požiadaviek v prevádzke informačných technológií verejnej správy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Úradu podpredsedu vlády Slovenskej republiky pre investície a informatizáciu  č. </w:t>
      </w:r>
      <w:r w:rsidRPr="003F0FA6">
        <w:rPr>
          <w:b/>
        </w:rPr>
        <w:t xml:space="preserve">179/2020 </w:t>
      </w:r>
      <w:r w:rsidRPr="003F0FA6">
        <w:t>Z. z.</w:t>
      </w:r>
      <w:r w:rsidRPr="003F0FA6">
        <w:rPr>
          <w:b/>
        </w:rPr>
        <w:t xml:space="preserve"> </w:t>
      </w:r>
      <w:r w:rsidRPr="003F0FA6">
        <w:t xml:space="preserve">ktorou sa ustanovuje spôsob kategorizácie a obsah bezpečnostných opatrení informačných technológií verejnej správy, 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Úradu podpredsedu vlády Slovenskej republiky pre investície a informatizáciu  č. </w:t>
      </w:r>
      <w:r w:rsidRPr="003F0FA6">
        <w:rPr>
          <w:b/>
        </w:rPr>
        <w:t>78/2020</w:t>
      </w:r>
      <w:r w:rsidRPr="003F0FA6">
        <w:t xml:space="preserve"> Z. z. o štandardoch pre informačné technológie verejnej správy</w:t>
      </w:r>
      <w:r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Ministerstva investícií, regionálneho rozvoja a informatizácie Slovenskej republiky č. </w:t>
      </w:r>
      <w:r w:rsidRPr="003F0FA6">
        <w:rPr>
          <w:b/>
        </w:rPr>
        <w:t>85/2018</w:t>
      </w:r>
      <w:r w:rsidRPr="003F0FA6">
        <w:t xml:space="preserve"> Z. z., ktorou sa ustanovujú podrobnosti o spôsobe vyhotovenia a náležitostiach listinného rovnopisu elektronického úradného dokumentu</w:t>
      </w:r>
    </w:p>
    <w:p w:rsidR="002D502E" w:rsidRPr="00392160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92160">
        <w:t xml:space="preserve">Vyhláška Ministerstva investícií, regionálnej rozvoja a informatizácie Slovenskej republiky č. </w:t>
      </w:r>
      <w:r w:rsidRPr="00392160">
        <w:rPr>
          <w:b/>
        </w:rPr>
        <w:t>335/2023</w:t>
      </w:r>
      <w:r w:rsidRPr="00392160">
        <w:t xml:space="preserve"> Z. z., ktorou sa vykonávajú niektoré ustanovenia zákona o e-</w:t>
      </w:r>
      <w:proofErr w:type="spellStart"/>
      <w:r w:rsidRPr="00392160">
        <w:t>Governmente</w:t>
      </w:r>
      <w:proofErr w:type="spellEnd"/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Ministerstva investícií, regionálneho rozvoja a informatizácie Slovenskej republiky č. </w:t>
      </w:r>
      <w:r w:rsidRPr="003F0FA6">
        <w:rPr>
          <w:b/>
        </w:rPr>
        <w:t>70/2021</w:t>
      </w:r>
      <w:r w:rsidRPr="003F0FA6">
        <w:t xml:space="preserve"> Z. z. o zaručenej konverzii</w:t>
      </w:r>
      <w:r>
        <w:t xml:space="preserve"> v znení neskorších predpisov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Ministerstva investícií, regionálneho rozvoja a informatizácie Slovenskej republiky č. </w:t>
      </w:r>
      <w:r w:rsidRPr="003F0FA6">
        <w:rPr>
          <w:b/>
        </w:rPr>
        <w:t>547/2021</w:t>
      </w:r>
      <w:r w:rsidRPr="003F0FA6">
        <w:t xml:space="preserve"> </w:t>
      </w:r>
      <w:r>
        <w:t>Z. z. o elektronizácii agendy verejnej správy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Národného bezpečnostného úradu č. </w:t>
      </w:r>
      <w:r w:rsidRPr="003F0FA6">
        <w:rPr>
          <w:b/>
        </w:rPr>
        <w:t>164/2018</w:t>
      </w:r>
      <w:r w:rsidRPr="003F0FA6">
        <w:t xml:space="preserve"> Z. z., ktorou sa určujú identifikačné kritériá prevádzkovanej služby (kritériá základnej služby)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Národného bezpečnostného úradu č. </w:t>
      </w:r>
      <w:r w:rsidRPr="003F0FA6">
        <w:rPr>
          <w:b/>
        </w:rPr>
        <w:t>165/2018</w:t>
      </w:r>
      <w:r w:rsidRPr="003F0FA6">
        <w:t xml:space="preserve"> Z. z., ktorou sa určujú identifikačné kritériá pre jednotlivé kategórie závažných kybernetických bezpečnostných incidentov a podrobnosti hlásenia kybernetických bezpečnostných inc</w:t>
      </w:r>
      <w:r>
        <w:t>identov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Národného bezpečnostného úradu č. </w:t>
      </w:r>
      <w:r w:rsidRPr="003F0FA6">
        <w:rPr>
          <w:b/>
        </w:rPr>
        <w:t>166/2018</w:t>
      </w:r>
      <w:r>
        <w:t xml:space="preserve"> Z. z.</w:t>
      </w:r>
      <w:r w:rsidRPr="003F0FA6">
        <w:t xml:space="preserve"> o podrobnostiach o technickom, technologickom a personálnom vybavení jednotky pre riešenie kybernetických bezpečnostných incidentov 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Národného bezpečnostného úradu č. </w:t>
      </w:r>
      <w:r w:rsidRPr="003F0FA6">
        <w:rPr>
          <w:b/>
        </w:rPr>
        <w:t>362/2018</w:t>
      </w:r>
      <w:r w:rsidRPr="003F0FA6">
        <w:t xml:space="preserve"> Z. z.</w:t>
      </w:r>
      <w:r>
        <w:t>,</w:t>
      </w:r>
      <w:r w:rsidRPr="003F0FA6">
        <w:t xml:space="preserve"> ktorou sa ustanovuje obsah bezpečnostných opatrení, obsah a štruktúra bezpečnostnej dokumentácie a rozsah všeobecných bezpečnostných opatrení v znení </w:t>
      </w:r>
      <w:r>
        <w:t>neskorších predpisov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Vyhláška Národného bezpečnostného úradu č. </w:t>
      </w:r>
      <w:r w:rsidRPr="003F0FA6">
        <w:rPr>
          <w:b/>
        </w:rPr>
        <w:t>48/2019</w:t>
      </w:r>
      <w:r w:rsidRPr="003F0FA6">
        <w:t xml:space="preserve"> Z. z.</w:t>
      </w:r>
      <w:r>
        <w:t>,</w:t>
      </w:r>
      <w:r w:rsidRPr="003F0FA6">
        <w:t xml:space="preserve"> ktorou sa ustanovujú podrobnosti o administratívnej bezpečnosti utajovaných skutočností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Nariadenie GDPR - Nariadenia Európskeho parlamentu a Rady (EÚ) </w:t>
      </w:r>
      <w:r w:rsidRPr="003F0FA6">
        <w:rPr>
          <w:b/>
        </w:rPr>
        <w:t>2016/679</w:t>
      </w:r>
      <w:r w:rsidRPr="003F0FA6">
        <w:t xml:space="preserve"> z 27. apríla 2016 o ochrane fyzických osôb pri spracúvaní osobných údajov a o voľnom pohybe takýchto údajov, ktorým sa zrušuje smernica 95/46/ES (všeobecn</w:t>
      </w:r>
      <w:r>
        <w:t>é nariadenie o ochrane údajov)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Nariadenie Európskeho parlamentu a Rady (EÚ) </w:t>
      </w:r>
      <w:r w:rsidRPr="003F0FA6">
        <w:rPr>
          <w:b/>
        </w:rPr>
        <w:t>2018/1725</w:t>
      </w:r>
      <w:r w:rsidRPr="003F0FA6">
        <w:t xml:space="preserve"> z 23. októbra 2018 o ochrane fyzických osôb pri spracúvaní osobných údajov inštitúciami, orgánmi, úradmi a agentúrami Únie a o voľnom pohybe takýchto údajov, ktorým sa zrušuje nariadenie (ES) č. 45/2001 a rozhodnutie č. 1247/2002/ES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Nariadenie Európskeho parlamentu a Rady (EÚ) </w:t>
      </w:r>
      <w:r w:rsidRPr="003F0FA6">
        <w:rPr>
          <w:b/>
        </w:rPr>
        <w:t>2019/881</w:t>
      </w:r>
      <w:r w:rsidRPr="003F0FA6">
        <w:t xml:space="preserve"> zo 17. apríla 2019 o agentúre ENISA (Agentúra Európskej únie pre kybernetickú bezpečnosť) a o certifikácii kybernetickej bezpečnosti informačných a komunikačných technológií a o zrušení nariadenia (EÚ) č. 526/2013 (akt o kybernetickej bezpečnosti)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Smernica Európskeho parlamentu a Rady (EÚ) </w:t>
      </w:r>
      <w:r w:rsidRPr="003F0FA6">
        <w:rPr>
          <w:b/>
        </w:rPr>
        <w:t>2016/1148</w:t>
      </w:r>
      <w:r w:rsidRPr="003F0FA6">
        <w:t xml:space="preserve"> zo 6. júla 2016 o opatreniach na zabezpečenie vysokej spoločnej úrovne bezpečnosti sietí a informačných systémov v Únii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ind w:right="101"/>
        <w:jc w:val="both"/>
      </w:pPr>
      <w:r w:rsidRPr="003F0FA6">
        <w:t xml:space="preserve">Smernica Európskeho parlamentu a Rady (EÚ) </w:t>
      </w:r>
      <w:r w:rsidRPr="003F0FA6">
        <w:rPr>
          <w:b/>
        </w:rPr>
        <w:t>2016/2102</w:t>
      </w:r>
      <w:r w:rsidRPr="003F0FA6">
        <w:t xml:space="preserve"> z 26. októbra 2016 o prístupnosti webových sídel a mobilných aplikácií subjektov verejného sektora 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ind w:right="101"/>
        <w:jc w:val="both"/>
      </w:pPr>
      <w:r w:rsidRPr="003F0FA6">
        <w:t xml:space="preserve">Smernica Európskeho parlamentu a Rady (EÚ) </w:t>
      </w:r>
      <w:r w:rsidRPr="003F0FA6">
        <w:rPr>
          <w:b/>
        </w:rPr>
        <w:t>2019/1024</w:t>
      </w:r>
      <w:r w:rsidRPr="003F0FA6">
        <w:t xml:space="preserve"> z 20. júna 2019 o otvorených dátach a opakovanom použití informácií verejného sektora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line="240" w:lineRule="auto"/>
        <w:jc w:val="both"/>
      </w:pPr>
      <w:r w:rsidRPr="003F0FA6">
        <w:t xml:space="preserve">Smernica č. </w:t>
      </w:r>
      <w:r w:rsidRPr="003F0FA6">
        <w:rPr>
          <w:b/>
        </w:rPr>
        <w:t>7/2019</w:t>
      </w:r>
      <w:r w:rsidRPr="003F0FA6">
        <w:t xml:space="preserve"> o riešení Bezpečnostných incidentov Vládnou jednotkou CSIRT</w:t>
      </w:r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ind w:right="101"/>
        <w:jc w:val="both"/>
      </w:pPr>
      <w:r w:rsidRPr="003F0FA6">
        <w:t xml:space="preserve">Metodika Jednotný́ dizajn manuál elektronických služieb verejnej správy - Metodické usmernenie UVSR č. 002089/2018/oLŠISVS-7 zo dňa 11.05.2018 </w:t>
      </w:r>
      <w:hyperlink r:id="rId27" w:history="1">
        <w:r w:rsidRPr="003F0FA6">
          <w:rPr>
            <w:rStyle w:val="Hypertextovprepojenie"/>
          </w:rPr>
          <w:t>https://www.mirri.gov.sk/wp-content/uploads/2018/10/Metodicke-usmernenie-ID-SK-publikovat.pdf</w:t>
        </w:r>
      </w:hyperlink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ind w:right="101"/>
        <w:jc w:val="both"/>
      </w:pPr>
      <w:r w:rsidRPr="003F0FA6">
        <w:t>Metodické usmernenie pre tvorbu používateľsky kvalitných elektronických služieb verejnej správy (Číslo spisu v DKS: 004307/2019/</w:t>
      </w:r>
      <w:proofErr w:type="spellStart"/>
      <w:r w:rsidRPr="003F0FA6">
        <w:t>oBI</w:t>
      </w:r>
      <w:proofErr w:type="spellEnd"/>
      <w:r w:rsidRPr="003F0FA6">
        <w:t xml:space="preserve">) </w:t>
      </w:r>
      <w:hyperlink r:id="rId28" w:history="1">
        <w:r w:rsidRPr="003F0FA6">
          <w:rPr>
            <w:rStyle w:val="Hypertextovprepojenie"/>
          </w:rPr>
          <w:t>https://www.mirri.gov.sk/wp-content/uploads/2019/04/Metodicke-usmernenie-pre-tvorbu-pouzivatelsky-kvalitnych-elektronickych-sluzieb-verejnej-spravy.pdf</w:t>
        </w:r>
      </w:hyperlink>
    </w:p>
    <w:p w:rsidR="002D502E" w:rsidRDefault="002D502E" w:rsidP="002D502E">
      <w:pPr>
        <w:pStyle w:val="Odsekzoznamu"/>
        <w:numPr>
          <w:ilvl w:val="0"/>
          <w:numId w:val="1"/>
        </w:numPr>
        <w:spacing w:after="0" w:line="240" w:lineRule="auto"/>
        <w:ind w:right="101"/>
        <w:jc w:val="both"/>
      </w:pPr>
      <w:r w:rsidRPr="003F0FA6">
        <w:t xml:space="preserve">Metodika riadenia QAMPR </w:t>
      </w:r>
    </w:p>
    <w:p w:rsidR="002D502E" w:rsidRPr="003F0FA6" w:rsidRDefault="00E82492" w:rsidP="002D502E">
      <w:pPr>
        <w:pStyle w:val="Odsekzoznamu"/>
        <w:ind w:left="709"/>
      </w:pPr>
      <w:hyperlink r:id="rId29" w:history="1">
        <w:r w:rsidR="002D502E" w:rsidRPr="003F0FA6">
          <w:rPr>
            <w:rStyle w:val="Hypertextovprepojenie"/>
          </w:rPr>
          <w:t>https://www.mirri.gov.sk/sekcie/informatizacia/riadenie-kvality-qa/riadenie-kvality-qa/index.html</w:t>
        </w:r>
      </w:hyperlink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ind w:right="101"/>
        <w:jc w:val="both"/>
      </w:pPr>
      <w:r w:rsidRPr="003F0FA6">
        <w:t xml:space="preserve">Metodický pokyn k zabezpečeniu centrálneho nákupu produktov a služieb spoločnosti ORACLE v rámci Centrálnej rámcovej dohody na poskytovanie licencií a produktov ORACLE a služieb s nimi súvisiacich </w:t>
      </w:r>
      <w:hyperlink r:id="rId30" w:history="1">
        <w:r w:rsidRPr="003F0FA6">
          <w:rPr>
            <w:rStyle w:val="Hypertextovprepojenie"/>
          </w:rPr>
          <w:t>https://www.mirri.gov.sk/wp-content/uploads/2020/02/Metodicky_pokyn_ORACLE_CRD_2019.pdf</w:t>
        </w:r>
      </w:hyperlink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Metodické usmernenie nariadeniu (GDPR) k spracúvaniu osobných údajov (prostredníctvom web stránok) v súlade s požiadavkami Nariadenia Rady EÚ č. 2016/679 z 27. apríla 2016 o ochrane fyzických osôb pri spracúvaní osobných údajov a o voľnom pohybe takýchto údajov </w:t>
      </w:r>
      <w:hyperlink r:id="rId31" w:history="1">
        <w:r w:rsidRPr="003F0FA6">
          <w:rPr>
            <w:rStyle w:val="Hypertextovprepojenie"/>
          </w:rPr>
          <w:t>https://www.slov-lex.sk/pravne-predpisy/SK/ZZ/2018/18/20190901.html</w:t>
        </w:r>
      </w:hyperlink>
    </w:p>
    <w:p w:rsidR="002D502E" w:rsidRPr="003F0FA6" w:rsidRDefault="002D502E" w:rsidP="002D502E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3F0FA6">
        <w:t xml:space="preserve">Metodika pre Systematické zabezpečenie organizácií verejnej správy v oblasti informačnej bezpečnosti (CSIRT) – aktuálne znenie </w:t>
      </w:r>
      <w:hyperlink r:id="rId32" w:history="1">
        <w:r w:rsidRPr="003F0FA6">
          <w:rPr>
            <w:rStyle w:val="Hypertextovprepojenie"/>
          </w:rPr>
          <w:t>MetodikaZabezpeceniaIKT_v2.1.pdf (gov.sk)</w:t>
        </w:r>
      </w:hyperlink>
    </w:p>
    <w:p w:rsidR="00A65275" w:rsidRPr="00C20DCE" w:rsidRDefault="00A65275" w:rsidP="00A65275">
      <w:pPr>
        <w:pStyle w:val="Odsek"/>
        <w:numPr>
          <w:ilvl w:val="0"/>
          <w:numId w:val="1"/>
        </w:numPr>
        <w:shd w:val="clear" w:color="auto" w:fill="FFFFFF"/>
        <w:rPr>
          <w:rStyle w:val="Hypertextovprepojenie"/>
          <w:color w:val="1F497D"/>
          <w:u w:val="none"/>
        </w:rPr>
      </w:pP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>Jednotný dizajn manuál elektronických služieb</w:t>
      </w:r>
      <w:r>
        <w:rPr>
          <w:color w:val="1F497D"/>
        </w:rPr>
        <w:t xml:space="preserve"> </w:t>
      </w:r>
      <w:hyperlink r:id="rId33" w:history="1">
        <w:r>
          <w:rPr>
            <w:rStyle w:val="Hypertextovprepojenie"/>
          </w:rPr>
          <w:t>https://idsk.gov.sk/</w:t>
        </w:r>
      </w:hyperlink>
    </w:p>
    <w:p w:rsidR="00C20DCE" w:rsidRDefault="00C20DCE" w:rsidP="00C20DCE">
      <w:pPr>
        <w:pStyle w:val="Odsek"/>
        <w:numPr>
          <w:ilvl w:val="0"/>
          <w:numId w:val="0"/>
        </w:numPr>
        <w:shd w:val="clear" w:color="auto" w:fill="FFFFFF"/>
        <w:ind w:left="720" w:hanging="360"/>
        <w:rPr>
          <w:color w:val="1F497D"/>
        </w:rPr>
      </w:pPr>
    </w:p>
    <w:p w:rsidR="00C20DCE" w:rsidRDefault="00C20DCE" w:rsidP="00C20DCE">
      <w:pPr>
        <w:pStyle w:val="Odsek"/>
        <w:numPr>
          <w:ilvl w:val="0"/>
          <w:numId w:val="0"/>
        </w:numPr>
        <w:shd w:val="clear" w:color="auto" w:fill="FFFFFF"/>
        <w:ind w:left="720" w:hanging="360"/>
        <w:rPr>
          <w:color w:val="1F497D"/>
        </w:rPr>
      </w:pPr>
    </w:p>
    <w:p w:rsidR="00C20DCE" w:rsidRDefault="00C20DCE" w:rsidP="002D502E">
      <w:pPr>
        <w:pStyle w:val="Odsek"/>
        <w:numPr>
          <w:ilvl w:val="0"/>
          <w:numId w:val="1"/>
        </w:numPr>
        <w:shd w:val="clear" w:color="auto" w:fill="FFFFFF"/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</w:pP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PGR SP č. </w:t>
      </w:r>
      <w:r w:rsidR="002D502E">
        <w:rPr>
          <w:rFonts w:asciiTheme="minorHAnsi" w:eastAsiaTheme="minorHAnsi" w:hAnsiTheme="minorHAnsi" w:cstheme="minorBidi"/>
          <w:b/>
          <w:color w:val="auto"/>
          <w:szCs w:val="22"/>
          <w:shd w:val="clear" w:color="auto" w:fill="auto"/>
          <w:lang w:eastAsia="en-US"/>
        </w:rPr>
        <w:t>29</w:t>
      </w:r>
      <w:r w:rsidRPr="00111F85">
        <w:rPr>
          <w:rFonts w:asciiTheme="minorHAnsi" w:eastAsiaTheme="minorHAnsi" w:hAnsiTheme="minorHAnsi" w:cstheme="minorBidi"/>
          <w:b/>
          <w:color w:val="auto"/>
          <w:szCs w:val="22"/>
          <w:shd w:val="clear" w:color="auto" w:fill="auto"/>
          <w:lang w:eastAsia="en-US"/>
        </w:rPr>
        <w:t>/202</w:t>
      </w:r>
      <w:r w:rsidR="002D502E">
        <w:rPr>
          <w:rFonts w:asciiTheme="minorHAnsi" w:eastAsiaTheme="minorHAnsi" w:hAnsiTheme="minorHAnsi" w:cstheme="minorBidi"/>
          <w:b/>
          <w:color w:val="auto"/>
          <w:szCs w:val="22"/>
          <w:shd w:val="clear" w:color="auto" w:fill="auto"/>
          <w:lang w:eastAsia="en-US"/>
        </w:rPr>
        <w:t>4</w:t>
      </w: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 </w:t>
      </w:r>
      <w:r w:rsidR="002D502E" w:rsidRPr="002D502E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Programové, projektové a zmenové riadenie v podmienkach Sociálnej poisťovne  </w:t>
      </w:r>
    </w:p>
    <w:p w:rsidR="00A65275" w:rsidRPr="007945F5" w:rsidRDefault="00A65275" w:rsidP="00A65275">
      <w:pPr>
        <w:pStyle w:val="Odsek"/>
        <w:numPr>
          <w:ilvl w:val="0"/>
          <w:numId w:val="1"/>
        </w:numPr>
        <w:shd w:val="clear" w:color="auto" w:fill="FFFFFF"/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</w:pP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PGR SP č. </w:t>
      </w:r>
      <w:r w:rsidRPr="00111F85">
        <w:rPr>
          <w:rFonts w:asciiTheme="minorHAnsi" w:eastAsiaTheme="minorHAnsi" w:hAnsiTheme="minorHAnsi" w:cstheme="minorBidi"/>
          <w:b/>
          <w:color w:val="auto"/>
          <w:szCs w:val="22"/>
          <w:shd w:val="clear" w:color="auto" w:fill="auto"/>
          <w:lang w:eastAsia="en-US"/>
        </w:rPr>
        <w:t>19/2017</w:t>
      </w: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 Informačná bezpečnosť Bezpečnostná politika</w:t>
      </w:r>
    </w:p>
    <w:p w:rsidR="00A65275" w:rsidRPr="007945F5" w:rsidRDefault="00A65275" w:rsidP="00A65275">
      <w:pPr>
        <w:pStyle w:val="Odsek"/>
        <w:numPr>
          <w:ilvl w:val="0"/>
          <w:numId w:val="1"/>
        </w:numPr>
        <w:shd w:val="clear" w:color="auto" w:fill="FFFFFF"/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</w:pP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PGR SP č. </w:t>
      </w:r>
      <w:r w:rsidRPr="00111F85">
        <w:rPr>
          <w:rFonts w:asciiTheme="minorHAnsi" w:eastAsiaTheme="minorHAnsi" w:hAnsiTheme="minorHAnsi" w:cstheme="minorBidi"/>
          <w:b/>
          <w:color w:val="auto"/>
          <w:szCs w:val="22"/>
          <w:shd w:val="clear" w:color="auto" w:fill="auto"/>
          <w:lang w:eastAsia="en-US"/>
        </w:rPr>
        <w:t>21/2017</w:t>
      </w: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 Elektronická komunikácia</w:t>
      </w:r>
    </w:p>
    <w:p w:rsidR="000F3495" w:rsidRDefault="00A65275" w:rsidP="000F3495">
      <w:pPr>
        <w:pStyle w:val="Odsek"/>
        <w:numPr>
          <w:ilvl w:val="0"/>
          <w:numId w:val="1"/>
        </w:numPr>
        <w:shd w:val="clear" w:color="auto" w:fill="FFFFFF"/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</w:pP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>PGR SP</w:t>
      </w:r>
      <w:r w:rsidR="00C20DCE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 č.</w:t>
      </w: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 </w:t>
      </w:r>
      <w:r w:rsidRPr="00111F85">
        <w:rPr>
          <w:rFonts w:asciiTheme="minorHAnsi" w:eastAsiaTheme="minorHAnsi" w:hAnsiTheme="minorHAnsi" w:cstheme="minorBidi"/>
          <w:b/>
          <w:color w:val="auto"/>
          <w:szCs w:val="22"/>
          <w:shd w:val="clear" w:color="auto" w:fill="auto"/>
          <w:lang w:eastAsia="en-US"/>
        </w:rPr>
        <w:t>9/2017</w:t>
      </w:r>
      <w:r w:rsidRPr="007945F5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 Zásady na zabezpečenie postupu pri poskytovaní údajov z IS SP</w:t>
      </w:r>
    </w:p>
    <w:p w:rsidR="000F3495" w:rsidRPr="000F3495" w:rsidRDefault="000F3495" w:rsidP="000F3495">
      <w:pPr>
        <w:pStyle w:val="Odsek"/>
        <w:numPr>
          <w:ilvl w:val="0"/>
          <w:numId w:val="1"/>
        </w:numPr>
        <w:shd w:val="clear" w:color="auto" w:fill="FFFFFF"/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</w:pPr>
      <w:r w:rsidRPr="00C20DCE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PGR SP č. </w:t>
      </w:r>
      <w:r w:rsidRPr="00C20DCE">
        <w:rPr>
          <w:rFonts w:asciiTheme="minorHAnsi" w:eastAsiaTheme="minorHAnsi" w:hAnsiTheme="minorHAnsi" w:cstheme="minorBidi"/>
          <w:b/>
          <w:color w:val="auto"/>
          <w:szCs w:val="22"/>
          <w:shd w:val="clear" w:color="auto" w:fill="auto"/>
          <w:lang w:eastAsia="en-US"/>
        </w:rPr>
        <w:t>9/2016</w:t>
      </w:r>
      <w:r w:rsidRPr="00C20DCE"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  <w:t xml:space="preserve"> Prevádzkový poriadok informačného systému Sociálnej poisťovne,</w:t>
      </w:r>
    </w:p>
    <w:p w:rsidR="000F3495" w:rsidRPr="00111F85" w:rsidRDefault="000F3495" w:rsidP="000F3495">
      <w:pPr>
        <w:pStyle w:val="Odsek"/>
        <w:numPr>
          <w:ilvl w:val="0"/>
          <w:numId w:val="0"/>
        </w:numPr>
        <w:shd w:val="clear" w:color="auto" w:fill="FFFFFF"/>
        <w:ind w:left="720"/>
        <w:rPr>
          <w:rFonts w:asciiTheme="minorHAnsi" w:eastAsiaTheme="minorHAnsi" w:hAnsiTheme="minorHAnsi" w:cstheme="minorBidi"/>
          <w:color w:val="auto"/>
          <w:szCs w:val="22"/>
          <w:shd w:val="clear" w:color="auto" w:fill="auto"/>
          <w:lang w:eastAsia="en-US"/>
        </w:rPr>
      </w:pPr>
    </w:p>
    <w:p w:rsidR="007212B1" w:rsidRPr="00E077C9" w:rsidRDefault="007212B1" w:rsidP="00E077C9">
      <w:pPr>
        <w:spacing w:after="0" w:line="240" w:lineRule="auto"/>
        <w:rPr>
          <w:sz w:val="16"/>
          <w:szCs w:val="16"/>
        </w:rPr>
      </w:pPr>
      <w:r w:rsidRPr="00E077C9">
        <w:rPr>
          <w:sz w:val="16"/>
          <w:szCs w:val="16"/>
        </w:rPr>
        <w:br w:type="page"/>
      </w:r>
    </w:p>
    <w:p w:rsidR="005844CF" w:rsidRDefault="005844CF" w:rsidP="007212B1">
      <w:pPr>
        <w:pStyle w:val="Nadpis2"/>
      </w:pPr>
      <w:bookmarkStart w:id="15" w:name="_Toc99359003"/>
      <w:bookmarkStart w:id="16" w:name="_Toc184295834"/>
      <w:r>
        <w:t>Klasifikačné stupne informačných aktív</w:t>
      </w:r>
      <w:bookmarkEnd w:id="15"/>
      <w:bookmarkEnd w:id="16"/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  <w:jc w:val="both"/>
      </w:pPr>
      <w:r w:rsidRPr="00555C99">
        <w:t xml:space="preserve">Klasifikačné stupne </w:t>
      </w:r>
      <w:r>
        <w:t xml:space="preserve">informačných aktív </w:t>
      </w:r>
      <w:r w:rsidRPr="00555C99">
        <w:t>opisujú citlivosť informácií, údajov alebo ďalších s nimi spojených informačných aktív (ďalej len „informačné aktíva“) z pohľadu narušenia ich dôvernosti, integrity a dostupnosti a odrážajú dôležitosť alebo hodnotu týchto aktív pre procesy prevádzkovateľa základnej služby.</w:t>
      </w:r>
    </w:p>
    <w:p w:rsidR="005844CF" w:rsidRPr="00555C99" w:rsidRDefault="005844CF" w:rsidP="005844CF">
      <w:pPr>
        <w:spacing w:line="252" w:lineRule="auto"/>
        <w:rPr>
          <w:b/>
          <w:u w:val="single"/>
        </w:rPr>
      </w:pPr>
      <w:r w:rsidRPr="00555C99">
        <w:rPr>
          <w:b/>
          <w:u w:val="single"/>
        </w:rPr>
        <w:t>Dôvernosť</w:t>
      </w:r>
    </w:p>
    <w:p w:rsidR="005844CF" w:rsidRDefault="005844CF" w:rsidP="005844CF">
      <w:pPr>
        <w:spacing w:line="252" w:lineRule="auto"/>
      </w:pPr>
      <w:r w:rsidRPr="00555C99">
        <w:t>Z hľadiska dôvernosti sú klasifikačné stupne informačných aktív definované ako</w:t>
      </w:r>
    </w:p>
    <w:p w:rsidR="005844CF" w:rsidRDefault="005844CF" w:rsidP="005844CF">
      <w:pPr>
        <w:spacing w:line="252" w:lineRule="auto"/>
      </w:pPr>
      <w:r w:rsidRPr="00555C99">
        <w:rPr>
          <w:b/>
        </w:rPr>
        <w:t>verejné</w:t>
      </w:r>
      <w:r>
        <w:t> informačné aktíva určené pre verejnosť, ktoré sú získateľné z verejných zdrojov alebo z informácií, ktoré sú pripravené na tento účel alebo sú preklasifikované z inej úrovne prostredníctvom vlastníka a zahŕňajú napríklad informácie z médií, povinne publikované informácie alebo všeobecne dostupné informácie,</w:t>
      </w:r>
    </w:p>
    <w:p w:rsidR="005844CF" w:rsidRDefault="005844CF" w:rsidP="005844CF">
      <w:pPr>
        <w:spacing w:line="252" w:lineRule="auto"/>
      </w:pPr>
      <w:r w:rsidRPr="00555C99">
        <w:rPr>
          <w:b/>
        </w:rPr>
        <w:t>interné</w:t>
      </w:r>
      <w:r>
        <w:t> informačné aktíva, ktoré sú používané a prístupné pre všetkých používateľov v rámci organizácie prevádzkovateľa základnej služby bez ohľadu na ich pracovnú rolu; na sprístupnenie týchto aktív tretím stranám je potrebné schválenie zo strany vlastníka informácie,</w:t>
      </w:r>
    </w:p>
    <w:p w:rsidR="005844CF" w:rsidRDefault="005844CF" w:rsidP="005844CF">
      <w:pPr>
        <w:spacing w:line="252" w:lineRule="auto"/>
      </w:pPr>
      <w:r w:rsidRPr="00555C99">
        <w:rPr>
          <w:b/>
        </w:rPr>
        <w:t>chránené</w:t>
      </w:r>
      <w:r>
        <w:t> informačné aktíva, ktoré sú používané a prístupné len určeným skupinám oprávnených osôb a ktorých neautorizované odhalenie, prezradenie alebo zničenie môže mať pre prevádzkovateľa základnej služby negatívny vplyv na poskytovanie služby; prístup k údajom klasifikovaným ako „Chránené“ je riadený pomocou zásady „potreby vedieť“ a zásady „najnižších privilégií“ a je vymedzený výhradne vopred definovaným a schváleným útvarom alebo iným jasne vymedzeným skupinám osôb; tretie strany majú k týmto údajom prístup len v nevyhnutných a jednoznačne definovaných prípadoch schválených vlastníkom,</w:t>
      </w:r>
    </w:p>
    <w:p w:rsidR="005844CF" w:rsidRDefault="005844CF" w:rsidP="005844CF">
      <w:pPr>
        <w:spacing w:line="252" w:lineRule="auto"/>
      </w:pPr>
      <w:r w:rsidRPr="00555C99">
        <w:rPr>
          <w:b/>
        </w:rPr>
        <w:t>prísne</w:t>
      </w:r>
      <w:r>
        <w:t xml:space="preserve"> </w:t>
      </w:r>
      <w:r w:rsidRPr="00555C99">
        <w:rPr>
          <w:b/>
        </w:rPr>
        <w:t>chránené</w:t>
      </w:r>
      <w:r>
        <w:t> informačné aktíva, ktoré sú používané a prístupné len jednotlivým vybraným používateľom prevádzkovateľa základnej služby a ktorých neautorizované odhalenie, prezradenie alebo zničenie môže mať s vysokou pravdepodobnosťou negatívny vplyv na poskytovanie základnej služby; prístup k údajom klasifikovaným ako „Prísne chránené“ je riadený pomocou zásady „potreby vedieť“ a zásady „najnižších privilégií“ a výhradne konkrétnym, vopred definovaným a schváleným osobám; tretie strany majú k týmto údajom prístup len vo výnimočných a jednoznačne definovaných prípadoch schválených vlastníkom alebo na základe ustanovení osobitných predpisov.</w:t>
      </w:r>
    </w:p>
    <w:p w:rsidR="005844CF" w:rsidRPr="000B3B4C" w:rsidRDefault="005844CF" w:rsidP="005844CF">
      <w:pPr>
        <w:spacing w:line="252" w:lineRule="auto"/>
        <w:rPr>
          <w:b/>
        </w:rPr>
      </w:pPr>
      <w:r w:rsidRPr="000B3B4C">
        <w:rPr>
          <w:b/>
        </w:rPr>
        <w:t>Ak nie je informačné aktívum explicitne klasifikované je považované za interné.</w:t>
      </w:r>
    </w:p>
    <w:p w:rsidR="007212B1" w:rsidRDefault="007212B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844CF" w:rsidRPr="00555C99" w:rsidRDefault="005844CF" w:rsidP="005844CF">
      <w:pPr>
        <w:spacing w:line="252" w:lineRule="auto"/>
        <w:rPr>
          <w:b/>
          <w:u w:val="single"/>
        </w:rPr>
      </w:pPr>
      <w:r w:rsidRPr="00555C99">
        <w:rPr>
          <w:b/>
          <w:u w:val="single"/>
        </w:rPr>
        <w:t>Integrita</w:t>
      </w:r>
    </w:p>
    <w:p w:rsidR="005844CF" w:rsidRPr="00555C99" w:rsidRDefault="005844CF" w:rsidP="005844CF">
      <w:pPr>
        <w:spacing w:line="252" w:lineRule="auto"/>
      </w:pPr>
      <w:r w:rsidRPr="00555C99">
        <w:t>Z hľadiska integrity sú klasifikačné stupne informačných aktív definované ako</w:t>
      </w:r>
    </w:p>
    <w:p w:rsidR="005844CF" w:rsidRPr="00555C99" w:rsidRDefault="005844CF" w:rsidP="005844CF">
      <w:pPr>
        <w:spacing w:line="252" w:lineRule="auto"/>
      </w:pPr>
      <w:r w:rsidRPr="00555C99">
        <w:rPr>
          <w:b/>
        </w:rPr>
        <w:t>nízka</w:t>
      </w:r>
      <w:r w:rsidRPr="00555C99">
        <w:t> zahŕňa informačné aktíva, ktorých chyba alebo nepresnosť výrazne neohrozí poskytovanú základnú službu,</w:t>
      </w:r>
    </w:p>
    <w:p w:rsidR="005844CF" w:rsidRPr="00555C99" w:rsidRDefault="005844CF" w:rsidP="005844CF">
      <w:pPr>
        <w:spacing w:line="252" w:lineRule="auto"/>
      </w:pPr>
      <w:r w:rsidRPr="00555C99">
        <w:rPr>
          <w:b/>
        </w:rPr>
        <w:t>stredná</w:t>
      </w:r>
      <w:r w:rsidRPr="00555C99">
        <w:t> zahŕňa informačné aktíva, ktoré sú dôležité pre činnosť prevádzkovateľa základnej služby a ktorých chyba alebo nepresnosť môže spôsobiť dopad na kontinuitu poskytovanej základnej služby, strategickú oblasť, trhové a operačné riziká,</w:t>
      </w:r>
    </w:p>
    <w:p w:rsidR="005844CF" w:rsidRPr="00555C99" w:rsidRDefault="005844CF" w:rsidP="005844CF">
      <w:pPr>
        <w:spacing w:line="252" w:lineRule="auto"/>
      </w:pPr>
      <w:r w:rsidRPr="00555C99">
        <w:rPr>
          <w:b/>
        </w:rPr>
        <w:t>vysoká</w:t>
      </w:r>
      <w:r w:rsidRPr="00555C99">
        <w:t> zahŕňa vybrané kľúčové informačné aktíva, ktoré sú kritické pre činnosť prevádzkovateľa základnej služby a ktorých chyba, nepresnosť bezprostredne ohrozuje poskytovanú základnú službu, s ňou spojené aktivity a reputáciu prevádzkovateľa základnej služby.</w:t>
      </w:r>
    </w:p>
    <w:p w:rsidR="005844CF" w:rsidRPr="00555C99" w:rsidRDefault="005844CF" w:rsidP="005844CF">
      <w:pPr>
        <w:spacing w:line="252" w:lineRule="auto"/>
        <w:rPr>
          <w:b/>
          <w:u w:val="single"/>
        </w:rPr>
      </w:pPr>
      <w:r w:rsidRPr="00555C99">
        <w:rPr>
          <w:b/>
          <w:u w:val="single"/>
        </w:rPr>
        <w:t>Dostupnosť</w:t>
      </w:r>
    </w:p>
    <w:p w:rsidR="005844CF" w:rsidRPr="00555C99" w:rsidRDefault="005844CF" w:rsidP="005844CF">
      <w:pPr>
        <w:spacing w:line="252" w:lineRule="auto"/>
      </w:pPr>
      <w:r w:rsidRPr="00555C99">
        <w:t>Z hľadiska dostupnosti sú klasifikačné stupne informačných aktív definované ako</w:t>
      </w:r>
    </w:p>
    <w:p w:rsidR="005844CF" w:rsidRPr="00555C99" w:rsidRDefault="005844CF" w:rsidP="005844CF">
      <w:pPr>
        <w:spacing w:line="252" w:lineRule="auto"/>
      </w:pPr>
      <w:r w:rsidRPr="00555C99">
        <w:rPr>
          <w:b/>
        </w:rPr>
        <w:t>nízka</w:t>
      </w:r>
      <w:r w:rsidRPr="00555C99">
        <w:t> zahŕňa informačné aktíva prevádzkovateľa základnej služby, ktorých výpadok výrazne neohrozí poskytovanú službu alebo pre ktoré existujú alternatívne postupy,</w:t>
      </w:r>
    </w:p>
    <w:p w:rsidR="005844CF" w:rsidRPr="00555C99" w:rsidRDefault="005844CF" w:rsidP="005844CF">
      <w:pPr>
        <w:spacing w:line="252" w:lineRule="auto"/>
      </w:pPr>
      <w:r w:rsidRPr="00555C99">
        <w:rPr>
          <w:b/>
        </w:rPr>
        <w:t>stredná</w:t>
      </w:r>
      <w:r w:rsidRPr="00555C99">
        <w:t> zahŕňa informačné aktíva, ktoré sú dôležité pre činnosť prevádzkovateľa základnej služby a ktorých zlyhanie môže mať dopad na kontinuitu poskytovanej základnej služby, strategickú oblasť, trhové a operačné riziká,</w:t>
      </w:r>
    </w:p>
    <w:p w:rsidR="005844CF" w:rsidRDefault="005844CF" w:rsidP="005844CF">
      <w:pPr>
        <w:spacing w:line="252" w:lineRule="auto"/>
      </w:pPr>
      <w:r w:rsidRPr="00555C99">
        <w:rPr>
          <w:b/>
        </w:rPr>
        <w:t>vysoká</w:t>
      </w:r>
      <w:r w:rsidRPr="00555C99">
        <w:t> zahŕňa vybrané kľúčové informačné aktíva, ktoré sú kritické pre činnosť prevádzkovateľa základnej služby a ktorých zlyhanie bezprostredne ohrozuje poskytovanú základnú službu, s ňou spojené aktivity a dobrú povesť prevádzkovateľa základnej služby.</w:t>
      </w: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Default="005844CF" w:rsidP="005844CF">
      <w:pPr>
        <w:spacing w:line="252" w:lineRule="auto"/>
      </w:pPr>
    </w:p>
    <w:p w:rsidR="005844CF" w:rsidRPr="00483C56" w:rsidRDefault="005844CF" w:rsidP="00CB576B">
      <w:pPr>
        <w:spacing w:before="120" w:after="120" w:line="240" w:lineRule="auto"/>
        <w:rPr>
          <w:color w:val="000000"/>
        </w:rPr>
      </w:pPr>
    </w:p>
    <w:sectPr w:rsidR="005844CF" w:rsidRPr="00483C56" w:rsidSect="004F1F52">
      <w:headerReference w:type="default" r:id="rId34"/>
      <w:footerReference w:type="default" r:id="rId35"/>
      <w:headerReference w:type="first" r:id="rId3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3E" w:rsidRDefault="00983A3E" w:rsidP="009E617E">
      <w:pPr>
        <w:spacing w:after="0" w:line="240" w:lineRule="auto"/>
      </w:pPr>
      <w:r>
        <w:separator/>
      </w:r>
    </w:p>
  </w:endnote>
  <w:endnote w:type="continuationSeparator" w:id="0">
    <w:p w:rsidR="00983A3E" w:rsidRDefault="00983A3E" w:rsidP="009E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689682"/>
      <w:docPartObj>
        <w:docPartGallery w:val="Page Numbers (Bottom of Page)"/>
        <w:docPartUnique/>
      </w:docPartObj>
    </w:sdtPr>
    <w:sdtContent>
      <w:p w:rsidR="004F1F52" w:rsidRDefault="004F1F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713B" w:rsidRDefault="004E71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3E" w:rsidRDefault="00983A3E" w:rsidP="009E617E">
      <w:pPr>
        <w:spacing w:after="0" w:line="240" w:lineRule="auto"/>
      </w:pPr>
      <w:r>
        <w:separator/>
      </w:r>
    </w:p>
  </w:footnote>
  <w:footnote w:type="continuationSeparator" w:id="0">
    <w:p w:rsidR="00983A3E" w:rsidRDefault="00983A3E" w:rsidP="009E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3B" w:rsidRDefault="00E82492">
    <w:pPr>
      <w:pStyle w:val="Hlavika"/>
      <w:rPr>
        <w:lang w:val="en-GB"/>
      </w:rPr>
    </w:pPr>
    <w:r w:rsidRPr="00F46862">
      <w:rPr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5BB3D660" wp14:editId="1D33FCD1">
          <wp:simplePos x="0" y="0"/>
          <wp:positionH relativeFrom="margin">
            <wp:posOffset>-229235</wp:posOffset>
          </wp:positionH>
          <wp:positionV relativeFrom="margin">
            <wp:posOffset>-681990</wp:posOffset>
          </wp:positionV>
          <wp:extent cx="2462530" cy="556260"/>
          <wp:effectExtent l="0" t="0" r="0" b="0"/>
          <wp:wrapSquare wrapText="bothSides"/>
          <wp:docPr id="2" name="Obrázok 2" descr="\\data\Data\AktyRiadenia\SpLogoty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Data\AktyRiadenia\SpLogotyp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E713B" w:rsidRPr="00194132" w:rsidRDefault="004E713B">
    <w:pPr>
      <w:pStyle w:val="Hlavika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92" w:rsidRDefault="004F1F52" w:rsidP="004F1F52">
    <w:pPr>
      <w:pStyle w:val="Hlavika"/>
    </w:pPr>
    <w:r w:rsidRPr="00F46862">
      <w:rPr>
        <w:noProof/>
        <w:sz w:val="16"/>
        <w:lang w:eastAsia="sk-SK"/>
      </w:rPr>
      <w:drawing>
        <wp:anchor distT="0" distB="0" distL="114300" distR="114300" simplePos="0" relativeHeight="251661312" behindDoc="0" locked="0" layoutInCell="1" allowOverlap="1" wp14:anchorId="5748603D" wp14:editId="0EA0EEB6">
          <wp:simplePos x="0" y="0"/>
          <wp:positionH relativeFrom="margin">
            <wp:align>left</wp:align>
          </wp:positionH>
          <wp:positionV relativeFrom="margin">
            <wp:posOffset>-717550</wp:posOffset>
          </wp:positionV>
          <wp:extent cx="2462530" cy="556260"/>
          <wp:effectExtent l="0" t="0" r="0" b="0"/>
          <wp:wrapSquare wrapText="bothSides"/>
          <wp:docPr id="3" name="Obrázok 3" descr="\\data\Data\AktyRiadenia\SpLogoty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Data\AktyRiadenia\SpLogotyp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A9C"/>
    <w:multiLevelType w:val="hybridMultilevel"/>
    <w:tmpl w:val="6E4CC9E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9CB"/>
    <w:multiLevelType w:val="hybridMultilevel"/>
    <w:tmpl w:val="4C4EAE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45B57"/>
    <w:multiLevelType w:val="hybridMultilevel"/>
    <w:tmpl w:val="987C790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0245C"/>
    <w:multiLevelType w:val="hybridMultilevel"/>
    <w:tmpl w:val="33047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5180"/>
    <w:multiLevelType w:val="hybridMultilevel"/>
    <w:tmpl w:val="C4384F8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5ACA"/>
    <w:multiLevelType w:val="hybridMultilevel"/>
    <w:tmpl w:val="6494019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0367C"/>
    <w:multiLevelType w:val="hybridMultilevel"/>
    <w:tmpl w:val="D0B68CE4"/>
    <w:lvl w:ilvl="0" w:tplc="041B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DE85416"/>
    <w:multiLevelType w:val="hybridMultilevel"/>
    <w:tmpl w:val="CA48E62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995CF5"/>
    <w:multiLevelType w:val="hybridMultilevel"/>
    <w:tmpl w:val="81EA577E"/>
    <w:lvl w:ilvl="0" w:tplc="87BA8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A7CB9"/>
    <w:multiLevelType w:val="hybridMultilevel"/>
    <w:tmpl w:val="32D815EC"/>
    <w:lvl w:ilvl="0" w:tplc="4D10E878">
      <w:start w:val="1"/>
      <w:numFmt w:val="bullet"/>
      <w:pStyle w:val="Odse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2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E16E9"/>
    <w:multiLevelType w:val="hybridMultilevel"/>
    <w:tmpl w:val="53262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C4384"/>
    <w:multiLevelType w:val="hybridMultilevel"/>
    <w:tmpl w:val="DC367C2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B10DC2"/>
    <w:multiLevelType w:val="hybridMultilevel"/>
    <w:tmpl w:val="DECA941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B82357"/>
    <w:multiLevelType w:val="hybridMultilevel"/>
    <w:tmpl w:val="281E638E"/>
    <w:lvl w:ilvl="0" w:tplc="9BD24F86">
      <w:start w:val="1"/>
      <w:numFmt w:val="decimal"/>
      <w:lvlText w:val="%1."/>
      <w:lvlJc w:val="left"/>
      <w:pPr>
        <w:ind w:left="1068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F48E4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4CD6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E352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0843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07F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68BC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27CD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A3FA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4F4754"/>
    <w:multiLevelType w:val="hybridMultilevel"/>
    <w:tmpl w:val="CF8CC36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25D1"/>
    <w:multiLevelType w:val="hybridMultilevel"/>
    <w:tmpl w:val="BBA8AAB6"/>
    <w:lvl w:ilvl="0" w:tplc="CC28A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94465"/>
    <w:multiLevelType w:val="hybridMultilevel"/>
    <w:tmpl w:val="9F46DAF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A5D0C"/>
    <w:multiLevelType w:val="hybridMultilevel"/>
    <w:tmpl w:val="1912471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A1360"/>
    <w:multiLevelType w:val="hybridMultilevel"/>
    <w:tmpl w:val="08C27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301CF"/>
    <w:multiLevelType w:val="hybridMultilevel"/>
    <w:tmpl w:val="4790D6D6"/>
    <w:lvl w:ilvl="0" w:tplc="A5E269FC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0" w:hanging="360"/>
      </w:pPr>
    </w:lvl>
    <w:lvl w:ilvl="2" w:tplc="041B001B" w:tentative="1">
      <w:start w:val="1"/>
      <w:numFmt w:val="lowerRoman"/>
      <w:lvlText w:val="%3."/>
      <w:lvlJc w:val="right"/>
      <w:pPr>
        <w:ind w:left="1900" w:hanging="180"/>
      </w:pPr>
    </w:lvl>
    <w:lvl w:ilvl="3" w:tplc="041B000F" w:tentative="1">
      <w:start w:val="1"/>
      <w:numFmt w:val="decimal"/>
      <w:lvlText w:val="%4."/>
      <w:lvlJc w:val="left"/>
      <w:pPr>
        <w:ind w:left="2620" w:hanging="360"/>
      </w:pPr>
    </w:lvl>
    <w:lvl w:ilvl="4" w:tplc="041B0019" w:tentative="1">
      <w:start w:val="1"/>
      <w:numFmt w:val="lowerLetter"/>
      <w:lvlText w:val="%5."/>
      <w:lvlJc w:val="left"/>
      <w:pPr>
        <w:ind w:left="3340" w:hanging="360"/>
      </w:pPr>
    </w:lvl>
    <w:lvl w:ilvl="5" w:tplc="041B001B" w:tentative="1">
      <w:start w:val="1"/>
      <w:numFmt w:val="lowerRoman"/>
      <w:lvlText w:val="%6."/>
      <w:lvlJc w:val="right"/>
      <w:pPr>
        <w:ind w:left="4060" w:hanging="180"/>
      </w:pPr>
    </w:lvl>
    <w:lvl w:ilvl="6" w:tplc="041B000F" w:tentative="1">
      <w:start w:val="1"/>
      <w:numFmt w:val="decimal"/>
      <w:lvlText w:val="%7."/>
      <w:lvlJc w:val="left"/>
      <w:pPr>
        <w:ind w:left="4780" w:hanging="360"/>
      </w:pPr>
    </w:lvl>
    <w:lvl w:ilvl="7" w:tplc="041B0019" w:tentative="1">
      <w:start w:val="1"/>
      <w:numFmt w:val="lowerLetter"/>
      <w:lvlText w:val="%8."/>
      <w:lvlJc w:val="left"/>
      <w:pPr>
        <w:ind w:left="5500" w:hanging="360"/>
      </w:pPr>
    </w:lvl>
    <w:lvl w:ilvl="8" w:tplc="041B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5C3474AF"/>
    <w:multiLevelType w:val="hybridMultilevel"/>
    <w:tmpl w:val="51F814E8"/>
    <w:lvl w:ilvl="0" w:tplc="55A4051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203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6EE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B4E9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081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484F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253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40F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5F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AC1A03"/>
    <w:multiLevelType w:val="hybridMultilevel"/>
    <w:tmpl w:val="D62271A0"/>
    <w:lvl w:ilvl="0" w:tplc="D256B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34F53"/>
    <w:multiLevelType w:val="hybridMultilevel"/>
    <w:tmpl w:val="CBEEE14A"/>
    <w:lvl w:ilvl="0" w:tplc="9678DD5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4A363FD"/>
    <w:multiLevelType w:val="multilevel"/>
    <w:tmpl w:val="B11E7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 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50B7258"/>
    <w:multiLevelType w:val="hybridMultilevel"/>
    <w:tmpl w:val="A034918A"/>
    <w:lvl w:ilvl="0" w:tplc="10ACF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C5095A"/>
    <w:multiLevelType w:val="hybridMultilevel"/>
    <w:tmpl w:val="8B04BAC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A7FE0"/>
    <w:multiLevelType w:val="multilevel"/>
    <w:tmpl w:val="315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827251"/>
    <w:multiLevelType w:val="hybridMultilevel"/>
    <w:tmpl w:val="B3B828C2"/>
    <w:lvl w:ilvl="0" w:tplc="10700D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989E72">
      <w:start w:val="1"/>
      <w:numFmt w:val="lowerLetter"/>
      <w:lvlRestart w:val="0"/>
      <w:lvlText w:val="%2."/>
      <w:lvlJc w:val="left"/>
      <w:pPr>
        <w:ind w:left="578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58C6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D6948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E0450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E6C0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F093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5E473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26C6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8858D2"/>
    <w:multiLevelType w:val="hybridMultilevel"/>
    <w:tmpl w:val="01E61BA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28"/>
  </w:num>
  <w:num w:numId="10">
    <w:abstractNumId w:val="11"/>
  </w:num>
  <w:num w:numId="11">
    <w:abstractNumId w:val="24"/>
  </w:num>
  <w:num w:numId="12">
    <w:abstractNumId w:val="21"/>
  </w:num>
  <w:num w:numId="13">
    <w:abstractNumId w:val="13"/>
  </w:num>
  <w:num w:numId="14">
    <w:abstractNumId w:val="20"/>
  </w:num>
  <w:num w:numId="15">
    <w:abstractNumId w:val="22"/>
  </w:num>
  <w:num w:numId="16">
    <w:abstractNumId w:val="17"/>
  </w:num>
  <w:num w:numId="17">
    <w:abstractNumId w:val="27"/>
  </w:num>
  <w:num w:numId="18">
    <w:abstractNumId w:val="25"/>
  </w:num>
  <w:num w:numId="19">
    <w:abstractNumId w:val="26"/>
  </w:num>
  <w:num w:numId="20">
    <w:abstractNumId w:val="18"/>
  </w:num>
  <w:num w:numId="21">
    <w:abstractNumId w:val="9"/>
  </w:num>
  <w:num w:numId="22">
    <w:abstractNumId w:val="23"/>
  </w:num>
  <w:num w:numId="23">
    <w:abstractNumId w:val="9"/>
  </w:num>
  <w:num w:numId="24">
    <w:abstractNumId w:val="6"/>
  </w:num>
  <w:num w:numId="25">
    <w:abstractNumId w:val="3"/>
  </w:num>
  <w:num w:numId="26">
    <w:abstractNumId w:val="12"/>
  </w:num>
  <w:num w:numId="27">
    <w:abstractNumId w:val="0"/>
  </w:num>
  <w:num w:numId="28">
    <w:abstractNumId w:val="5"/>
  </w:num>
  <w:num w:numId="29">
    <w:abstractNumId w:val="1"/>
  </w:num>
  <w:num w:numId="3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D0"/>
    <w:rsid w:val="00000080"/>
    <w:rsid w:val="000031C4"/>
    <w:rsid w:val="00023147"/>
    <w:rsid w:val="00041ECA"/>
    <w:rsid w:val="00056898"/>
    <w:rsid w:val="0005704C"/>
    <w:rsid w:val="000625FB"/>
    <w:rsid w:val="00062D77"/>
    <w:rsid w:val="00073A28"/>
    <w:rsid w:val="00093484"/>
    <w:rsid w:val="0009694A"/>
    <w:rsid w:val="000A1774"/>
    <w:rsid w:val="000A17FA"/>
    <w:rsid w:val="000B56C0"/>
    <w:rsid w:val="000B7333"/>
    <w:rsid w:val="000D17CA"/>
    <w:rsid w:val="000F3495"/>
    <w:rsid w:val="000F37C5"/>
    <w:rsid w:val="000F6260"/>
    <w:rsid w:val="00111F85"/>
    <w:rsid w:val="00123C46"/>
    <w:rsid w:val="00140F86"/>
    <w:rsid w:val="0016291A"/>
    <w:rsid w:val="0017675D"/>
    <w:rsid w:val="00182AFF"/>
    <w:rsid w:val="001877BA"/>
    <w:rsid w:val="00194132"/>
    <w:rsid w:val="001A3D4B"/>
    <w:rsid w:val="001A61A4"/>
    <w:rsid w:val="001C6209"/>
    <w:rsid w:val="00227C95"/>
    <w:rsid w:val="00234A56"/>
    <w:rsid w:val="00254BDC"/>
    <w:rsid w:val="00261FE0"/>
    <w:rsid w:val="00263C13"/>
    <w:rsid w:val="00271F28"/>
    <w:rsid w:val="002858BE"/>
    <w:rsid w:val="00294923"/>
    <w:rsid w:val="0029595E"/>
    <w:rsid w:val="002C1DCC"/>
    <w:rsid w:val="002D3C34"/>
    <w:rsid w:val="002D502E"/>
    <w:rsid w:val="002D6323"/>
    <w:rsid w:val="002E06AE"/>
    <w:rsid w:val="002F566F"/>
    <w:rsid w:val="002F7A47"/>
    <w:rsid w:val="00301751"/>
    <w:rsid w:val="00305390"/>
    <w:rsid w:val="0031530C"/>
    <w:rsid w:val="003235C2"/>
    <w:rsid w:val="0032423A"/>
    <w:rsid w:val="00340EA9"/>
    <w:rsid w:val="003616FD"/>
    <w:rsid w:val="00361AB6"/>
    <w:rsid w:val="003666F9"/>
    <w:rsid w:val="00385B82"/>
    <w:rsid w:val="00385F2E"/>
    <w:rsid w:val="003D261C"/>
    <w:rsid w:val="003D664B"/>
    <w:rsid w:val="003E2145"/>
    <w:rsid w:val="00402258"/>
    <w:rsid w:val="00431CE5"/>
    <w:rsid w:val="00444401"/>
    <w:rsid w:val="00456C5A"/>
    <w:rsid w:val="0048268F"/>
    <w:rsid w:val="00483C56"/>
    <w:rsid w:val="004A2D76"/>
    <w:rsid w:val="004B2BDC"/>
    <w:rsid w:val="004C412C"/>
    <w:rsid w:val="004D0EDC"/>
    <w:rsid w:val="004D3872"/>
    <w:rsid w:val="004E713B"/>
    <w:rsid w:val="004F1F52"/>
    <w:rsid w:val="004F670E"/>
    <w:rsid w:val="004F69E9"/>
    <w:rsid w:val="004F6CF9"/>
    <w:rsid w:val="0050120E"/>
    <w:rsid w:val="00512E21"/>
    <w:rsid w:val="00517DB7"/>
    <w:rsid w:val="005229A1"/>
    <w:rsid w:val="00533F57"/>
    <w:rsid w:val="00541C0B"/>
    <w:rsid w:val="00543894"/>
    <w:rsid w:val="005544A8"/>
    <w:rsid w:val="00555C99"/>
    <w:rsid w:val="005844CF"/>
    <w:rsid w:val="005D508C"/>
    <w:rsid w:val="005E467C"/>
    <w:rsid w:val="005F2447"/>
    <w:rsid w:val="00607F49"/>
    <w:rsid w:val="00612F41"/>
    <w:rsid w:val="006248BB"/>
    <w:rsid w:val="0062672C"/>
    <w:rsid w:val="00631930"/>
    <w:rsid w:val="00634CD9"/>
    <w:rsid w:val="00661D07"/>
    <w:rsid w:val="0066684E"/>
    <w:rsid w:val="00676DBC"/>
    <w:rsid w:val="00682CF8"/>
    <w:rsid w:val="00692AE4"/>
    <w:rsid w:val="006A002A"/>
    <w:rsid w:val="006A7AA0"/>
    <w:rsid w:val="006C6C33"/>
    <w:rsid w:val="006D111A"/>
    <w:rsid w:val="006D74D5"/>
    <w:rsid w:val="006E6EF1"/>
    <w:rsid w:val="00700007"/>
    <w:rsid w:val="007118AC"/>
    <w:rsid w:val="007212B1"/>
    <w:rsid w:val="0072205B"/>
    <w:rsid w:val="00743718"/>
    <w:rsid w:val="00757E05"/>
    <w:rsid w:val="007771A9"/>
    <w:rsid w:val="007C6EFD"/>
    <w:rsid w:val="007E73FE"/>
    <w:rsid w:val="00804291"/>
    <w:rsid w:val="00833960"/>
    <w:rsid w:val="008571A9"/>
    <w:rsid w:val="00877F4A"/>
    <w:rsid w:val="00893843"/>
    <w:rsid w:val="008945D6"/>
    <w:rsid w:val="008A0AA7"/>
    <w:rsid w:val="008A1B12"/>
    <w:rsid w:val="008C01CC"/>
    <w:rsid w:val="008D2F1F"/>
    <w:rsid w:val="008E7605"/>
    <w:rsid w:val="008F14CE"/>
    <w:rsid w:val="008F3251"/>
    <w:rsid w:val="00911EC8"/>
    <w:rsid w:val="009279EE"/>
    <w:rsid w:val="00932279"/>
    <w:rsid w:val="00961369"/>
    <w:rsid w:val="00983A3E"/>
    <w:rsid w:val="009902F9"/>
    <w:rsid w:val="009A52DC"/>
    <w:rsid w:val="009A744A"/>
    <w:rsid w:val="009C2D5F"/>
    <w:rsid w:val="009E617E"/>
    <w:rsid w:val="009E7576"/>
    <w:rsid w:val="009F45E3"/>
    <w:rsid w:val="00A13D80"/>
    <w:rsid w:val="00A405D4"/>
    <w:rsid w:val="00A56C37"/>
    <w:rsid w:val="00A6271D"/>
    <w:rsid w:val="00A65275"/>
    <w:rsid w:val="00A65E09"/>
    <w:rsid w:val="00A7290E"/>
    <w:rsid w:val="00A77627"/>
    <w:rsid w:val="00A87F0E"/>
    <w:rsid w:val="00A911B6"/>
    <w:rsid w:val="00AA48F1"/>
    <w:rsid w:val="00AB7EFC"/>
    <w:rsid w:val="00AF5A0C"/>
    <w:rsid w:val="00B5134C"/>
    <w:rsid w:val="00B54C54"/>
    <w:rsid w:val="00B637B0"/>
    <w:rsid w:val="00B70821"/>
    <w:rsid w:val="00B733B7"/>
    <w:rsid w:val="00B81B97"/>
    <w:rsid w:val="00B86932"/>
    <w:rsid w:val="00B92069"/>
    <w:rsid w:val="00B94792"/>
    <w:rsid w:val="00BC7AA3"/>
    <w:rsid w:val="00C04D35"/>
    <w:rsid w:val="00C20C25"/>
    <w:rsid w:val="00C20DCE"/>
    <w:rsid w:val="00C32BDC"/>
    <w:rsid w:val="00C579A6"/>
    <w:rsid w:val="00C71EAD"/>
    <w:rsid w:val="00C777D0"/>
    <w:rsid w:val="00C94AEF"/>
    <w:rsid w:val="00C961F5"/>
    <w:rsid w:val="00CA051C"/>
    <w:rsid w:val="00CB2945"/>
    <w:rsid w:val="00CB576B"/>
    <w:rsid w:val="00CD2A08"/>
    <w:rsid w:val="00CD4ED5"/>
    <w:rsid w:val="00CD6942"/>
    <w:rsid w:val="00CD6A4F"/>
    <w:rsid w:val="00CF2B98"/>
    <w:rsid w:val="00D00BBA"/>
    <w:rsid w:val="00D07F0B"/>
    <w:rsid w:val="00D14864"/>
    <w:rsid w:val="00D27ADA"/>
    <w:rsid w:val="00D377CD"/>
    <w:rsid w:val="00D65233"/>
    <w:rsid w:val="00D67143"/>
    <w:rsid w:val="00DE68D9"/>
    <w:rsid w:val="00DF61DD"/>
    <w:rsid w:val="00E077C9"/>
    <w:rsid w:val="00E23136"/>
    <w:rsid w:val="00E400E3"/>
    <w:rsid w:val="00E50EC6"/>
    <w:rsid w:val="00E61627"/>
    <w:rsid w:val="00E738D9"/>
    <w:rsid w:val="00E80B55"/>
    <w:rsid w:val="00E82492"/>
    <w:rsid w:val="00E82AE9"/>
    <w:rsid w:val="00E83B42"/>
    <w:rsid w:val="00E966BD"/>
    <w:rsid w:val="00EC297F"/>
    <w:rsid w:val="00EC6E14"/>
    <w:rsid w:val="00EE2FAC"/>
    <w:rsid w:val="00F212A5"/>
    <w:rsid w:val="00F2465F"/>
    <w:rsid w:val="00F676D7"/>
    <w:rsid w:val="00FB2BFE"/>
    <w:rsid w:val="00FB7E34"/>
    <w:rsid w:val="00FC1C8F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451928"/>
  <w15:chartTrackingRefBased/>
  <w15:docId w15:val="{EB23C50F-61B6-46E0-AD5F-0D2DC21C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2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73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757E05"/>
    <w:pPr>
      <w:keepNext/>
      <w:keepLines/>
      <w:spacing w:before="40" w:after="0" w:line="262" w:lineRule="auto"/>
      <w:ind w:left="293" w:hanging="293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Paragrafo elenco,Paragrafo elenco 2,or.bullet1,bullet,ODRAZKY PRVA UROVEN,Bullet List,FooterText,numbered,Paragraphe de liste1,KNList Paragraph,Llista Nivell1,Lista de nivel 1,BULLET 1,Bullet Number,lp1,lp11,body"/>
    <w:basedOn w:val="Normlny"/>
    <w:link w:val="OdsekzoznamuChar"/>
    <w:uiPriority w:val="34"/>
    <w:qFormat/>
    <w:rsid w:val="00C77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B2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2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2B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2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2BF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BFE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B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B2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FB2BFE"/>
    <w:pPr>
      <w:outlineLvl w:val="9"/>
    </w:pPr>
    <w:rPr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FB2BFE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FB2BF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E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617E"/>
  </w:style>
  <w:style w:type="paragraph" w:styleId="Pta">
    <w:name w:val="footer"/>
    <w:basedOn w:val="Normlny"/>
    <w:link w:val="PtaChar"/>
    <w:uiPriority w:val="99"/>
    <w:unhideWhenUsed/>
    <w:rsid w:val="009E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617E"/>
  </w:style>
  <w:style w:type="paragraph" w:styleId="Nzov">
    <w:name w:val="Title"/>
    <w:basedOn w:val="Normlny"/>
    <w:next w:val="Normlny"/>
    <w:link w:val="NzovChar"/>
    <w:uiPriority w:val="10"/>
    <w:qFormat/>
    <w:rsid w:val="003D6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D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E73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y"/>
    <w:next w:val="Normlny"/>
    <w:autoRedefine/>
    <w:uiPriority w:val="39"/>
    <w:unhideWhenUsed/>
    <w:rsid w:val="00E23136"/>
    <w:pPr>
      <w:spacing w:after="100"/>
      <w:ind w:left="220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612F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rsid w:val="00757E05"/>
    <w:rPr>
      <w:rFonts w:asciiTheme="majorHAnsi" w:eastAsiaTheme="majorEastAsia" w:hAnsiTheme="majorHAnsi" w:cstheme="majorBidi"/>
      <w:color w:val="1F4D78" w:themeColor="accent1" w:themeShade="7F"/>
      <w:sz w:val="20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F3251"/>
    <w:pPr>
      <w:spacing w:after="100"/>
      <w:ind w:left="440"/>
    </w:pPr>
  </w:style>
  <w:style w:type="paragraph" w:customStyle="1" w:styleId="footnotedescription">
    <w:name w:val="footnote description"/>
    <w:next w:val="Normlny"/>
    <w:link w:val="footnotedescriptionChar"/>
    <w:hidden/>
    <w:rsid w:val="00FB7E34"/>
    <w:pPr>
      <w:spacing w:after="0"/>
      <w:ind w:left="360"/>
    </w:pPr>
    <w:rPr>
      <w:rFonts w:ascii="Calibri" w:eastAsia="Calibri" w:hAnsi="Calibri" w:cs="Calibri"/>
      <w:color w:val="00000A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FB7E34"/>
    <w:rPr>
      <w:rFonts w:ascii="Calibri" w:eastAsia="Calibri" w:hAnsi="Calibri" w:cs="Calibri"/>
      <w:color w:val="00000A"/>
      <w:sz w:val="20"/>
      <w:lang w:eastAsia="sk-SK"/>
    </w:rPr>
  </w:style>
  <w:style w:type="character" w:customStyle="1" w:styleId="footnotemark">
    <w:name w:val="footnote mark"/>
    <w:hidden/>
    <w:rsid w:val="00FB7E34"/>
    <w:rPr>
      <w:rFonts w:ascii="Calibri" w:eastAsia="Calibri" w:hAnsi="Calibri" w:cs="Calibri"/>
      <w:color w:val="00000A"/>
      <w:sz w:val="20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3FE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D2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8938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Odsek">
    <w:name w:val="Odsek"/>
    <w:basedOn w:val="Normlny"/>
    <w:link w:val="OdsekChar"/>
    <w:autoRedefine/>
    <w:qFormat/>
    <w:rsid w:val="00A65275"/>
    <w:pPr>
      <w:numPr>
        <w:numId w:val="21"/>
      </w:numPr>
      <w:spacing w:before="60" w:after="60" w:line="240" w:lineRule="auto"/>
      <w:jc w:val="both"/>
    </w:pPr>
    <w:rPr>
      <w:rFonts w:ascii="Calibri Light" w:eastAsia="Times New Roman" w:hAnsi="Calibri Light" w:cs="Tahoma"/>
      <w:color w:val="000000" w:themeColor="text1"/>
      <w:szCs w:val="20"/>
      <w:shd w:val="clear" w:color="auto" w:fill="FFFFFF"/>
      <w:lang w:eastAsia="en-GB"/>
    </w:rPr>
  </w:style>
  <w:style w:type="character" w:customStyle="1" w:styleId="OdsekChar">
    <w:name w:val="Odsek Char"/>
    <w:basedOn w:val="Predvolenpsmoodseku"/>
    <w:link w:val="Odsek"/>
    <w:rsid w:val="00A65275"/>
    <w:rPr>
      <w:rFonts w:ascii="Calibri Light" w:eastAsia="Times New Roman" w:hAnsi="Calibri Light" w:cs="Tahoma"/>
      <w:color w:val="000000" w:themeColor="text1"/>
      <w:szCs w:val="20"/>
      <w:lang w:eastAsia="en-GB"/>
    </w:rPr>
  </w:style>
  <w:style w:type="character" w:customStyle="1" w:styleId="q4iawc">
    <w:name w:val="q4iawc"/>
    <w:basedOn w:val="Predvolenpsmoodseku"/>
    <w:rsid w:val="000A1774"/>
  </w:style>
  <w:style w:type="character" w:customStyle="1" w:styleId="OdsekzoznamuChar">
    <w:name w:val="Odsek zoznamu Char"/>
    <w:aliases w:val="body 2 Char,Lista 1 Char,Paragrafo elenco Char,Paragrafo elenco 2 Char,or.bullet1 Char,bullet Char,ODRAZKY PRVA UROVEN Char,Bullet List Char,FooterText Char,numbered Char,Paragraphe de liste1 Char,KNList Paragraph Char,BULLET 1 Char"/>
    <w:link w:val="Odsekzoznamu"/>
    <w:uiPriority w:val="34"/>
    <w:qFormat/>
    <w:locked/>
    <w:rsid w:val="00F676D7"/>
  </w:style>
  <w:style w:type="paragraph" w:styleId="Zkladntext">
    <w:name w:val="Body Text"/>
    <w:aliases w:val="b,heading3,Body Text - Level 2,bt,body text,t1,taten_body,block,Body Text 1,NoticeText-List,Char Char Char Char Char Char Char Char Char,Char Char Char Char Char Char Char Char, Char, Char Char Char Char Char Char Char Char Char"/>
    <w:basedOn w:val="Normlny"/>
    <w:link w:val="ZkladntextChar"/>
    <w:uiPriority w:val="99"/>
    <w:qFormat/>
    <w:rsid w:val="00E82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b Char,heading3 Char,Body Text - Level 2 Char,bt Char,body text Char,t1 Char,taten_body Char,block Char,Body Text 1 Char,NoticeText-List Char,Char Char Char Char Char Char Char Char Char Char, Char Char"/>
    <w:basedOn w:val="Predvolenpsmoodseku"/>
    <w:link w:val="Zkladntext"/>
    <w:uiPriority w:val="99"/>
    <w:rsid w:val="00E8249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rt.gov.sk/wp-content/uploads/2021/08/MetodikaZabezpeceniaIKT_v2.1.pdf?csrt=13636563756532688724" TargetMode="External"/><Relationship Id="rId13" Type="http://schemas.openxmlformats.org/officeDocument/2006/relationships/hyperlink" Target="https://www.vlada.gov.sk/" TargetMode="External"/><Relationship Id="rId18" Type="http://schemas.openxmlformats.org/officeDocument/2006/relationships/hyperlink" Target="https://csirt.gov.sk" TargetMode="External"/><Relationship Id="rId26" Type="http://schemas.openxmlformats.org/officeDocument/2006/relationships/hyperlink" Target="https://www.rfc-editor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/Stranky/DMS/dms.asp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nowww.eu" TargetMode="External"/><Relationship Id="rId17" Type="http://schemas.openxmlformats.org/officeDocument/2006/relationships/hyperlink" Target="https://www.mirri.gov.sk/" TargetMode="External"/><Relationship Id="rId25" Type="http://schemas.openxmlformats.org/officeDocument/2006/relationships/hyperlink" Target="https://www.iab.org/" TargetMode="External"/><Relationship Id="rId33" Type="http://schemas.openxmlformats.org/officeDocument/2006/relationships/hyperlink" Target="https://idsk.gov.sk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okovania.gov.sk/RVL/Resolution" TargetMode="External"/><Relationship Id="rId20" Type="http://schemas.openxmlformats.org/officeDocument/2006/relationships/hyperlink" Target="https://www.nbu.gov.sk/" TargetMode="External"/><Relationship Id="rId29" Type="http://schemas.openxmlformats.org/officeDocument/2006/relationships/hyperlink" Target="https://www.mirri.gov.sk/sekcie/informatizacia/riadenie-kvality-qa/riadenie-kvality-qa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homepage.html" TargetMode="External"/><Relationship Id="rId24" Type="http://schemas.openxmlformats.org/officeDocument/2006/relationships/hyperlink" Target="https://trustee.ietf.org/" TargetMode="External"/><Relationship Id="rId32" Type="http://schemas.openxmlformats.org/officeDocument/2006/relationships/hyperlink" Target="https://www.csirt.gov.sk/wp-content/uploads/2021/08/MetodikaZabezpeceniaIKT_v2.1.pdf?csrt=760565433362749063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sr.rokovania.sk/rokovania-legislativnej-rady-vlady-sr/" TargetMode="External"/><Relationship Id="rId23" Type="http://schemas.openxmlformats.org/officeDocument/2006/relationships/hyperlink" Target="https://owasp.org/" TargetMode="External"/><Relationship Id="rId28" Type="http://schemas.openxmlformats.org/officeDocument/2006/relationships/hyperlink" Target="https://www.mirri.gov.sk/wp-content/uploads/2019/04/Metodicke-usmernenie-pre-tvorbu-pouzivatelsky-kvalitnych-elektronickych-sluzieb-verejnej-spravy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slov-lex.sk/domov" TargetMode="External"/><Relationship Id="rId19" Type="http://schemas.openxmlformats.org/officeDocument/2006/relationships/hyperlink" Target="https://www.nases.gov.sk/index.html" TargetMode="External"/><Relationship Id="rId31" Type="http://schemas.openxmlformats.org/officeDocument/2006/relationships/hyperlink" Target="https://www.slov-lex.sk/pravne-predpisy/SK/ZZ/2018/18/201909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rc.nist.gov/publications/detail/sp/800-92/final" TargetMode="External"/><Relationship Id="rId14" Type="http://schemas.openxmlformats.org/officeDocument/2006/relationships/hyperlink" Target="https://www.slovensko.sk/sk/titulna-stranka" TargetMode="External"/><Relationship Id="rId22" Type="http://schemas.openxmlformats.org/officeDocument/2006/relationships/hyperlink" Target="https://www.nsa.gov/" TargetMode="External"/><Relationship Id="rId27" Type="http://schemas.openxmlformats.org/officeDocument/2006/relationships/hyperlink" Target="https://www.mirri.gov.sk/wp-content/uploads/2018/10/Metodicke-usmernenie-ID-SK-publikovat.pdf" TargetMode="External"/><Relationship Id="rId30" Type="http://schemas.openxmlformats.org/officeDocument/2006/relationships/hyperlink" Target="https://www.mirri.gov.sk/wp-content/uploads/2020/02/Metodicky_pokyn_ORACLE_CRD_2019.pdf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489E-E87A-4AE8-88EB-80DEF239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4172</Words>
  <Characters>23786</Characters>
  <Application>Microsoft Office Word</Application>
  <DocSecurity>0</DocSecurity>
  <Lines>198</Lines>
  <Paragraphs>55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>Štandardy BIS logovanie</vt:lpstr>
      <vt:lpstr>Úvod</vt:lpstr>
      <vt:lpstr>Cieľ dokumentu</vt:lpstr>
      <vt:lpstr>Obmedzenia </vt:lpstr>
      <vt:lpstr>Definícia významu kľúčových slov</vt:lpstr>
      <vt:lpstr>Štandardy pre logovanie</vt:lpstr>
      <vt:lpstr>    Obsah logov</vt:lpstr>
      <vt:lpstr>    Aktívne logovanie</vt:lpstr>
      <vt:lpstr>    Sumarizácia</vt:lpstr>
      <vt:lpstr>    Zdroje / kategórie logov </vt:lpstr>
      <vt:lpstr>POZNÁMKY</vt:lpstr>
      <vt:lpstr>    Metóda MoSCoW:</vt:lpstr>
      <vt:lpstr>Dodatky</vt:lpstr>
      <vt:lpstr>    Zdroje a Legislatívne východiská</vt:lpstr>
      <vt:lpstr>    Klasifikačné stupne informačných aktív</vt:lpstr>
      <vt:lpstr>Štandardy BIS pre hesla logovanie lockout</vt:lpstr>
    </vt:vector>
  </TitlesOfParts>
  <Manager>PRÁZNOVSKÝ Igor</Manager>
  <Company>Sociálna poisťovňa</Company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Štandardy BIS logovanie</dc:title>
  <dc:subject>Standard</dc:subject>
  <dc:creator>Rene.Vatter@socpoist.sk</dc:creator>
  <cp:keywords/>
  <dc:description/>
  <cp:lastModifiedBy>Vranovičová Barbora</cp:lastModifiedBy>
  <cp:revision>3</cp:revision>
  <cp:lastPrinted>2022-08-23T12:46:00Z</cp:lastPrinted>
  <dcterms:created xsi:type="dcterms:W3CDTF">2024-11-27T14:09:00Z</dcterms:created>
  <dcterms:modified xsi:type="dcterms:W3CDTF">2024-12-05T11:59:00Z</dcterms:modified>
  <cp:category>Interne</cp:category>
</cp:coreProperties>
</file>