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545FE" w14:textId="77777777" w:rsidR="00517431" w:rsidRDefault="00517431">
      <w:pPr>
        <w:pStyle w:val="Zkladntext"/>
        <w:ind w:left="5664" w:right="101"/>
        <w:jc w:val="center"/>
        <w:rPr>
          <w:rFonts w:ascii="Arial" w:hAnsi="Arial" w:cs="Arial"/>
          <w:sz w:val="20"/>
          <w:szCs w:val="20"/>
        </w:rPr>
      </w:pPr>
      <w:bookmarkStart w:id="0" w:name="_GoBack"/>
      <w:bookmarkEnd w:id="0"/>
    </w:p>
    <w:p w14:paraId="5ABAF6B1" w14:textId="77777777" w:rsidR="00517431" w:rsidRDefault="00150791">
      <w:pPr>
        <w:pStyle w:val="Hlavikaobsahu"/>
        <w:spacing w:before="0" w:line="240" w:lineRule="auto"/>
        <w:jc w:val="center"/>
        <w:rPr>
          <w:rFonts w:ascii="Arial" w:hAnsi="Arial" w:cs="Arial"/>
          <w:sz w:val="20"/>
          <w:szCs w:val="20"/>
        </w:rPr>
      </w:pPr>
      <w:proofErr w:type="spellStart"/>
      <w:r>
        <w:rPr>
          <w:rFonts w:ascii="Arial" w:hAnsi="Arial" w:cs="Arial"/>
          <w:sz w:val="20"/>
          <w:szCs w:val="20"/>
        </w:rPr>
        <w:t>Logovací</w:t>
      </w:r>
      <w:proofErr w:type="spellEnd"/>
      <w:r>
        <w:rPr>
          <w:rFonts w:ascii="Arial" w:hAnsi="Arial" w:cs="Arial"/>
          <w:sz w:val="20"/>
          <w:szCs w:val="20"/>
        </w:rPr>
        <w:t xml:space="preserve"> </w:t>
      </w:r>
      <w:proofErr w:type="spellStart"/>
      <w:r>
        <w:rPr>
          <w:rFonts w:ascii="Arial" w:hAnsi="Arial" w:cs="Arial"/>
          <w:sz w:val="20"/>
          <w:szCs w:val="20"/>
        </w:rPr>
        <w:t>štandard</w:t>
      </w:r>
      <w:proofErr w:type="spellEnd"/>
      <w:r>
        <w:rPr>
          <w:rFonts w:ascii="Arial" w:hAnsi="Arial" w:cs="Arial"/>
          <w:sz w:val="20"/>
          <w:szCs w:val="20"/>
        </w:rPr>
        <w:t xml:space="preserve"> </w:t>
      </w:r>
      <w:proofErr w:type="spellStart"/>
      <w:r>
        <w:rPr>
          <w:rFonts w:ascii="Arial" w:hAnsi="Arial" w:cs="Arial"/>
          <w:sz w:val="20"/>
          <w:szCs w:val="20"/>
        </w:rPr>
        <w:t>prevádzkovateľa</w:t>
      </w:r>
      <w:proofErr w:type="spellEnd"/>
    </w:p>
    <w:p w14:paraId="5196C0D6" w14:textId="77777777" w:rsidR="00517431" w:rsidRDefault="00517431">
      <w:pPr>
        <w:rPr>
          <w:lang w:val="en-US"/>
        </w:rPr>
      </w:pPr>
    </w:p>
    <w:sdt>
      <w:sdtPr>
        <w:rPr>
          <w:rFonts w:asciiTheme="minorHAnsi" w:eastAsiaTheme="minorEastAsia" w:hAnsiTheme="minorHAnsi" w:cstheme="minorBidi"/>
          <w:color w:val="auto"/>
          <w:sz w:val="22"/>
          <w:szCs w:val="22"/>
          <w:lang w:val="sk-SK"/>
        </w:rPr>
        <w:id w:val="-1167165292"/>
        <w:docPartObj>
          <w:docPartGallery w:val="Table of Contents"/>
          <w:docPartUnique/>
        </w:docPartObj>
      </w:sdtPr>
      <w:sdtEndPr/>
      <w:sdtContent>
        <w:p w14:paraId="1F70B819" w14:textId="77777777" w:rsidR="00517431" w:rsidRDefault="00150791">
          <w:pPr>
            <w:pStyle w:val="Hlavikaobsahu"/>
          </w:pPr>
          <w:proofErr w:type="spellStart"/>
          <w:r>
            <w:t>Obsah</w:t>
          </w:r>
          <w:proofErr w:type="spellEnd"/>
        </w:p>
        <w:p w14:paraId="42534F34" w14:textId="77777777" w:rsidR="00517431" w:rsidRDefault="00150791">
          <w:pPr>
            <w:pStyle w:val="Obsah1"/>
            <w:tabs>
              <w:tab w:val="right" w:leader="dot" w:pos="9071"/>
            </w:tabs>
          </w:pPr>
          <w:r>
            <w:fldChar w:fldCharType="begin"/>
          </w:r>
          <w:r>
            <w:rPr>
              <w:rStyle w:val="IndexLink"/>
              <w:webHidden/>
            </w:rPr>
            <w:instrText xml:space="preserve"> TOC \z \o "1-3" \u \h</w:instrText>
          </w:r>
          <w:r>
            <w:rPr>
              <w:rStyle w:val="IndexLink"/>
            </w:rPr>
            <w:fldChar w:fldCharType="separate"/>
          </w:r>
          <w:hyperlink w:anchor="__RefHeading___Toc1447_3859580398">
            <w:r>
              <w:rPr>
                <w:rStyle w:val="IndexLink"/>
                <w:webHidden/>
              </w:rPr>
              <w:t>Úvod</w:t>
            </w:r>
            <w:r>
              <w:rPr>
                <w:rStyle w:val="IndexLink"/>
                <w:webHidden/>
              </w:rPr>
              <w:tab/>
              <w:t>1</w:t>
            </w:r>
          </w:hyperlink>
        </w:p>
        <w:p w14:paraId="1112599B" w14:textId="77777777" w:rsidR="00517431" w:rsidRDefault="00B2643C">
          <w:pPr>
            <w:pStyle w:val="Obsah1"/>
            <w:tabs>
              <w:tab w:val="right" w:leader="dot" w:pos="9071"/>
            </w:tabs>
          </w:pPr>
          <w:hyperlink w:anchor="__RefHeading___Toc1449_3859580398">
            <w:r w:rsidR="00150791">
              <w:rPr>
                <w:rStyle w:val="IndexLink"/>
                <w:webHidden/>
              </w:rPr>
              <w:t>Cieľ dokumentu</w:t>
            </w:r>
            <w:r w:rsidR="00150791">
              <w:rPr>
                <w:rStyle w:val="IndexLink"/>
                <w:webHidden/>
              </w:rPr>
              <w:tab/>
              <w:t>2</w:t>
            </w:r>
          </w:hyperlink>
        </w:p>
        <w:p w14:paraId="08044F60" w14:textId="77777777" w:rsidR="00517431" w:rsidRDefault="00B2643C">
          <w:pPr>
            <w:pStyle w:val="Obsah1"/>
            <w:tabs>
              <w:tab w:val="right" w:leader="dot" w:pos="9071"/>
            </w:tabs>
          </w:pPr>
          <w:hyperlink w:anchor="__RefHeading___Toc1451_3859580398">
            <w:r w:rsidR="00150791">
              <w:rPr>
                <w:rStyle w:val="IndexLink"/>
                <w:webHidden/>
              </w:rPr>
              <w:t>Rozsah a aplikovateľnosť</w:t>
            </w:r>
            <w:r w:rsidR="00150791">
              <w:rPr>
                <w:rStyle w:val="IndexLink"/>
                <w:webHidden/>
              </w:rPr>
              <w:tab/>
              <w:t>2</w:t>
            </w:r>
          </w:hyperlink>
        </w:p>
        <w:p w14:paraId="2865D4F7" w14:textId="77777777" w:rsidR="00517431" w:rsidRDefault="00B2643C">
          <w:pPr>
            <w:pStyle w:val="Obsah1"/>
            <w:tabs>
              <w:tab w:val="right" w:leader="dot" w:pos="9071"/>
            </w:tabs>
          </w:pPr>
          <w:hyperlink w:anchor="__RefHeading___Toc6229_3891905039">
            <w:r w:rsidR="00150791">
              <w:rPr>
                <w:rStyle w:val="IndexLink"/>
                <w:webHidden/>
              </w:rPr>
              <w:t>Význam kľúčových slov</w:t>
            </w:r>
            <w:r w:rsidR="00150791">
              <w:rPr>
                <w:rStyle w:val="IndexLink"/>
                <w:webHidden/>
              </w:rPr>
              <w:tab/>
              <w:t>3</w:t>
            </w:r>
          </w:hyperlink>
        </w:p>
        <w:p w14:paraId="65A7DF52" w14:textId="77777777" w:rsidR="00517431" w:rsidRDefault="00B2643C">
          <w:pPr>
            <w:pStyle w:val="Obsah1"/>
            <w:tabs>
              <w:tab w:val="right" w:leader="dot" w:pos="9071"/>
            </w:tabs>
          </w:pPr>
          <w:hyperlink w:anchor="__RefHeading___Toc1453_3859580398">
            <w:r w:rsidR="00150791">
              <w:rPr>
                <w:rStyle w:val="IndexLink"/>
                <w:webHidden/>
              </w:rPr>
              <w:t>Zoznam skratiek a pojmov</w:t>
            </w:r>
            <w:r w:rsidR="00150791">
              <w:rPr>
                <w:rStyle w:val="IndexLink"/>
                <w:webHidden/>
              </w:rPr>
              <w:tab/>
              <w:t>3</w:t>
            </w:r>
          </w:hyperlink>
        </w:p>
        <w:p w14:paraId="742F3396" w14:textId="77777777" w:rsidR="00517431" w:rsidRDefault="00B2643C">
          <w:pPr>
            <w:pStyle w:val="Obsah1"/>
            <w:tabs>
              <w:tab w:val="right" w:leader="dot" w:pos="9071"/>
            </w:tabs>
          </w:pPr>
          <w:hyperlink w:anchor="__RefHeading___Toc6231_3891905039">
            <w:r w:rsidR="00150791">
              <w:rPr>
                <w:rStyle w:val="IndexLink"/>
                <w:webHidden/>
              </w:rPr>
              <w:t>1. Požiadavky na logovanie</w:t>
            </w:r>
            <w:r w:rsidR="00150791">
              <w:rPr>
                <w:rStyle w:val="IndexLink"/>
                <w:webHidden/>
              </w:rPr>
              <w:tab/>
              <w:t>5</w:t>
            </w:r>
          </w:hyperlink>
        </w:p>
        <w:p w14:paraId="51DB09C9" w14:textId="77777777" w:rsidR="00517431" w:rsidRDefault="00B2643C">
          <w:pPr>
            <w:pStyle w:val="Obsah2"/>
            <w:tabs>
              <w:tab w:val="right" w:leader="dot" w:pos="9071"/>
            </w:tabs>
          </w:pPr>
          <w:hyperlink w:anchor="__RefHeading___Toc6235_3891905039">
            <w:r w:rsidR="00150791">
              <w:rPr>
                <w:rStyle w:val="IndexLink"/>
                <w:webHidden/>
              </w:rPr>
              <w:t>1.1 Návrh logovania a zodpovednosti</w:t>
            </w:r>
            <w:r w:rsidR="00150791">
              <w:rPr>
                <w:rStyle w:val="IndexLink"/>
                <w:webHidden/>
              </w:rPr>
              <w:tab/>
              <w:t>5</w:t>
            </w:r>
          </w:hyperlink>
        </w:p>
        <w:p w14:paraId="5B134D71" w14:textId="77777777" w:rsidR="00517431" w:rsidRDefault="00B2643C">
          <w:pPr>
            <w:pStyle w:val="Obsah2"/>
            <w:tabs>
              <w:tab w:val="right" w:leader="dot" w:pos="9071"/>
            </w:tabs>
          </w:pPr>
          <w:hyperlink w:anchor="__RefHeading___Toc1455_3859580398">
            <w:r w:rsidR="00150791">
              <w:rPr>
                <w:rStyle w:val="IndexLink"/>
                <w:webHidden/>
              </w:rPr>
              <w:t>1.2 Povinný obsah logov</w:t>
            </w:r>
            <w:r w:rsidR="00150791">
              <w:rPr>
                <w:rStyle w:val="IndexLink"/>
                <w:webHidden/>
              </w:rPr>
              <w:tab/>
              <w:t>5</w:t>
            </w:r>
          </w:hyperlink>
        </w:p>
        <w:p w14:paraId="0E8ED7B3" w14:textId="77777777" w:rsidR="00517431" w:rsidRDefault="00B2643C">
          <w:pPr>
            <w:pStyle w:val="Obsah2"/>
            <w:tabs>
              <w:tab w:val="right" w:leader="dot" w:pos="9071"/>
            </w:tabs>
          </w:pPr>
          <w:hyperlink w:anchor="__RefHeading___Toc6239_3891905039">
            <w:r w:rsidR="00150791">
              <w:rPr>
                <w:rStyle w:val="IndexLink"/>
                <w:webHidden/>
              </w:rPr>
              <w:t>1.3 Zber, prenos, ochrana a uchovávanie logov</w:t>
            </w:r>
            <w:r w:rsidR="00150791">
              <w:rPr>
                <w:rStyle w:val="IndexLink"/>
                <w:webHidden/>
              </w:rPr>
              <w:tab/>
              <w:t>6</w:t>
            </w:r>
          </w:hyperlink>
        </w:p>
        <w:p w14:paraId="18F593DE" w14:textId="77777777" w:rsidR="00517431" w:rsidRDefault="00B2643C">
          <w:pPr>
            <w:pStyle w:val="Obsah2"/>
            <w:tabs>
              <w:tab w:val="right" w:leader="dot" w:pos="9071"/>
            </w:tabs>
          </w:pPr>
          <w:hyperlink w:anchor="__RefHeading___Toc6241_3891905039">
            <w:r w:rsidR="00150791">
              <w:rPr>
                <w:rStyle w:val="IndexLink"/>
                <w:webHidden/>
              </w:rPr>
              <w:t>1.4 Detekcia, upozornenia a prevádzka SIEM</w:t>
            </w:r>
            <w:r w:rsidR="00150791">
              <w:rPr>
                <w:rStyle w:val="IndexLink"/>
                <w:webHidden/>
              </w:rPr>
              <w:tab/>
              <w:t>7</w:t>
            </w:r>
          </w:hyperlink>
        </w:p>
        <w:p w14:paraId="20367B13" w14:textId="77777777" w:rsidR="00517431" w:rsidRDefault="00B2643C">
          <w:pPr>
            <w:pStyle w:val="Obsah2"/>
            <w:tabs>
              <w:tab w:val="right" w:leader="dot" w:pos="9071"/>
            </w:tabs>
          </w:pPr>
          <w:hyperlink w:anchor="__RefHeading___Toc6243_3891905039">
            <w:r w:rsidR="00150791">
              <w:rPr>
                <w:rStyle w:val="IndexLink"/>
                <w:webHidden/>
              </w:rPr>
              <w:t>1.5 Forenzná použiteľnosť a uchovanie dôkazov</w:t>
            </w:r>
            <w:r w:rsidR="00150791">
              <w:rPr>
                <w:rStyle w:val="IndexLink"/>
                <w:webHidden/>
              </w:rPr>
              <w:tab/>
              <w:t>8</w:t>
            </w:r>
          </w:hyperlink>
        </w:p>
        <w:p w14:paraId="651C500E" w14:textId="77777777" w:rsidR="00517431" w:rsidRDefault="00B2643C">
          <w:pPr>
            <w:pStyle w:val="Obsah2"/>
            <w:tabs>
              <w:tab w:val="right" w:leader="dot" w:pos="9071"/>
            </w:tabs>
          </w:pPr>
          <w:hyperlink w:anchor="__RefHeading___Toc6245_3891905039">
            <w:r w:rsidR="00150791">
              <w:rPr>
                <w:rStyle w:val="IndexLink"/>
                <w:webHidden/>
              </w:rPr>
              <w:t>1.6 Osobitné požiadavky pre cloud, API, kontajnery a AI</w:t>
            </w:r>
            <w:r w:rsidR="00150791">
              <w:rPr>
                <w:rStyle w:val="IndexLink"/>
                <w:webHidden/>
              </w:rPr>
              <w:tab/>
              <w:t>8</w:t>
            </w:r>
          </w:hyperlink>
        </w:p>
        <w:p w14:paraId="0A382638" w14:textId="77777777" w:rsidR="00517431" w:rsidRDefault="00B2643C">
          <w:pPr>
            <w:pStyle w:val="Obsah2"/>
            <w:tabs>
              <w:tab w:val="right" w:leader="dot" w:pos="9071"/>
            </w:tabs>
          </w:pPr>
          <w:hyperlink w:anchor="__RefHeading___Toc6247_3891905039">
            <w:r w:rsidR="00150791">
              <w:rPr>
                <w:rStyle w:val="IndexLink"/>
                <w:webHidden/>
              </w:rPr>
              <w:t>1.7 Vlastníctvo, export a ukončenie</w:t>
            </w:r>
            <w:r w:rsidR="00150791">
              <w:rPr>
                <w:rStyle w:val="IndexLink"/>
                <w:webHidden/>
              </w:rPr>
              <w:tab/>
              <w:t>8</w:t>
            </w:r>
          </w:hyperlink>
        </w:p>
        <w:p w14:paraId="271EF2DC" w14:textId="77777777" w:rsidR="00517431" w:rsidRDefault="00B2643C">
          <w:pPr>
            <w:pStyle w:val="Obsah2"/>
            <w:tabs>
              <w:tab w:val="right" w:leader="dot" w:pos="9071"/>
            </w:tabs>
          </w:pPr>
          <w:hyperlink w:anchor="__RefHeading___Toc6249_3891905039">
            <w:r w:rsidR="00150791">
              <w:rPr>
                <w:rStyle w:val="IndexLink"/>
                <w:webHidden/>
              </w:rPr>
              <w:t>2. Súhrn požiadaviek</w:t>
            </w:r>
            <w:r w:rsidR="00150791">
              <w:rPr>
                <w:rStyle w:val="IndexLink"/>
                <w:webHidden/>
              </w:rPr>
              <w:tab/>
              <w:t>8</w:t>
            </w:r>
          </w:hyperlink>
        </w:p>
        <w:p w14:paraId="6957A475" w14:textId="77777777" w:rsidR="00517431" w:rsidRDefault="00B2643C">
          <w:pPr>
            <w:pStyle w:val="Obsah2"/>
            <w:tabs>
              <w:tab w:val="right" w:leader="dot" w:pos="9071"/>
            </w:tabs>
          </w:pPr>
          <w:hyperlink w:anchor="__RefHeading___Toc6251_3891905039">
            <w:r w:rsidR="00150791">
              <w:rPr>
                <w:rStyle w:val="IndexLink"/>
                <w:webHidden/>
              </w:rPr>
              <w:t>3. Kategórie zdrojov logov</w:t>
            </w:r>
            <w:r w:rsidR="00150791">
              <w:rPr>
                <w:rStyle w:val="IndexLink"/>
                <w:webHidden/>
              </w:rPr>
              <w:tab/>
              <w:t>9</w:t>
            </w:r>
          </w:hyperlink>
        </w:p>
        <w:p w14:paraId="624D01BB" w14:textId="77777777" w:rsidR="00517431" w:rsidRDefault="00B2643C">
          <w:pPr>
            <w:pStyle w:val="Obsah1"/>
            <w:tabs>
              <w:tab w:val="right" w:leader="dot" w:pos="9071"/>
            </w:tabs>
          </w:pPr>
          <w:hyperlink w:anchor="__RefHeading___Toc6253_3891905039">
            <w:r w:rsidR="00150791">
              <w:rPr>
                <w:rStyle w:val="IndexLink"/>
                <w:webHidden/>
              </w:rPr>
              <w:t>4. Výklad záväznosti a doplňujúce pravidlá</w:t>
            </w:r>
            <w:r w:rsidR="00150791">
              <w:rPr>
                <w:rStyle w:val="IndexLink"/>
                <w:webHidden/>
              </w:rPr>
              <w:tab/>
              <w:t>11</w:t>
            </w:r>
          </w:hyperlink>
        </w:p>
        <w:p w14:paraId="3F484BFC" w14:textId="77777777" w:rsidR="00517431" w:rsidRDefault="00B2643C">
          <w:pPr>
            <w:pStyle w:val="Obsah2"/>
            <w:tabs>
              <w:tab w:val="right" w:leader="dot" w:pos="9071"/>
            </w:tabs>
          </w:pPr>
          <w:hyperlink w:anchor="__RefHeading___Toc1457_3859580398">
            <w:r w:rsidR="00150791">
              <w:rPr>
                <w:rStyle w:val="IndexLink"/>
                <w:webHidden/>
              </w:rPr>
              <w:t>4.1 Metóda MoSCoW a záväznosť požiadaviek</w:t>
            </w:r>
            <w:r w:rsidR="00150791">
              <w:rPr>
                <w:rStyle w:val="IndexLink"/>
                <w:webHidden/>
              </w:rPr>
              <w:tab/>
              <w:t>11</w:t>
            </w:r>
          </w:hyperlink>
        </w:p>
        <w:p w14:paraId="5397CF59" w14:textId="77777777" w:rsidR="00517431" w:rsidRDefault="00B2643C">
          <w:pPr>
            <w:pStyle w:val="Obsah1"/>
            <w:tabs>
              <w:tab w:val="right" w:leader="dot" w:pos="9071"/>
            </w:tabs>
          </w:pPr>
          <w:hyperlink w:anchor="__RefHeading___Toc6257_3891905039">
            <w:r w:rsidR="00150791">
              <w:rPr>
                <w:rStyle w:val="IndexLink"/>
                <w:webHidden/>
              </w:rPr>
              <w:t>5. Právne, technické a interné východiská</w:t>
            </w:r>
            <w:r w:rsidR="00150791">
              <w:rPr>
                <w:rStyle w:val="IndexLink"/>
                <w:webHidden/>
              </w:rPr>
              <w:tab/>
              <w:t>11</w:t>
            </w:r>
          </w:hyperlink>
        </w:p>
        <w:p w14:paraId="01FA6A25" w14:textId="77777777" w:rsidR="00517431" w:rsidRDefault="00B2643C">
          <w:pPr>
            <w:pStyle w:val="Obsah2"/>
            <w:tabs>
              <w:tab w:val="right" w:leader="dot" w:pos="9071"/>
            </w:tabs>
          </w:pPr>
          <w:hyperlink w:anchor="__RefHeading___Toc6259_3891905039">
            <w:r w:rsidR="00150791">
              <w:rPr>
                <w:rStyle w:val="IndexLink"/>
                <w:webHidden/>
              </w:rPr>
              <w:t>5.1 Zdroje a legislatívne východiská</w:t>
            </w:r>
            <w:r w:rsidR="00150791">
              <w:rPr>
                <w:rStyle w:val="IndexLink"/>
                <w:webHidden/>
              </w:rPr>
              <w:tab/>
              <w:t>11</w:t>
            </w:r>
          </w:hyperlink>
        </w:p>
        <w:p w14:paraId="7EC6B4A0" w14:textId="77777777" w:rsidR="00517431" w:rsidRDefault="00B2643C">
          <w:pPr>
            <w:pStyle w:val="Obsah2"/>
            <w:tabs>
              <w:tab w:val="right" w:leader="dot" w:pos="9071"/>
            </w:tabs>
          </w:pPr>
          <w:hyperlink w:anchor="__RefHeading___Toc6261_3891905039">
            <w:r w:rsidR="00150791">
              <w:rPr>
                <w:rStyle w:val="IndexLink"/>
                <w:webHidden/>
              </w:rPr>
              <w:t>5.2 Klasifikačné stupne informačných aktív</w:t>
            </w:r>
            <w:r w:rsidR="00150791">
              <w:rPr>
                <w:rStyle w:val="IndexLink"/>
                <w:webHidden/>
              </w:rPr>
              <w:tab/>
              <w:t>14</w:t>
            </w:r>
          </w:hyperlink>
        </w:p>
        <w:p w14:paraId="280C5E42" w14:textId="77777777" w:rsidR="00517431" w:rsidRDefault="00B2643C">
          <w:pPr>
            <w:pStyle w:val="Obsah3"/>
            <w:tabs>
              <w:tab w:val="right" w:leader="dot" w:pos="9071"/>
            </w:tabs>
          </w:pPr>
          <w:hyperlink w:anchor="__RefHeading___Toc6263_3891905039">
            <w:r w:rsidR="00150791">
              <w:rPr>
                <w:rStyle w:val="IndexLink"/>
                <w:webHidden/>
              </w:rPr>
              <w:t>Dôvernosť</w:t>
            </w:r>
            <w:r w:rsidR="00150791">
              <w:rPr>
                <w:rStyle w:val="IndexLink"/>
                <w:webHidden/>
              </w:rPr>
              <w:tab/>
              <w:t>14</w:t>
            </w:r>
          </w:hyperlink>
        </w:p>
        <w:p w14:paraId="7D88C564" w14:textId="77777777" w:rsidR="00517431" w:rsidRDefault="00B2643C">
          <w:pPr>
            <w:pStyle w:val="Obsah3"/>
            <w:tabs>
              <w:tab w:val="right" w:leader="dot" w:pos="9071"/>
            </w:tabs>
          </w:pPr>
          <w:hyperlink w:anchor="__RefHeading___Toc6265_3891905039">
            <w:r w:rsidR="00150791">
              <w:rPr>
                <w:rStyle w:val="IndexLink"/>
                <w:webHidden/>
              </w:rPr>
              <w:t>Integrita</w:t>
            </w:r>
            <w:r w:rsidR="00150791">
              <w:rPr>
                <w:rStyle w:val="IndexLink"/>
                <w:webHidden/>
              </w:rPr>
              <w:tab/>
              <w:t>14</w:t>
            </w:r>
          </w:hyperlink>
        </w:p>
        <w:p w14:paraId="03098F1C" w14:textId="77777777" w:rsidR="00517431" w:rsidRDefault="00B2643C">
          <w:pPr>
            <w:pStyle w:val="Obsah3"/>
            <w:tabs>
              <w:tab w:val="right" w:leader="dot" w:pos="9071"/>
            </w:tabs>
          </w:pPr>
          <w:hyperlink w:anchor="__RefHeading___Toc6267_3891905039">
            <w:r w:rsidR="00150791">
              <w:rPr>
                <w:rStyle w:val="IndexLink"/>
                <w:webHidden/>
              </w:rPr>
              <w:t>Dostupnosť</w:t>
            </w:r>
            <w:r w:rsidR="00150791">
              <w:rPr>
                <w:rStyle w:val="IndexLink"/>
                <w:webHidden/>
              </w:rPr>
              <w:tab/>
              <w:t>14</w:t>
            </w:r>
          </w:hyperlink>
        </w:p>
        <w:p w14:paraId="20C3C95D" w14:textId="77777777" w:rsidR="00517431" w:rsidRDefault="00B2643C">
          <w:pPr>
            <w:pStyle w:val="Obsah3"/>
            <w:tabs>
              <w:tab w:val="right" w:leader="dot" w:pos="9071"/>
            </w:tabs>
          </w:pPr>
          <w:hyperlink w:anchor="__RefHeading___Toc6269_3891905039">
            <w:r w:rsidR="00150791">
              <w:rPr>
                <w:rStyle w:val="IndexLink"/>
                <w:webHidden/>
              </w:rPr>
              <w:t>Autenticita</w:t>
            </w:r>
            <w:r w:rsidR="00150791">
              <w:rPr>
                <w:rStyle w:val="IndexLink"/>
                <w:webHidden/>
              </w:rPr>
              <w:tab/>
              <w:t>14</w:t>
            </w:r>
          </w:hyperlink>
          <w:r w:rsidR="00150791">
            <w:rPr>
              <w:rStyle w:val="IndexLink"/>
            </w:rPr>
            <w:fldChar w:fldCharType="end"/>
          </w:r>
        </w:p>
      </w:sdtContent>
    </w:sdt>
    <w:p w14:paraId="1210C45D" w14:textId="77777777" w:rsidR="00517431" w:rsidRDefault="00517431">
      <w:pPr>
        <w:pStyle w:val="Nadpis1"/>
        <w:spacing w:before="0"/>
        <w:rPr>
          <w:rFonts w:ascii="Arial" w:hAnsi="Arial" w:cs="Arial"/>
          <w:b/>
          <w:bCs/>
          <w:sz w:val="20"/>
          <w:szCs w:val="20"/>
        </w:rPr>
      </w:pPr>
      <w:bookmarkStart w:id="1" w:name="__RefHeading___Toc6223_3891905039"/>
      <w:bookmarkEnd w:id="1"/>
    </w:p>
    <w:p w14:paraId="2849EA85" w14:textId="77777777" w:rsidR="00517431" w:rsidRDefault="00150791">
      <w:pPr>
        <w:pStyle w:val="Nadpis1"/>
        <w:spacing w:before="0"/>
        <w:rPr>
          <w:rFonts w:ascii="Arial" w:hAnsi="Arial" w:cs="Arial"/>
          <w:b/>
          <w:bCs/>
          <w:sz w:val="20"/>
          <w:szCs w:val="20"/>
        </w:rPr>
      </w:pPr>
      <w:bookmarkStart w:id="2" w:name="__RefHeading___Toc1447_3859580398"/>
      <w:bookmarkStart w:id="3" w:name="_Toc235216520"/>
      <w:bookmarkEnd w:id="2"/>
      <w:r>
        <w:rPr>
          <w:rFonts w:ascii="Arial" w:hAnsi="Arial" w:cs="Arial"/>
          <w:b/>
          <w:bCs/>
          <w:sz w:val="20"/>
          <w:szCs w:val="20"/>
        </w:rPr>
        <w:t>Úvod</w:t>
      </w:r>
      <w:bookmarkEnd w:id="3"/>
    </w:p>
    <w:p w14:paraId="36B6B5C7" w14:textId="77777777" w:rsidR="00517431" w:rsidRDefault="00150791">
      <w:pPr>
        <w:spacing w:after="0"/>
        <w:jc w:val="both"/>
        <w:rPr>
          <w:rFonts w:ascii="Arial" w:hAnsi="Arial" w:cs="Arial"/>
          <w:sz w:val="20"/>
          <w:szCs w:val="20"/>
        </w:rPr>
      </w:pPr>
      <w:r>
        <w:rPr>
          <w:rFonts w:ascii="Arial" w:hAnsi="Arial" w:cs="Arial"/>
          <w:sz w:val="20"/>
          <w:szCs w:val="20"/>
        </w:rPr>
        <w:t>Prevádzkové a bezpečnostné záznamy (ďalej len „logy“) predstavujú základný zdroj dôkazov o činnostiach používateľov, systémových a strojových identít, aplikácií, služieb, zariadení a sieťových prvkov. Musia umožniť spätne zrekonštruovať významné udalosti, zistiť ich pôvod, rozsah a následky, podporiť detekciu hrozieb, riešenie incidentov, audit, kontrolu a preukázanie regulačného súladu.</w:t>
      </w:r>
    </w:p>
    <w:p w14:paraId="1A685562" w14:textId="77777777" w:rsidR="00517431" w:rsidRDefault="00150791">
      <w:pPr>
        <w:spacing w:after="0"/>
        <w:jc w:val="both"/>
        <w:rPr>
          <w:rFonts w:ascii="Arial" w:hAnsi="Arial" w:cs="Arial"/>
          <w:sz w:val="20"/>
          <w:szCs w:val="20"/>
        </w:rPr>
      </w:pPr>
      <w:r>
        <w:rPr>
          <w:rFonts w:ascii="Arial" w:hAnsi="Arial" w:cs="Arial"/>
          <w:sz w:val="20"/>
          <w:szCs w:val="20"/>
        </w:rPr>
        <w:t>Logovanie sa navrhuje a prevádzkuje ako súčasť celého životného cyklu riešenia. Dodávateľ je povinný zabezpečiť, aby jeho riešenie vytváralo úplné, presné, časovo synchronizované, strojovo spracovateľné a chránené logy v rozsahu podľa Kyberzmluvy, tohto štandardu, aplikovateľnej zmluvnej a technickej dokumentácie a analýzy rizík.</w:t>
      </w:r>
    </w:p>
    <w:p w14:paraId="2FA04C05" w14:textId="77777777" w:rsidR="00517431" w:rsidRDefault="00517431">
      <w:pPr>
        <w:pStyle w:val="Nadpis1"/>
        <w:spacing w:before="0"/>
        <w:rPr>
          <w:rFonts w:ascii="Arial" w:hAnsi="Arial" w:cs="Arial"/>
          <w:b/>
          <w:bCs/>
          <w:sz w:val="20"/>
          <w:szCs w:val="20"/>
        </w:rPr>
      </w:pPr>
      <w:bookmarkStart w:id="4" w:name="__RefHeading___Toc6225_3891905039"/>
      <w:bookmarkEnd w:id="4"/>
    </w:p>
    <w:p w14:paraId="3391373B" w14:textId="77777777" w:rsidR="00517431" w:rsidRDefault="00150791">
      <w:pPr>
        <w:pStyle w:val="Nadpis1"/>
        <w:spacing w:before="0"/>
        <w:rPr>
          <w:rFonts w:ascii="Arial" w:hAnsi="Arial" w:cs="Arial"/>
          <w:b/>
          <w:bCs/>
          <w:sz w:val="20"/>
          <w:szCs w:val="20"/>
        </w:rPr>
      </w:pPr>
      <w:bookmarkStart w:id="5" w:name="__RefHeading___Toc1449_3859580398"/>
      <w:bookmarkStart w:id="6" w:name="_Toc235216521"/>
      <w:bookmarkEnd w:id="5"/>
      <w:r>
        <w:rPr>
          <w:rFonts w:ascii="Arial" w:hAnsi="Arial" w:cs="Arial"/>
          <w:b/>
          <w:bCs/>
          <w:sz w:val="20"/>
          <w:szCs w:val="20"/>
        </w:rPr>
        <w:t>Cieľ dokumentu</w:t>
      </w:r>
      <w:bookmarkEnd w:id="6"/>
    </w:p>
    <w:p w14:paraId="65009CFC" w14:textId="77777777" w:rsidR="00517431" w:rsidRDefault="00150791">
      <w:pPr>
        <w:spacing w:after="0"/>
        <w:ind w:left="-5" w:right="8"/>
        <w:jc w:val="both"/>
        <w:rPr>
          <w:rFonts w:ascii="Arial" w:hAnsi="Arial" w:cs="Arial"/>
          <w:sz w:val="20"/>
          <w:szCs w:val="20"/>
        </w:rPr>
      </w:pPr>
      <w:r>
        <w:rPr>
          <w:rFonts w:ascii="Arial" w:hAnsi="Arial" w:cs="Arial"/>
          <w:sz w:val="20"/>
          <w:szCs w:val="20"/>
        </w:rPr>
        <w:t>Tento dokument určuje záväzné minimálne požiadavky na návrh, obsah, zber, prenos, centralizáciu, ochranu, koreláciu, monitorovanie, uchovávanie, sprístupňovanie, export, forenzné zaistenie a bezpečné vymazanie logov. Uplatňuje sa na informačné systémy, ITVS, lokálne, cloudové a dátové služby, sieťové a bezpečnostné prvky, operačné systémy, databázy, aplikácie, API, identity, kontajnery, operačné technológie, systémy umelej inteligencie a dodávateľské služby podľa ich aplikovateľnosti.</w:t>
      </w:r>
    </w:p>
    <w:p w14:paraId="6393657B" w14:textId="77777777" w:rsidR="00517431" w:rsidRDefault="00517431">
      <w:pPr>
        <w:spacing w:after="0" w:line="283" w:lineRule="auto"/>
        <w:ind w:left="-5"/>
        <w:jc w:val="both"/>
        <w:rPr>
          <w:rFonts w:ascii="Arial" w:hAnsi="Arial" w:cs="Arial"/>
          <w:sz w:val="20"/>
          <w:szCs w:val="20"/>
        </w:rPr>
      </w:pPr>
    </w:p>
    <w:p w14:paraId="65B836BC" w14:textId="44082344" w:rsidR="0D5689BD" w:rsidRDefault="0D5689BD" w:rsidP="1CB63E00">
      <w:pPr>
        <w:spacing w:after="0" w:line="283" w:lineRule="auto"/>
        <w:ind w:left="-5"/>
        <w:jc w:val="both"/>
      </w:pPr>
      <w:r w:rsidRPr="1CB63E00">
        <w:rPr>
          <w:rFonts w:ascii="Arial" w:eastAsia="Arial" w:hAnsi="Arial" w:cs="Arial"/>
          <w:color w:val="000000" w:themeColor="text1"/>
          <w:sz w:val="20"/>
          <w:szCs w:val="20"/>
        </w:rPr>
        <w:t xml:space="preserve">Logovací štandard (tento dokument) sa uplatňuje počas celého životného cyklu plnenia a vykladá sa spolu s Kyberzmluvou, Bezpečnostnými politikami prevádzkovateľa, Kyberbezpečnostným štandardom prevádzkovateľa a preukázateľne sprístupnenými vnútornými predpismi prevádzkovateľa. </w:t>
      </w:r>
      <w:r w:rsidRPr="1CB63E00">
        <w:rPr>
          <w:rFonts w:ascii="Arial" w:hAnsi="Arial" w:cs="Arial"/>
          <w:sz w:val="20"/>
          <w:szCs w:val="20"/>
        </w:rPr>
        <w:t>Pri súbehu požiadaviek sa uplatní prísnejšia alebo osobitnejšia požiadavka, ak prevádzkovateľ písomne neurčí inak.</w:t>
      </w:r>
    </w:p>
    <w:p w14:paraId="7AA95F9A" w14:textId="77777777" w:rsidR="00517431" w:rsidRDefault="00517431">
      <w:pPr>
        <w:spacing w:after="0" w:line="283" w:lineRule="auto"/>
        <w:ind w:left="-5"/>
        <w:rPr>
          <w:rFonts w:ascii="Arial" w:hAnsi="Arial" w:cs="Arial"/>
          <w:sz w:val="20"/>
          <w:szCs w:val="20"/>
        </w:rPr>
      </w:pPr>
    </w:p>
    <w:p w14:paraId="4EC57E92" w14:textId="77777777" w:rsidR="00517431" w:rsidRDefault="00150791">
      <w:pPr>
        <w:spacing w:after="0" w:line="283" w:lineRule="auto"/>
        <w:ind w:left="-5"/>
        <w:rPr>
          <w:rFonts w:ascii="Arial" w:hAnsi="Arial" w:cs="Arial"/>
          <w:sz w:val="20"/>
          <w:szCs w:val="20"/>
        </w:rPr>
      </w:pPr>
      <w:r>
        <w:rPr>
          <w:rFonts w:ascii="Arial" w:hAnsi="Arial" w:cs="Arial"/>
          <w:sz w:val="20"/>
          <w:szCs w:val="20"/>
        </w:rPr>
        <w:t xml:space="preserve">Dokument vychádza najmä zo zákona o kybernetickej bezpečnosti a jeho vykonávacích predpisov, zákona o ITVS a jeho vykonávacích predpisov, GDPR a zákona č. 18/2018 Z. z., AI </w:t>
      </w:r>
      <w:proofErr w:type="spellStart"/>
      <w:r>
        <w:rPr>
          <w:rFonts w:ascii="Arial" w:hAnsi="Arial" w:cs="Arial"/>
          <w:sz w:val="20"/>
          <w:szCs w:val="20"/>
        </w:rPr>
        <w:t>Actu</w:t>
      </w:r>
      <w:proofErr w:type="spellEnd"/>
      <w:r>
        <w:rPr>
          <w:rFonts w:ascii="Arial" w:hAnsi="Arial" w:cs="Arial"/>
          <w:sz w:val="20"/>
          <w:szCs w:val="20"/>
        </w:rPr>
        <w:t xml:space="preserve">, </w:t>
      </w:r>
      <w:proofErr w:type="spellStart"/>
      <w:r>
        <w:rPr>
          <w:rFonts w:ascii="Arial" w:hAnsi="Arial" w:cs="Arial"/>
          <w:sz w:val="20"/>
          <w:szCs w:val="20"/>
        </w:rPr>
        <w:t>Data</w:t>
      </w:r>
      <w:proofErr w:type="spellEnd"/>
      <w:r>
        <w:rPr>
          <w:rFonts w:ascii="Arial" w:hAnsi="Arial" w:cs="Arial"/>
          <w:sz w:val="20"/>
          <w:szCs w:val="20"/>
        </w:rPr>
        <w:t xml:space="preserve"> </w:t>
      </w:r>
      <w:proofErr w:type="spellStart"/>
      <w:r>
        <w:rPr>
          <w:rFonts w:ascii="Arial" w:hAnsi="Arial" w:cs="Arial"/>
          <w:sz w:val="20"/>
          <w:szCs w:val="20"/>
        </w:rPr>
        <w:t>Actu</w:t>
      </w:r>
      <w:proofErr w:type="spellEnd"/>
      <w:r>
        <w:rPr>
          <w:rFonts w:ascii="Arial" w:hAnsi="Arial" w:cs="Arial"/>
          <w:sz w:val="20"/>
          <w:szCs w:val="20"/>
        </w:rPr>
        <w:t xml:space="preserve">, </w:t>
      </w:r>
      <w:proofErr w:type="spellStart"/>
      <w:r>
        <w:rPr>
          <w:rFonts w:ascii="Arial" w:hAnsi="Arial" w:cs="Arial"/>
          <w:sz w:val="20"/>
          <w:szCs w:val="20"/>
        </w:rPr>
        <w:t>Cyber</w:t>
      </w:r>
      <w:proofErr w:type="spellEnd"/>
      <w:r>
        <w:rPr>
          <w:rFonts w:ascii="Arial" w:hAnsi="Arial" w:cs="Arial"/>
          <w:sz w:val="20"/>
          <w:szCs w:val="20"/>
        </w:rPr>
        <w:t xml:space="preserve"> </w:t>
      </w:r>
      <w:proofErr w:type="spellStart"/>
      <w:r>
        <w:rPr>
          <w:rFonts w:ascii="Arial" w:hAnsi="Arial" w:cs="Arial"/>
          <w:sz w:val="20"/>
          <w:szCs w:val="20"/>
        </w:rPr>
        <w:t>Resilience</w:t>
      </w:r>
      <w:proofErr w:type="spellEnd"/>
      <w:r>
        <w:rPr>
          <w:rFonts w:ascii="Arial" w:hAnsi="Arial" w:cs="Arial"/>
          <w:sz w:val="20"/>
          <w:szCs w:val="20"/>
        </w:rPr>
        <w:t xml:space="preserve"> </w:t>
      </w:r>
      <w:proofErr w:type="spellStart"/>
      <w:r>
        <w:rPr>
          <w:rFonts w:ascii="Arial" w:hAnsi="Arial" w:cs="Arial"/>
          <w:sz w:val="20"/>
          <w:szCs w:val="20"/>
        </w:rPr>
        <w:t>Actu</w:t>
      </w:r>
      <w:proofErr w:type="spellEnd"/>
      <w:r>
        <w:rPr>
          <w:rFonts w:ascii="Arial" w:hAnsi="Arial" w:cs="Arial"/>
          <w:sz w:val="20"/>
          <w:szCs w:val="20"/>
        </w:rPr>
        <w:t>, zákona č. 367/2024 Z. z. o kritickej infraštruktúre, aktuálnych vnútorných predpisov Sociálnej poisťovne a relevantných technických odporúčaní NIST, ENISA, OWASP a IETF.</w:t>
      </w:r>
    </w:p>
    <w:p w14:paraId="099588F9" w14:textId="77777777" w:rsidR="00517431" w:rsidRDefault="00517431">
      <w:pPr>
        <w:spacing w:after="0" w:line="283" w:lineRule="auto"/>
        <w:ind w:left="-5"/>
        <w:rPr>
          <w:rFonts w:ascii="Arial" w:hAnsi="Arial" w:cs="Arial"/>
          <w:sz w:val="20"/>
          <w:szCs w:val="20"/>
        </w:rPr>
      </w:pPr>
    </w:p>
    <w:p w14:paraId="48B47B71" w14:textId="77777777" w:rsidR="00517431" w:rsidRDefault="00150791">
      <w:pPr>
        <w:spacing w:after="0" w:line="283" w:lineRule="auto"/>
        <w:ind w:left="-5"/>
        <w:rPr>
          <w:rFonts w:ascii="Arial" w:hAnsi="Arial" w:cs="Arial"/>
          <w:sz w:val="20"/>
          <w:szCs w:val="20"/>
        </w:rPr>
      </w:pPr>
      <w:r>
        <w:rPr>
          <w:rFonts w:ascii="Arial" w:hAnsi="Arial" w:cs="Arial"/>
          <w:sz w:val="20"/>
          <w:szCs w:val="20"/>
        </w:rPr>
        <w:t>Technické požiadavky sa uplatňujú primerane kategorizácii, klasifikácii informačných aktív, kritickosti služby, právnym povinnostiam a identifikovaným rizikám; ich konkrétne parametre sa určujú v aplikovateľnej zmluvnej alebo technickej dokumentácii a v schválenom logovacom profile.</w:t>
      </w:r>
    </w:p>
    <w:p w14:paraId="7C6D5DE4" w14:textId="77777777" w:rsidR="00517431" w:rsidRDefault="00517431">
      <w:pPr>
        <w:spacing w:after="0" w:line="283" w:lineRule="auto"/>
        <w:ind w:left="-5"/>
        <w:jc w:val="both"/>
        <w:rPr>
          <w:rFonts w:ascii="Arial" w:hAnsi="Arial" w:cs="Arial"/>
          <w:sz w:val="20"/>
          <w:szCs w:val="20"/>
        </w:rPr>
      </w:pPr>
    </w:p>
    <w:p w14:paraId="0AB7E93F" w14:textId="77777777" w:rsidR="00517431" w:rsidRDefault="00150791">
      <w:pPr>
        <w:spacing w:after="0" w:line="283" w:lineRule="auto"/>
        <w:ind w:left="-5"/>
        <w:jc w:val="both"/>
        <w:rPr>
          <w:rFonts w:ascii="Arial" w:hAnsi="Arial" w:cs="Arial"/>
          <w:sz w:val="20"/>
          <w:szCs w:val="20"/>
        </w:rPr>
      </w:pPr>
      <w:r>
        <w:rPr>
          <w:rFonts w:ascii="Arial" w:hAnsi="Arial" w:cs="Arial"/>
          <w:sz w:val="20"/>
          <w:szCs w:val="20"/>
        </w:rPr>
        <w:t>Pre riadne logovanie je nevyhnutné najmä:</w:t>
      </w:r>
    </w:p>
    <w:p w14:paraId="4C7BBB47" w14:textId="77777777" w:rsidR="00517431" w:rsidRDefault="00150791">
      <w:pPr>
        <w:pStyle w:val="Odsekzoznamu"/>
        <w:numPr>
          <w:ilvl w:val="0"/>
          <w:numId w:val="8"/>
        </w:numPr>
        <w:spacing w:after="0" w:line="283" w:lineRule="auto"/>
        <w:jc w:val="both"/>
        <w:rPr>
          <w:rFonts w:ascii="Arial" w:hAnsi="Arial" w:cs="Arial"/>
          <w:sz w:val="20"/>
          <w:szCs w:val="20"/>
        </w:rPr>
      </w:pPr>
      <w:r>
        <w:rPr>
          <w:rFonts w:ascii="Arial" w:hAnsi="Arial" w:cs="Arial"/>
          <w:sz w:val="20"/>
          <w:szCs w:val="20"/>
        </w:rPr>
        <w:t>synchronizovať čas všetkých relevantných zdrojov s dôveryhodným časovým zdrojom a monitorovať odchýlku,</w:t>
      </w:r>
    </w:p>
    <w:p w14:paraId="41CC5EC5" w14:textId="77777777" w:rsidR="00517431" w:rsidRDefault="00150791">
      <w:pPr>
        <w:pStyle w:val="Odsekzoznamu"/>
        <w:numPr>
          <w:ilvl w:val="0"/>
          <w:numId w:val="8"/>
        </w:numPr>
        <w:spacing w:after="0" w:line="283" w:lineRule="auto"/>
        <w:jc w:val="both"/>
        <w:rPr>
          <w:rFonts w:ascii="Arial" w:hAnsi="Arial" w:cs="Arial"/>
          <w:sz w:val="20"/>
          <w:szCs w:val="20"/>
        </w:rPr>
      </w:pPr>
      <w:r>
        <w:rPr>
          <w:rFonts w:ascii="Arial" w:hAnsi="Arial" w:cs="Arial"/>
          <w:sz w:val="20"/>
          <w:szCs w:val="20"/>
        </w:rPr>
        <w:t>zabezpečiť dostatočnú kapacitu, bezpečný prenos, centrálny zber a uchovávanie logov počas určenej retenčnej lehoty,</w:t>
      </w:r>
    </w:p>
    <w:p w14:paraId="585C8C73" w14:textId="77777777" w:rsidR="00517431" w:rsidRDefault="00150791">
      <w:pPr>
        <w:pStyle w:val="Odsekzoznamu"/>
        <w:numPr>
          <w:ilvl w:val="0"/>
          <w:numId w:val="8"/>
        </w:numPr>
        <w:spacing w:after="0" w:line="283" w:lineRule="auto"/>
        <w:jc w:val="both"/>
        <w:rPr>
          <w:rFonts w:ascii="Arial" w:hAnsi="Arial" w:cs="Arial"/>
          <w:sz w:val="20"/>
          <w:szCs w:val="20"/>
        </w:rPr>
      </w:pPr>
      <w:r>
        <w:rPr>
          <w:rFonts w:ascii="Arial" w:hAnsi="Arial" w:cs="Arial"/>
          <w:sz w:val="20"/>
          <w:szCs w:val="20"/>
        </w:rPr>
        <w:t>priebežne vyhodnocovať logy, korelovať udalosti a vytvárať bezpečnostné upozornenia podľa detekčných scenárov,</w:t>
      </w:r>
    </w:p>
    <w:p w14:paraId="7184EC4B" w14:textId="77777777" w:rsidR="00517431" w:rsidRDefault="00150791">
      <w:pPr>
        <w:pStyle w:val="Odsekzoznamu"/>
        <w:numPr>
          <w:ilvl w:val="0"/>
          <w:numId w:val="8"/>
        </w:numPr>
        <w:spacing w:after="0" w:line="283" w:lineRule="auto"/>
        <w:jc w:val="both"/>
        <w:rPr>
          <w:rFonts w:ascii="Arial" w:hAnsi="Arial" w:cs="Arial"/>
          <w:sz w:val="20"/>
          <w:szCs w:val="20"/>
        </w:rPr>
      </w:pPr>
      <w:r>
        <w:rPr>
          <w:rFonts w:ascii="Arial" w:hAnsi="Arial" w:cs="Arial"/>
          <w:sz w:val="20"/>
          <w:szCs w:val="20"/>
        </w:rPr>
        <w:t>chrániť dôvernosť, integritu, autenticitu a dostupnosť logov a celého logovacieho reťazca,</w:t>
      </w:r>
    </w:p>
    <w:p w14:paraId="1369F541" w14:textId="77777777" w:rsidR="00517431" w:rsidRDefault="00150791">
      <w:pPr>
        <w:pStyle w:val="Odsekzoznamu"/>
        <w:numPr>
          <w:ilvl w:val="0"/>
          <w:numId w:val="8"/>
        </w:numPr>
        <w:spacing w:after="0" w:line="283" w:lineRule="auto"/>
        <w:jc w:val="both"/>
        <w:rPr>
          <w:rFonts w:ascii="Arial" w:hAnsi="Arial" w:cs="Arial"/>
          <w:sz w:val="20"/>
          <w:szCs w:val="20"/>
        </w:rPr>
      </w:pPr>
      <w:r>
        <w:rPr>
          <w:rFonts w:ascii="Arial" w:hAnsi="Arial" w:cs="Arial"/>
          <w:sz w:val="20"/>
          <w:szCs w:val="20"/>
        </w:rPr>
        <w:t>zabezpečiť dostupnosť logov aj pri výpadku zdroja, prenosu alebo centrálnej platformy a pravidelne overovať ich obnoviteľnosť.</w:t>
      </w:r>
    </w:p>
    <w:p w14:paraId="62F289C4" w14:textId="77777777" w:rsidR="00517431" w:rsidRDefault="00150791">
      <w:pPr>
        <w:spacing w:after="0" w:line="283" w:lineRule="auto"/>
        <w:ind w:left="-5"/>
        <w:jc w:val="both"/>
        <w:rPr>
          <w:rFonts w:ascii="Arial" w:hAnsi="Arial" w:cs="Arial"/>
          <w:sz w:val="20"/>
          <w:szCs w:val="20"/>
        </w:rPr>
      </w:pPr>
      <w:r>
        <w:rPr>
          <w:rFonts w:ascii="Arial" w:hAnsi="Arial" w:cs="Arial"/>
          <w:sz w:val="20"/>
          <w:szCs w:val="20"/>
        </w:rPr>
        <w:t xml:space="preserve">Každý projekt, systém a služba musí mať pred produkčným nasadením schválený logovací profil určujúci najmenej zdroje logov, povinné udalosti a polia, formát a schému, korelačné identifikátory, bezpečný transport, cieľový centrálny systém správy prevádzkových záznamov alebo SIEM, online dostupnosť, celkovú </w:t>
      </w:r>
      <w:proofErr w:type="spellStart"/>
      <w:r>
        <w:rPr>
          <w:rFonts w:ascii="Arial" w:hAnsi="Arial" w:cs="Arial"/>
          <w:sz w:val="20"/>
          <w:szCs w:val="20"/>
        </w:rPr>
        <w:t>retenciu</w:t>
      </w:r>
      <w:proofErr w:type="spellEnd"/>
      <w:r>
        <w:rPr>
          <w:rFonts w:ascii="Arial" w:hAnsi="Arial" w:cs="Arial"/>
          <w:sz w:val="20"/>
          <w:szCs w:val="20"/>
        </w:rPr>
        <w:t xml:space="preserve">, prístupové roly, detekčné scenáre, lehoty spracovania upozornení, kapacitu, integritu, zálohovanie, forenzný export, pozastavenie výmazu a postup pri výpadku logovania. </w:t>
      </w:r>
    </w:p>
    <w:p w14:paraId="0D9C052A" w14:textId="77777777" w:rsidR="00517431" w:rsidRDefault="00517431">
      <w:pPr>
        <w:spacing w:after="0" w:line="283" w:lineRule="auto"/>
        <w:ind w:left="-5"/>
        <w:jc w:val="both"/>
        <w:rPr>
          <w:rFonts w:ascii="Arial" w:hAnsi="Arial" w:cs="Arial"/>
          <w:sz w:val="20"/>
          <w:szCs w:val="20"/>
        </w:rPr>
      </w:pPr>
    </w:p>
    <w:p w14:paraId="357ED162" w14:textId="77777777" w:rsidR="00517431" w:rsidRDefault="00150791">
      <w:pPr>
        <w:spacing w:after="0" w:line="283" w:lineRule="auto"/>
        <w:ind w:left="-5"/>
        <w:jc w:val="both"/>
        <w:rPr>
          <w:rFonts w:ascii="Arial" w:hAnsi="Arial" w:cs="Arial"/>
          <w:sz w:val="20"/>
          <w:szCs w:val="20"/>
        </w:rPr>
      </w:pPr>
      <w:r>
        <w:rPr>
          <w:rFonts w:ascii="Arial" w:hAnsi="Arial" w:cs="Arial"/>
          <w:sz w:val="20"/>
          <w:szCs w:val="20"/>
        </w:rPr>
        <w:t>Logovací profil sa predkladá na validáciu útvaru kybernetickej a informačnej bezpečnosti alebo SOC a vedie sa ako riadený podklad zmluvnej, projektovej, zmenovej alebo prevádzkovej dokumentácie konkrétneho systému alebo služby.</w:t>
      </w:r>
    </w:p>
    <w:p w14:paraId="5D336E1F" w14:textId="77777777" w:rsidR="00517431" w:rsidRDefault="00517431">
      <w:pPr>
        <w:pStyle w:val="Nadpis1"/>
        <w:spacing w:before="0"/>
        <w:rPr>
          <w:rFonts w:ascii="Arial" w:hAnsi="Arial" w:cs="Arial"/>
          <w:b/>
          <w:bCs/>
          <w:sz w:val="20"/>
          <w:szCs w:val="20"/>
        </w:rPr>
      </w:pPr>
      <w:bookmarkStart w:id="7" w:name="__RefHeading___Toc6227_3891905039"/>
      <w:bookmarkEnd w:id="7"/>
    </w:p>
    <w:p w14:paraId="19148D15" w14:textId="77777777" w:rsidR="00517431" w:rsidRDefault="00150791">
      <w:pPr>
        <w:pStyle w:val="Nadpis1"/>
        <w:spacing w:before="0"/>
        <w:rPr>
          <w:rFonts w:ascii="Arial" w:hAnsi="Arial" w:cs="Arial"/>
          <w:b/>
          <w:bCs/>
          <w:sz w:val="20"/>
          <w:szCs w:val="20"/>
        </w:rPr>
      </w:pPr>
      <w:bookmarkStart w:id="8" w:name="__RefHeading___Toc1451_3859580398"/>
      <w:bookmarkStart w:id="9" w:name="_Toc99358979"/>
      <w:bookmarkStart w:id="10" w:name="_Toc235216522"/>
      <w:bookmarkEnd w:id="8"/>
      <w:r>
        <w:rPr>
          <w:rFonts w:ascii="Arial" w:hAnsi="Arial" w:cs="Arial"/>
          <w:b/>
          <w:bCs/>
          <w:sz w:val="20"/>
          <w:szCs w:val="20"/>
        </w:rPr>
        <w:t>Rozsah a aplikovateľnosť</w:t>
      </w:r>
      <w:bookmarkEnd w:id="9"/>
      <w:bookmarkEnd w:id="10"/>
    </w:p>
    <w:p w14:paraId="44750EBC" w14:textId="77777777" w:rsidR="00517431" w:rsidRDefault="00150791">
      <w:pPr>
        <w:spacing w:after="0" w:line="283" w:lineRule="auto"/>
        <w:ind w:left="-5"/>
        <w:rPr>
          <w:rFonts w:ascii="Arial" w:hAnsi="Arial" w:cs="Arial"/>
          <w:sz w:val="20"/>
          <w:szCs w:val="20"/>
        </w:rPr>
      </w:pPr>
      <w:r>
        <w:rPr>
          <w:rFonts w:ascii="Arial" w:hAnsi="Arial" w:cs="Arial"/>
          <w:sz w:val="20"/>
          <w:szCs w:val="20"/>
        </w:rPr>
        <w:t xml:space="preserve">Štandard sa uplatňuje na všetky technológie, prostredia a služby dotknuté plnením vrátane mobilných zariadení, internetu vecí, ICS/OT, webových a API služieb, cloudových a kontajnerových prostredí, orchestrácie, integračných platforiem, umelej inteligencie a produktov s digitálnymi prvkami. Ak technológia nevie splniť povinnú požiadavku, dodávateľ pred implementáciou predloží analýzu rizík a návrh rovnocenného alebo kompenzačného opatrenia; výnimka musí byť časovo obmedzená a písomne schválená podľa </w:t>
      </w:r>
      <w:proofErr w:type="spellStart"/>
      <w:r>
        <w:rPr>
          <w:rFonts w:ascii="Arial" w:hAnsi="Arial" w:cs="Arial"/>
          <w:sz w:val="20"/>
          <w:szCs w:val="20"/>
        </w:rPr>
        <w:t>Kyberzmluvy</w:t>
      </w:r>
      <w:proofErr w:type="spellEnd"/>
      <w:r>
        <w:rPr>
          <w:rFonts w:ascii="Arial" w:hAnsi="Arial" w:cs="Arial"/>
          <w:sz w:val="20"/>
          <w:szCs w:val="20"/>
        </w:rPr>
        <w:t>.</w:t>
      </w:r>
    </w:p>
    <w:p w14:paraId="59C30D4D" w14:textId="77777777" w:rsidR="00517431" w:rsidRDefault="00517431">
      <w:pPr>
        <w:spacing w:after="0"/>
        <w:rPr>
          <w:rFonts w:ascii="Arial" w:hAnsi="Arial" w:cs="Arial"/>
          <w:sz w:val="20"/>
          <w:szCs w:val="20"/>
        </w:rPr>
      </w:pPr>
    </w:p>
    <w:p w14:paraId="2AE215FF" w14:textId="77777777" w:rsidR="00517431" w:rsidRDefault="00150791">
      <w:pPr>
        <w:pStyle w:val="Nadpis1"/>
        <w:spacing w:before="0"/>
        <w:rPr>
          <w:rFonts w:ascii="Arial" w:hAnsi="Arial" w:cs="Arial"/>
          <w:b/>
          <w:bCs/>
          <w:sz w:val="20"/>
          <w:szCs w:val="20"/>
        </w:rPr>
      </w:pPr>
      <w:bookmarkStart w:id="11" w:name="__RefHeading___Toc6229_3891905039"/>
      <w:bookmarkStart w:id="12" w:name="_Toc235216523"/>
      <w:bookmarkEnd w:id="11"/>
      <w:r>
        <w:rPr>
          <w:rFonts w:ascii="Arial" w:hAnsi="Arial" w:cs="Arial"/>
          <w:b/>
          <w:bCs/>
          <w:sz w:val="20"/>
          <w:szCs w:val="20"/>
        </w:rPr>
        <w:lastRenderedPageBreak/>
        <w:t>Význam kľúčových slov</w:t>
      </w:r>
      <w:bookmarkEnd w:id="12"/>
    </w:p>
    <w:p w14:paraId="3E729501" w14:textId="77777777" w:rsidR="00517431" w:rsidRDefault="00150791">
      <w:pPr>
        <w:spacing w:after="0"/>
        <w:ind w:left="-5" w:right="8"/>
        <w:rPr>
          <w:rFonts w:ascii="Arial" w:hAnsi="Arial" w:cs="Arial"/>
          <w:sz w:val="20"/>
          <w:szCs w:val="20"/>
        </w:rPr>
      </w:pPr>
      <w:r>
        <w:rPr>
          <w:rFonts w:ascii="Arial" w:hAnsi="Arial" w:cs="Arial"/>
          <w:sz w:val="20"/>
          <w:szCs w:val="20"/>
        </w:rPr>
        <w:t>V tomto dokumente sa používajú tieto kľúčové slová:</w:t>
      </w:r>
    </w:p>
    <w:p w14:paraId="4CCB1823" w14:textId="77777777" w:rsidR="00517431" w:rsidRDefault="00150791">
      <w:pPr>
        <w:spacing w:after="0"/>
        <w:ind w:left="708" w:right="8"/>
        <w:rPr>
          <w:rFonts w:ascii="Arial" w:hAnsi="Arial" w:cs="Arial"/>
          <w:sz w:val="20"/>
          <w:szCs w:val="20"/>
        </w:rPr>
      </w:pPr>
      <w:r>
        <w:rPr>
          <w:rFonts w:ascii="Arial" w:hAnsi="Arial" w:cs="Arial"/>
          <w:sz w:val="20"/>
          <w:szCs w:val="20"/>
        </w:rPr>
        <w:t>„</w:t>
      </w:r>
      <w:r>
        <w:rPr>
          <w:rFonts w:ascii="Arial" w:hAnsi="Arial" w:cs="Arial"/>
          <w:b/>
          <w:bCs/>
          <w:color w:val="EE0000"/>
          <w:sz w:val="20"/>
          <w:szCs w:val="20"/>
        </w:rPr>
        <w:t>musí</w:t>
      </w:r>
      <w:r>
        <w:rPr>
          <w:rFonts w:ascii="Arial" w:hAnsi="Arial" w:cs="Arial"/>
          <w:sz w:val="20"/>
          <w:szCs w:val="20"/>
        </w:rPr>
        <w:t>“ alebo „</w:t>
      </w:r>
      <w:r>
        <w:rPr>
          <w:rFonts w:ascii="Arial" w:hAnsi="Arial" w:cs="Arial"/>
          <w:b/>
          <w:bCs/>
          <w:color w:val="EE0000"/>
          <w:sz w:val="20"/>
          <w:szCs w:val="20"/>
        </w:rPr>
        <w:t>je povinný</w:t>
      </w:r>
      <w:r>
        <w:rPr>
          <w:rFonts w:ascii="Arial" w:hAnsi="Arial" w:cs="Arial"/>
          <w:sz w:val="20"/>
          <w:szCs w:val="20"/>
        </w:rPr>
        <w:t>“ – označuje povinnú požiadavku.</w:t>
      </w:r>
    </w:p>
    <w:p w14:paraId="2669C936" w14:textId="77777777" w:rsidR="00517431" w:rsidRDefault="00150791">
      <w:pPr>
        <w:spacing w:after="0"/>
        <w:ind w:left="708" w:right="8"/>
        <w:rPr>
          <w:rFonts w:ascii="Arial" w:hAnsi="Arial" w:cs="Arial"/>
          <w:sz w:val="20"/>
          <w:szCs w:val="20"/>
        </w:rPr>
      </w:pPr>
      <w:r>
        <w:rPr>
          <w:rFonts w:ascii="Arial" w:hAnsi="Arial" w:cs="Arial"/>
          <w:sz w:val="20"/>
          <w:szCs w:val="20"/>
        </w:rPr>
        <w:t>„</w:t>
      </w:r>
      <w:r>
        <w:rPr>
          <w:rFonts w:ascii="Arial" w:hAnsi="Arial" w:cs="Arial"/>
          <w:b/>
          <w:bCs/>
          <w:color w:val="EE0000"/>
          <w:sz w:val="20"/>
          <w:szCs w:val="20"/>
        </w:rPr>
        <w:t>nesmie</w:t>
      </w:r>
      <w:r>
        <w:rPr>
          <w:rFonts w:ascii="Arial" w:hAnsi="Arial" w:cs="Arial"/>
          <w:sz w:val="20"/>
          <w:szCs w:val="20"/>
        </w:rPr>
        <w:t>“ – označuje povinný zákaz.</w:t>
      </w:r>
    </w:p>
    <w:p w14:paraId="4358F5EF" w14:textId="77777777" w:rsidR="00517431" w:rsidRDefault="00150791">
      <w:pPr>
        <w:spacing w:after="0"/>
        <w:ind w:left="708" w:right="8"/>
        <w:rPr>
          <w:rFonts w:ascii="Arial" w:hAnsi="Arial" w:cs="Arial"/>
          <w:sz w:val="20"/>
          <w:szCs w:val="20"/>
        </w:rPr>
      </w:pPr>
      <w:r>
        <w:rPr>
          <w:rFonts w:ascii="Arial" w:hAnsi="Arial" w:cs="Arial"/>
          <w:sz w:val="20"/>
          <w:szCs w:val="20"/>
        </w:rPr>
        <w:t>„odporúča sa“ – označuje opatrenie, ktoré sa uplatní podľa rizika, technickej primeranosti , aplikovateľnej zmluvnej a technickej dokumentácie; ak jeho neuplatnenie môže zvýšiť riziko nad akceptovanú úroveň, vyžaduje sa schválená výnimka a kompenzačné opatrenie.</w:t>
      </w:r>
    </w:p>
    <w:p w14:paraId="46DF9915" w14:textId="77777777" w:rsidR="00517431" w:rsidRDefault="00150791">
      <w:pPr>
        <w:spacing w:after="0"/>
        <w:ind w:left="708" w:right="8"/>
        <w:rPr>
          <w:rFonts w:ascii="Arial" w:hAnsi="Arial" w:cs="Arial"/>
          <w:sz w:val="20"/>
          <w:szCs w:val="20"/>
        </w:rPr>
      </w:pPr>
      <w:r>
        <w:rPr>
          <w:rFonts w:ascii="Arial" w:hAnsi="Arial" w:cs="Arial"/>
          <w:sz w:val="20"/>
          <w:szCs w:val="20"/>
        </w:rPr>
        <w:t>Výrazy „</w:t>
      </w:r>
      <w:r>
        <w:rPr>
          <w:rFonts w:ascii="Arial" w:hAnsi="Arial" w:cs="Arial"/>
          <w:b/>
          <w:bCs/>
          <w:color w:val="FFC000" w:themeColor="accent4"/>
          <w:sz w:val="20"/>
          <w:szCs w:val="20"/>
        </w:rPr>
        <w:t>malo by</w:t>
      </w:r>
      <w:r>
        <w:rPr>
          <w:rFonts w:ascii="Arial" w:hAnsi="Arial" w:cs="Arial"/>
          <w:sz w:val="20"/>
          <w:szCs w:val="20"/>
        </w:rPr>
        <w:t>“ a „</w:t>
      </w:r>
      <w:r>
        <w:rPr>
          <w:rFonts w:ascii="Arial" w:hAnsi="Arial" w:cs="Arial"/>
          <w:b/>
          <w:bCs/>
          <w:color w:val="FFC000" w:themeColor="accent4"/>
          <w:sz w:val="20"/>
          <w:szCs w:val="20"/>
        </w:rPr>
        <w:t>nemalo by</w:t>
      </w:r>
      <w:r>
        <w:rPr>
          <w:rFonts w:ascii="Arial" w:hAnsi="Arial" w:cs="Arial"/>
          <w:sz w:val="20"/>
          <w:szCs w:val="20"/>
        </w:rPr>
        <w:t>“, ak sa v prevzatom technickom texte výnimočne použijú, sa vykladajú rovnako ako „</w:t>
      </w:r>
      <w:r>
        <w:rPr>
          <w:rFonts w:ascii="Arial" w:hAnsi="Arial" w:cs="Arial"/>
          <w:color w:val="70AD47" w:themeColor="accent6"/>
          <w:sz w:val="20"/>
          <w:szCs w:val="20"/>
        </w:rPr>
        <w:t>odporúča sa</w:t>
      </w:r>
      <w:r>
        <w:rPr>
          <w:rFonts w:ascii="Arial" w:hAnsi="Arial" w:cs="Arial"/>
          <w:sz w:val="20"/>
          <w:szCs w:val="20"/>
        </w:rPr>
        <w:t>“ alebo „</w:t>
      </w:r>
      <w:r>
        <w:rPr>
          <w:rFonts w:ascii="Arial" w:hAnsi="Arial" w:cs="Arial"/>
          <w:b/>
          <w:bCs/>
          <w:color w:val="70AD47" w:themeColor="accent6"/>
          <w:sz w:val="20"/>
          <w:szCs w:val="20"/>
        </w:rPr>
        <w:t>neodporúča sa</w:t>
      </w:r>
      <w:r>
        <w:rPr>
          <w:rFonts w:ascii="Arial" w:hAnsi="Arial" w:cs="Arial"/>
          <w:sz w:val="20"/>
          <w:szCs w:val="20"/>
        </w:rPr>
        <w:t>“; neobmedzujú však povinnosť splniť požiadavku označenú ako povinnú.</w:t>
      </w:r>
    </w:p>
    <w:p w14:paraId="0B008A82" w14:textId="77777777" w:rsidR="00517431" w:rsidRDefault="00150791">
      <w:pPr>
        <w:spacing w:after="0"/>
        <w:ind w:left="708" w:right="8"/>
        <w:rPr>
          <w:rFonts w:ascii="Arial" w:hAnsi="Arial" w:cs="Arial"/>
          <w:sz w:val="20"/>
          <w:szCs w:val="20"/>
        </w:rPr>
      </w:pPr>
      <w:r>
        <w:rPr>
          <w:rFonts w:ascii="Arial" w:hAnsi="Arial" w:cs="Arial"/>
          <w:sz w:val="20"/>
          <w:szCs w:val="20"/>
        </w:rPr>
        <w:t>Implementačná náročnosť, licenčné obmedzenie alebo vlastnosť štandardného produktu samy osebe nie sú dôvodom na neuplatnenie povinnej požiadavky.</w:t>
      </w:r>
    </w:p>
    <w:p w14:paraId="2ECE4278" w14:textId="77777777" w:rsidR="00517431" w:rsidRDefault="00150791">
      <w:pPr>
        <w:spacing w:after="0"/>
        <w:ind w:left="-5" w:right="8"/>
        <w:rPr>
          <w:rFonts w:ascii="Arial" w:hAnsi="Arial" w:cs="Arial"/>
          <w:sz w:val="20"/>
          <w:szCs w:val="20"/>
        </w:rPr>
      </w:pPr>
      <w:r>
        <w:rPr>
          <w:rFonts w:ascii="Arial" w:hAnsi="Arial" w:cs="Arial"/>
          <w:sz w:val="20"/>
          <w:szCs w:val="20"/>
        </w:rPr>
        <w:t>Ak sa požiadavka neuplatní, dodávateľ postupuje podľa režimu výnimiek, kompenzačných opatrení a akceptácie reziduálneho rizika upraveného Kyberzmluvou .</w:t>
      </w:r>
    </w:p>
    <w:p w14:paraId="39D8B3A3" w14:textId="77777777" w:rsidR="00517431" w:rsidRDefault="00150791">
      <w:pPr>
        <w:tabs>
          <w:tab w:val="center" w:pos="4432"/>
        </w:tabs>
        <w:spacing w:after="0" w:line="264" w:lineRule="auto"/>
        <w:ind w:left="-15"/>
        <w:rPr>
          <w:rFonts w:ascii="Arial" w:hAnsi="Arial" w:cs="Arial"/>
          <w:sz w:val="20"/>
          <w:szCs w:val="20"/>
        </w:rPr>
      </w:pPr>
      <w:r>
        <w:rPr>
          <w:rFonts w:ascii="Arial" w:hAnsi="Arial" w:cs="Arial"/>
          <w:sz w:val="20"/>
          <w:szCs w:val="20"/>
        </w:rPr>
        <w:t>Výklad záväznosti požiadaviek sa uplatňuje aj na sumárne tabuľky a logovací profil.</w:t>
      </w:r>
    </w:p>
    <w:p w14:paraId="497036FA" w14:textId="77777777" w:rsidR="00517431" w:rsidRDefault="00150791">
      <w:pPr>
        <w:numPr>
          <w:ilvl w:val="1"/>
          <w:numId w:val="4"/>
        </w:numPr>
        <w:spacing w:after="0"/>
        <w:ind w:hanging="360"/>
        <w:rPr>
          <w:rFonts w:ascii="Arial" w:hAnsi="Arial" w:cs="Arial"/>
          <w:sz w:val="20"/>
          <w:szCs w:val="20"/>
        </w:rPr>
      </w:pPr>
      <w:r>
        <w:rPr>
          <w:rFonts w:ascii="Arial" w:hAnsi="Arial" w:cs="Arial"/>
          <w:sz w:val="20"/>
          <w:szCs w:val="20"/>
        </w:rPr>
        <w:t>Konkrétnejšia požiadavka uvedená v zmluve na výkon činností, jej prílohe, technickej špecifikácii alebo schválenom logovacom profile má prednosť pred všeobecným minimom tohto štandardu, ak neurčuje nižšiu úroveň ochrany bez schválenej výnimky.</w:t>
      </w:r>
    </w:p>
    <w:p w14:paraId="70F9E896" w14:textId="77777777" w:rsidR="00517431" w:rsidRDefault="00150791">
      <w:pPr>
        <w:numPr>
          <w:ilvl w:val="1"/>
          <w:numId w:val="4"/>
        </w:numPr>
        <w:spacing w:after="0" w:line="264" w:lineRule="auto"/>
        <w:ind w:hanging="360"/>
        <w:rPr>
          <w:rFonts w:ascii="Arial" w:hAnsi="Arial" w:cs="Arial"/>
          <w:sz w:val="20"/>
          <w:szCs w:val="20"/>
        </w:rPr>
      </w:pPr>
      <w:r>
        <w:rPr>
          <w:rFonts w:ascii="Arial" w:hAnsi="Arial" w:cs="Arial"/>
          <w:sz w:val="20"/>
          <w:szCs w:val="20"/>
        </w:rPr>
        <w:t>Schválenie výnimky nezbavuje dodávateľa povinnosti splniť právne záväznú požiadavku.</w:t>
      </w:r>
    </w:p>
    <w:p w14:paraId="3E5CC58B" w14:textId="77777777" w:rsidR="00517431" w:rsidRDefault="00517431">
      <w:pPr>
        <w:spacing w:after="0" w:line="264" w:lineRule="auto"/>
        <w:rPr>
          <w:rFonts w:ascii="Arial" w:hAnsi="Arial" w:cs="Arial"/>
          <w:sz w:val="20"/>
          <w:szCs w:val="20"/>
        </w:rPr>
      </w:pPr>
    </w:p>
    <w:p w14:paraId="08133380" w14:textId="77777777" w:rsidR="00517431" w:rsidRDefault="00150791">
      <w:pPr>
        <w:pStyle w:val="Nadpis1"/>
        <w:spacing w:before="0"/>
        <w:rPr>
          <w:rFonts w:ascii="Arial" w:hAnsi="Arial" w:cs="Arial"/>
          <w:b/>
          <w:bCs/>
          <w:sz w:val="20"/>
          <w:szCs w:val="20"/>
        </w:rPr>
      </w:pPr>
      <w:bookmarkStart w:id="13" w:name="__RefHeading___Toc1453_3859580398"/>
      <w:bookmarkEnd w:id="13"/>
      <w:r>
        <w:rPr>
          <w:rFonts w:ascii="Arial" w:hAnsi="Arial" w:cs="Arial"/>
          <w:b/>
          <w:bCs/>
          <w:sz w:val="20"/>
          <w:szCs w:val="20"/>
        </w:rPr>
        <w:t>Zoznam skratiek a pojmov</w:t>
      </w:r>
    </w:p>
    <w:p w14:paraId="63AB6C58" w14:textId="77777777" w:rsidR="00517431" w:rsidRDefault="00150791">
      <w:r>
        <w:t xml:space="preserve">Na účely tohto štandardu majú pojmy a skratky význam podľa </w:t>
      </w:r>
      <w:proofErr w:type="spellStart"/>
      <w:r>
        <w:t>Kyberzmluvy</w:t>
      </w:r>
      <w:proofErr w:type="spellEnd"/>
      <w:r>
        <w:t>, Prílohy č. 1, Prílohy č. 2, zákona o kybernetickej bezpečnosti, zákona o ITVS a ich vykonávacích predpisov; osobitne sa používajú tieto pojmy:</w:t>
      </w:r>
    </w:p>
    <w:p w14:paraId="42686AAC" w14:textId="77777777" w:rsidR="00517431" w:rsidRDefault="00150791">
      <w:r>
        <w:rPr>
          <w:b/>
          <w:bCs/>
        </w:rPr>
        <w:t>AI</w:t>
      </w:r>
      <w:r>
        <w:t xml:space="preserve"> – umelá inteligencia alebo systém alebo funkcionalita založená na modeloch umelej inteligencie.</w:t>
      </w:r>
    </w:p>
    <w:p w14:paraId="3AD1283E" w14:textId="77777777" w:rsidR="00517431" w:rsidRDefault="00150791">
      <w:r>
        <w:rPr>
          <w:b/>
          <w:bCs/>
        </w:rPr>
        <w:t>API</w:t>
      </w:r>
      <w:r>
        <w:t xml:space="preserve"> – aplikačné programové rozhranie.</w:t>
      </w:r>
    </w:p>
    <w:p w14:paraId="0501B19D" w14:textId="77777777" w:rsidR="00517431" w:rsidRDefault="00150791">
      <w:r>
        <w:rPr>
          <w:b/>
          <w:bCs/>
        </w:rPr>
        <w:t>CSIRT</w:t>
      </w:r>
      <w:r>
        <w:t xml:space="preserve"> – tím na riešenie kybernetických bezpečnostných incidentov.</w:t>
      </w:r>
    </w:p>
    <w:p w14:paraId="2D077468" w14:textId="77777777" w:rsidR="00517431" w:rsidRDefault="00150791">
      <w:r>
        <w:rPr>
          <w:b/>
          <w:bCs/>
        </w:rPr>
        <w:t>IAM</w:t>
      </w:r>
      <w:r>
        <w:t xml:space="preserve"> – riadenie identít a prístupových oprávnení.</w:t>
      </w:r>
    </w:p>
    <w:p w14:paraId="12097F3E" w14:textId="77777777" w:rsidR="00517431" w:rsidRDefault="00150791">
      <w:r>
        <w:rPr>
          <w:b/>
          <w:bCs/>
        </w:rPr>
        <w:t>ICS/OT</w:t>
      </w:r>
      <w:r>
        <w:t xml:space="preserve"> – priemyselné riadiace systémy a prevádzkové technológie.</w:t>
      </w:r>
    </w:p>
    <w:p w14:paraId="11632F9D" w14:textId="77777777" w:rsidR="00517431" w:rsidRDefault="00150791">
      <w:proofErr w:type="spellStart"/>
      <w:r>
        <w:rPr>
          <w:b/>
          <w:bCs/>
        </w:rPr>
        <w:t>IoT</w:t>
      </w:r>
      <w:proofErr w:type="spellEnd"/>
      <w:r>
        <w:t xml:space="preserve"> – internet vecí; prepojené zariadenia a snímače komunikujúce prostredníctvom siete.</w:t>
      </w:r>
    </w:p>
    <w:p w14:paraId="25265575" w14:textId="77777777" w:rsidR="00517431" w:rsidRDefault="00150791">
      <w:r>
        <w:rPr>
          <w:b/>
          <w:bCs/>
        </w:rPr>
        <w:t>KMS</w:t>
      </w:r>
      <w:r>
        <w:t xml:space="preserve"> – systém riadenia kryptografických kľúčov.</w:t>
      </w:r>
    </w:p>
    <w:p w14:paraId="4AA91E8E" w14:textId="77777777" w:rsidR="00517431" w:rsidRDefault="00150791">
      <w:r>
        <w:rPr>
          <w:b/>
          <w:bCs/>
        </w:rPr>
        <w:t>KPI</w:t>
      </w:r>
      <w:r>
        <w:t xml:space="preserve"> – kľúčový ukazovateľ výkonnosti alebo kvality procesu.</w:t>
      </w:r>
    </w:p>
    <w:p w14:paraId="5505F823" w14:textId="77777777" w:rsidR="00517431" w:rsidRDefault="00150791">
      <w:r>
        <w:rPr>
          <w:b/>
          <w:bCs/>
        </w:rPr>
        <w:t>MFA</w:t>
      </w:r>
      <w:r>
        <w:t xml:space="preserve"> – viacfaktorová autentifikácia.</w:t>
      </w:r>
    </w:p>
    <w:p w14:paraId="610D4CA6" w14:textId="77777777" w:rsidR="00517431" w:rsidRDefault="00150791">
      <w:r>
        <w:rPr>
          <w:b/>
          <w:bCs/>
        </w:rPr>
        <w:t>MTTA</w:t>
      </w:r>
      <w:r>
        <w:t xml:space="preserve"> – priemerný čas od vzniku upozornenia po jeho prevzatie na spracovanie.</w:t>
      </w:r>
    </w:p>
    <w:p w14:paraId="564278C2" w14:textId="77777777" w:rsidR="00517431" w:rsidRDefault="00150791">
      <w:r>
        <w:rPr>
          <w:b/>
          <w:bCs/>
        </w:rPr>
        <w:t>MTTD</w:t>
      </w:r>
      <w:r>
        <w:t xml:space="preserve"> – priemerný čas od vzniku udalosti po jej detekciu.</w:t>
      </w:r>
    </w:p>
    <w:p w14:paraId="4F1F9F5D" w14:textId="77777777" w:rsidR="00517431" w:rsidRDefault="00150791">
      <w:r>
        <w:rPr>
          <w:b/>
          <w:bCs/>
        </w:rPr>
        <w:t>NTP</w:t>
      </w:r>
      <w:r>
        <w:t xml:space="preserve"> – sieťový protokol na synchronizáciu času zariadení a systémov.</w:t>
      </w:r>
    </w:p>
    <w:p w14:paraId="0B319A6A" w14:textId="77777777" w:rsidR="00517431" w:rsidRDefault="00150791">
      <w:r>
        <w:rPr>
          <w:b/>
          <w:bCs/>
        </w:rPr>
        <w:t>PAM</w:t>
      </w:r>
      <w:r>
        <w:t xml:space="preserve"> – riadenie privilegovaných prístupov a účtov.</w:t>
      </w:r>
    </w:p>
    <w:p w14:paraId="08FD9001" w14:textId="77777777" w:rsidR="00517431" w:rsidRDefault="00150791">
      <w:r>
        <w:rPr>
          <w:b/>
          <w:bCs/>
        </w:rPr>
        <w:t>SIEM</w:t>
      </w:r>
      <w:r>
        <w:t xml:space="preserve"> – systém centralizovaného zberu, normalizácie, korelácie a vyhodnocovania bezpečnostných udalostí a logov.</w:t>
      </w:r>
    </w:p>
    <w:p w14:paraId="028A3263" w14:textId="77777777" w:rsidR="00517431" w:rsidRDefault="00150791">
      <w:r>
        <w:rPr>
          <w:b/>
          <w:bCs/>
        </w:rPr>
        <w:t>SLA</w:t>
      </w:r>
      <w:r>
        <w:t xml:space="preserve"> – dohodnutá úroveň služby alebo záväzná lehota reakcie a vyriešenia.</w:t>
      </w:r>
    </w:p>
    <w:p w14:paraId="0ABBA00A" w14:textId="77777777" w:rsidR="00517431" w:rsidRDefault="00150791">
      <w:r>
        <w:rPr>
          <w:b/>
          <w:bCs/>
        </w:rPr>
        <w:t>SOC</w:t>
      </w:r>
      <w:r>
        <w:t xml:space="preserve"> – bezpečnostné operačné centrum zabezpečujúce monitorovanie, detekciu a reakciu.</w:t>
      </w:r>
    </w:p>
    <w:p w14:paraId="5AF74938" w14:textId="77777777" w:rsidR="00517431" w:rsidRDefault="00150791">
      <w:r>
        <w:rPr>
          <w:b/>
          <w:bCs/>
        </w:rPr>
        <w:lastRenderedPageBreak/>
        <w:t>UTC</w:t>
      </w:r>
      <w:r>
        <w:t xml:space="preserve"> – koordinovaný svetový čas.</w:t>
      </w:r>
    </w:p>
    <w:p w14:paraId="5BC0D2E8" w14:textId="77777777" w:rsidR="00517431" w:rsidRDefault="00150791">
      <w:r>
        <w:rPr>
          <w:b/>
          <w:bCs/>
        </w:rPr>
        <w:t>WORM</w:t>
      </w:r>
      <w:r>
        <w:t xml:space="preserve"> – režim uloženia, v ktorom možno údaje zapísať, ale počas retenčnej lehoty ich nemožno meniť ani vymazať.</w:t>
      </w:r>
    </w:p>
    <w:p w14:paraId="23517BA1" w14:textId="77777777" w:rsidR="00517431" w:rsidRDefault="00150791">
      <w:r>
        <w:rPr>
          <w:b/>
          <w:bCs/>
        </w:rPr>
        <w:t>Bezpečnostné upozornenie</w:t>
      </w:r>
      <w:r>
        <w:t xml:space="preserve"> – upozornenie vytvorené na základe pravidla, korelácie, anomálie alebo iného detekčného mechanizmu, ktoré vyžaduje vyhodnotenie a prípadnú reakciu.</w:t>
      </w:r>
    </w:p>
    <w:p w14:paraId="08009C5E" w14:textId="77777777" w:rsidR="00517431" w:rsidRDefault="00150791">
      <w:r>
        <w:rPr>
          <w:b/>
          <w:bCs/>
        </w:rPr>
        <w:t>Detekčný scenár</w:t>
      </w:r>
      <w:r>
        <w:t xml:space="preserve"> – zdokumentovaná kombinácia zdrojov, podmienok, pravidiel, priorít, lehôt a postupu reakcie na konkrétny typ hrozby.</w:t>
      </w:r>
    </w:p>
    <w:p w14:paraId="1A7B8390" w14:textId="77777777" w:rsidR="00517431" w:rsidRDefault="00150791">
      <w:r>
        <w:rPr>
          <w:b/>
          <w:bCs/>
        </w:rPr>
        <w:t>Dočasná vyrovnávacia pamäť</w:t>
      </w:r>
      <w:r>
        <w:t xml:space="preserve"> – chránené lokálne úložisko logov používané počas dočasnej nedostupnosti centrálneho zberu.</w:t>
      </w:r>
    </w:p>
    <w:p w14:paraId="0F72F4BF" w14:textId="77777777" w:rsidR="00517431" w:rsidRDefault="00150791">
      <w:r>
        <w:rPr>
          <w:b/>
          <w:bCs/>
        </w:rPr>
        <w:t>Falošne negatívny výsledok</w:t>
      </w:r>
      <w:r>
        <w:t xml:space="preserve"> – stav, keď existujúca škodlivá alebo nežiaduca udalosť nie je detegovaná.</w:t>
      </w:r>
    </w:p>
    <w:p w14:paraId="4823F729" w14:textId="77777777" w:rsidR="00517431" w:rsidRDefault="00150791">
      <w:r>
        <w:rPr>
          <w:b/>
          <w:bCs/>
        </w:rPr>
        <w:t>Falošne pozitívny výsledok</w:t>
      </w:r>
      <w:r>
        <w:t xml:space="preserve"> – stav, keď je legitímna udalosť nesprávne vyhodnotená ako bezpečnostný problém.</w:t>
      </w:r>
    </w:p>
    <w:p w14:paraId="26CDCD71" w14:textId="77777777" w:rsidR="00517431" w:rsidRDefault="00150791">
      <w:r>
        <w:rPr>
          <w:b/>
          <w:bCs/>
        </w:rPr>
        <w:t>Identifikátor korelácie alebo sledovania</w:t>
      </w:r>
      <w:r>
        <w:t xml:space="preserve"> – jedinečný údaj prepájajúci udalosti tej istej transakcie, relácie alebo distribuovanej požiadavky.</w:t>
      </w:r>
    </w:p>
    <w:p w14:paraId="404F30F5" w14:textId="77777777" w:rsidR="00517431" w:rsidRDefault="00150791">
      <w:r>
        <w:rPr>
          <w:b/>
          <w:bCs/>
        </w:rPr>
        <w:t>Kontrola integrity</w:t>
      </w:r>
      <w:r>
        <w:t xml:space="preserve"> – kryptografické alebo technické overenie, že log alebo export nebol neoprávnene zmenený.</w:t>
      </w:r>
    </w:p>
    <w:p w14:paraId="3915F6BA" w14:textId="77777777" w:rsidR="00517431" w:rsidRDefault="00150791">
      <w:proofErr w:type="spellStart"/>
      <w:r>
        <w:rPr>
          <w:b/>
          <w:bCs/>
        </w:rPr>
        <w:t>Kyberzmluva</w:t>
      </w:r>
      <w:proofErr w:type="spellEnd"/>
      <w:r>
        <w:t xml:space="preserve"> – Zmluva o zabezpečení plnenia bezpečnostných opatrení a notifikačných povinností, ku ktorej je tento štandard prílohou.</w:t>
      </w:r>
    </w:p>
    <w:p w14:paraId="1AA7219A" w14:textId="77777777" w:rsidR="00517431" w:rsidRDefault="00150791">
      <w:r>
        <w:rPr>
          <w:b/>
          <w:bCs/>
        </w:rPr>
        <w:t>Log</w:t>
      </w:r>
      <w:r>
        <w:t xml:space="preserve"> – časovo označený prevádzkový alebo bezpečnostný záznam vytvorený systémom, službou, zariadením, aplikáciou alebo bezpečnostným nástrojom.</w:t>
      </w:r>
    </w:p>
    <w:p w14:paraId="18C0D73B" w14:textId="77777777" w:rsidR="00517431" w:rsidRDefault="00150791">
      <w:r>
        <w:rPr>
          <w:b/>
          <w:bCs/>
        </w:rPr>
        <w:t>Logovací profil</w:t>
      </w:r>
      <w:r>
        <w:t xml:space="preserve"> – schválená špecifikácia zdrojov logov, udalostí, polí, formátov, prenosu, ochrany, online dostupnosti, </w:t>
      </w:r>
      <w:proofErr w:type="spellStart"/>
      <w:r>
        <w:t>retencie</w:t>
      </w:r>
      <w:proofErr w:type="spellEnd"/>
      <w:r>
        <w:t>, detekčných scenárov a zodpovedností pre konkrétny systém alebo službu.</w:t>
      </w:r>
    </w:p>
    <w:p w14:paraId="390DB472" w14:textId="77777777" w:rsidR="00517431" w:rsidRDefault="00150791">
      <w:r>
        <w:rPr>
          <w:b/>
          <w:bCs/>
        </w:rPr>
        <w:t>Logovací reťazec</w:t>
      </w:r>
      <w:r>
        <w:t xml:space="preserve"> – súbor zdrojov, agentov, prenosových prvkov, syntaktických analyzátorov a úložísk zabezpečujúcich tok logov do centrálnej platformy.</w:t>
      </w:r>
    </w:p>
    <w:p w14:paraId="5DD0543A" w14:textId="77777777" w:rsidR="00517431" w:rsidRDefault="00150791">
      <w:r>
        <w:rPr>
          <w:b/>
          <w:bCs/>
        </w:rPr>
        <w:t>Maskovanie</w:t>
      </w:r>
      <w:r>
        <w:t xml:space="preserve"> – čiastočné zakrytie citlivej hodnoty pri zachovaní obmedzenej identifikačnej informácie.</w:t>
      </w:r>
    </w:p>
    <w:p w14:paraId="1C3C149B" w14:textId="77777777" w:rsidR="00517431" w:rsidRDefault="00150791">
      <w:r>
        <w:rPr>
          <w:b/>
          <w:bCs/>
        </w:rPr>
        <w:t>Obsah správy</w:t>
      </w:r>
      <w:r>
        <w:t xml:space="preserve"> – vlastný obsah požiadavky, odpovede alebo správy prenášanej protokolom alebo API.</w:t>
      </w:r>
    </w:p>
    <w:p w14:paraId="47EF487D" w14:textId="77777777" w:rsidR="00517431" w:rsidRDefault="00150791">
      <w:r>
        <w:rPr>
          <w:b/>
          <w:bCs/>
        </w:rPr>
        <w:t>Oneskorenie príjmu</w:t>
      </w:r>
      <w:r>
        <w:t xml:space="preserve"> – čas medzi vznikom udalosti a jej prijatím centrálnou logovacou alebo SIEM platformou.</w:t>
      </w:r>
    </w:p>
    <w:p w14:paraId="41BCB681" w14:textId="77777777" w:rsidR="00517431" w:rsidRDefault="00150791">
      <w:r>
        <w:rPr>
          <w:b/>
          <w:bCs/>
        </w:rPr>
        <w:t>Online dostupnosť</w:t>
      </w:r>
      <w:r>
        <w:t xml:space="preserve"> – obdobie, počas ktorého sú logy bezprostredne </w:t>
      </w:r>
      <w:proofErr w:type="spellStart"/>
      <w:r>
        <w:t>vyhľadateľné</w:t>
      </w:r>
      <w:proofErr w:type="spellEnd"/>
      <w:r>
        <w:t xml:space="preserve"> a dostupné na analýzu bez potreby obnovy z archívu.</w:t>
      </w:r>
    </w:p>
    <w:p w14:paraId="7FB25D8F" w14:textId="77777777" w:rsidR="00517431" w:rsidRDefault="00150791">
      <w:r>
        <w:rPr>
          <w:b/>
          <w:bCs/>
        </w:rPr>
        <w:t>Pozastavenie výmazu a uchovanie dôkazov</w:t>
      </w:r>
      <w:r>
        <w:t xml:space="preserve"> – opatrenie, ktorým sa zastaví automatický výmaz alebo rotácia relevantných logov a dôkazov.</w:t>
      </w:r>
    </w:p>
    <w:p w14:paraId="78BC29F6" w14:textId="77777777" w:rsidR="00517431" w:rsidRDefault="00150791">
      <w:r>
        <w:rPr>
          <w:b/>
          <w:bCs/>
        </w:rPr>
        <w:t>Redakcia údajov</w:t>
      </w:r>
      <w:r>
        <w:t xml:space="preserve"> – odstránenie alebo nahradenie citlivej časti hodnoty pred jej uložením alebo sprístupnením.</w:t>
      </w:r>
    </w:p>
    <w:p w14:paraId="65A2BBAD" w14:textId="77777777" w:rsidR="00517431" w:rsidRDefault="00150791">
      <w:r>
        <w:rPr>
          <w:b/>
          <w:bCs/>
        </w:rPr>
        <w:lastRenderedPageBreak/>
        <w:t>Reťazec nakladania s dôkazmi</w:t>
      </w:r>
      <w:r>
        <w:t xml:space="preserve"> – evidencia získania, prenosu, uloženia, sprístupnenia a každej manipulácie s dôkazom.</w:t>
      </w:r>
    </w:p>
    <w:p w14:paraId="2F06B8AF" w14:textId="77777777" w:rsidR="00517431" w:rsidRDefault="00150791">
      <w:proofErr w:type="spellStart"/>
      <w:r>
        <w:rPr>
          <w:b/>
          <w:bCs/>
        </w:rPr>
        <w:t>Retencia</w:t>
      </w:r>
      <w:proofErr w:type="spellEnd"/>
      <w:r>
        <w:t xml:space="preserve"> – určená doba uchovávania logov vrátane online dostupnej a archívnej časti.</w:t>
      </w:r>
    </w:p>
    <w:p w14:paraId="2FE7ED70" w14:textId="77777777" w:rsidR="00517431" w:rsidRDefault="00150791">
      <w:r>
        <w:rPr>
          <w:b/>
          <w:bCs/>
        </w:rPr>
        <w:t>Syntaktický analyzátor</w:t>
      </w:r>
      <w:r>
        <w:t xml:space="preserve"> – komponent, ktorý rozpoznáva štruktúru logu a prevádza jeho polia do jednotnej schémy.</w:t>
      </w:r>
    </w:p>
    <w:p w14:paraId="6F8CAFAF" w14:textId="77777777" w:rsidR="00517431" w:rsidRDefault="00150791">
      <w:r>
        <w:rPr>
          <w:b/>
          <w:bCs/>
        </w:rPr>
        <w:t>Stavový signál zdroja</w:t>
      </w:r>
      <w:r>
        <w:t xml:space="preserve"> – pravidelná správa potvrdzujúca dostupnosť a funkčnosť zdroja logov alebo zberného komponentu.</w:t>
      </w:r>
    </w:p>
    <w:p w14:paraId="033CD027" w14:textId="77777777" w:rsidR="00517431" w:rsidRDefault="00150791">
      <w:proofErr w:type="spellStart"/>
      <w:r>
        <w:rPr>
          <w:b/>
          <w:bCs/>
        </w:rPr>
        <w:t>Syslog</w:t>
      </w:r>
      <w:proofErr w:type="spellEnd"/>
      <w:r>
        <w:t xml:space="preserve"> – štandardný protokol a formát na prenos systémových a bezpečnostných záznamov.</w:t>
      </w:r>
    </w:p>
    <w:p w14:paraId="4F0A1A25" w14:textId="77777777" w:rsidR="00517431" w:rsidRDefault="00150791">
      <w:r>
        <w:rPr>
          <w:b/>
          <w:bCs/>
        </w:rPr>
        <w:t>Tokenizácia</w:t>
      </w:r>
      <w:r>
        <w:t xml:space="preserve"> – nahradenie citlivej hodnoty zástupným tokenom, ktorý bez osobitného mechanizmu neodhalí pôvodnú hodnotu.</w:t>
      </w:r>
    </w:p>
    <w:p w14:paraId="5199DD34" w14:textId="77777777" w:rsidR="00517431" w:rsidRDefault="00150791">
      <w:r>
        <w:rPr>
          <w:b/>
          <w:bCs/>
        </w:rPr>
        <w:t>Významná zmena logovania</w:t>
      </w:r>
      <w:r>
        <w:t xml:space="preserve"> – zmena zdroja, schémy, obsahu, prenosu, ochrany, </w:t>
      </w:r>
      <w:proofErr w:type="spellStart"/>
      <w:r>
        <w:t>retencie</w:t>
      </w:r>
      <w:proofErr w:type="spellEnd"/>
      <w:r>
        <w:t>, syntaktického spracovania alebo detekčného scenára, ktorá môže ovplyvniť detekčnú, auditnú alebo dôkaznú schopnosť.</w:t>
      </w:r>
    </w:p>
    <w:p w14:paraId="16C7E39E" w14:textId="77777777" w:rsidR="00517431" w:rsidRDefault="00150791">
      <w:r>
        <w:rPr>
          <w:b/>
          <w:bCs/>
        </w:rPr>
        <w:t>Zdroj logov</w:t>
      </w:r>
      <w:r>
        <w:t xml:space="preserve"> – systém, zariadenie, služba, aplikácia, identita alebo komponent, ktorý vytvára alebo sprostredkúva logy.</w:t>
      </w:r>
    </w:p>
    <w:p w14:paraId="0D73E211" w14:textId="77777777" w:rsidR="00517431" w:rsidRDefault="00150791">
      <w:pPr>
        <w:pStyle w:val="Nadpis1"/>
        <w:spacing w:before="0"/>
        <w:ind w:right="90"/>
        <w:rPr>
          <w:rFonts w:ascii="Arial" w:hAnsi="Arial" w:cs="Arial"/>
          <w:b/>
          <w:bCs/>
          <w:sz w:val="20"/>
          <w:szCs w:val="20"/>
        </w:rPr>
      </w:pPr>
      <w:bookmarkStart w:id="14" w:name="__RefHeading___Toc6231_3891905039"/>
      <w:bookmarkStart w:id="15" w:name="_Toc235216525"/>
      <w:bookmarkEnd w:id="14"/>
      <w:r>
        <w:rPr>
          <w:rFonts w:ascii="Arial" w:hAnsi="Arial" w:cs="Arial"/>
          <w:b/>
          <w:bCs/>
          <w:sz w:val="20"/>
          <w:szCs w:val="20"/>
        </w:rPr>
        <w:t>1. Požiadavky na logovanie</w:t>
      </w:r>
      <w:bookmarkEnd w:id="15"/>
    </w:p>
    <w:p w14:paraId="31B46C76" w14:textId="77777777" w:rsidR="00517431" w:rsidRDefault="00150791">
      <w:pPr>
        <w:pStyle w:val="Nadpis2"/>
        <w:spacing w:before="0"/>
        <w:rPr>
          <w:rFonts w:ascii="Arial" w:hAnsi="Arial" w:cs="Arial"/>
          <w:b/>
          <w:bCs/>
          <w:sz w:val="20"/>
          <w:szCs w:val="20"/>
        </w:rPr>
      </w:pPr>
      <w:bookmarkStart w:id="16" w:name="__RefHeading___Toc6235_3891905039"/>
      <w:bookmarkStart w:id="17" w:name="_Toc235216526"/>
      <w:bookmarkEnd w:id="16"/>
      <w:r>
        <w:rPr>
          <w:rFonts w:ascii="Arial" w:hAnsi="Arial" w:cs="Arial"/>
          <w:b/>
          <w:bCs/>
          <w:sz w:val="20"/>
          <w:szCs w:val="20"/>
        </w:rPr>
        <w:t>1.1 Návrh logovania a zodpovednosti</w:t>
      </w:r>
      <w:bookmarkEnd w:id="17"/>
    </w:p>
    <w:p w14:paraId="71B1ACE0" w14:textId="77777777" w:rsidR="00517431" w:rsidRPr="00B61DEF" w:rsidRDefault="00150791" w:rsidP="00B61DEF">
      <w:pPr>
        <w:pStyle w:val="Odsekzoznamu"/>
        <w:numPr>
          <w:ilvl w:val="0"/>
          <w:numId w:val="17"/>
        </w:numPr>
        <w:spacing w:after="0"/>
        <w:rPr>
          <w:rFonts w:ascii="Arial" w:hAnsi="Arial" w:cs="Arial"/>
          <w:sz w:val="20"/>
          <w:szCs w:val="20"/>
        </w:rPr>
      </w:pPr>
      <w:r>
        <w:rPr>
          <w:rFonts w:ascii="Arial" w:hAnsi="Arial" w:cs="Arial"/>
          <w:sz w:val="20"/>
          <w:szCs w:val="20"/>
        </w:rPr>
        <w:t>Vlastník systému spolu s dodávateľom vypracuje a pred nasadením schváli logovací profil. Logovací profil je riadeným podkladom zmluvnej, projektovej, zmenovej alebo prevádzkovej dokumentácie a obsahuje najmenej zdroje logov, povinné udalosti a polia, formát a schému, časovú synchronizáciu, korelačné identifikátory, spôsob prenosu, dočasnú vyrovnávaciu pamäť, začlenenie do centrálneho systému správy prevádzkových záznamov alebo SIEM, syntaktické analyzátory, detekčné scenáre, bezpečnostné upozornenia a lehoty ich spracovania, prístupové roly, online dostupnosť, retenciu, kapacitu, ochranu integrity, zálohovanie, forenzný export, pozastavenie výmazu a uchovanie dôkazov a bezpečný výmaz.</w:t>
      </w:r>
    </w:p>
    <w:p w14:paraId="48420E8D" w14:textId="77777777" w:rsidR="00517431" w:rsidRPr="00B61DEF" w:rsidRDefault="00150791" w:rsidP="00B61DEF">
      <w:pPr>
        <w:pStyle w:val="Odsekzoznamu"/>
        <w:numPr>
          <w:ilvl w:val="0"/>
          <w:numId w:val="17"/>
        </w:numPr>
        <w:spacing w:after="0"/>
        <w:rPr>
          <w:rFonts w:ascii="Arial" w:hAnsi="Arial" w:cs="Arial"/>
          <w:sz w:val="20"/>
          <w:szCs w:val="20"/>
        </w:rPr>
      </w:pPr>
      <w:bookmarkStart w:id="18" w:name="_Toc235216528"/>
      <w:r w:rsidRPr="00B61DEF">
        <w:rPr>
          <w:rFonts w:ascii="Arial" w:hAnsi="Arial" w:cs="Arial"/>
          <w:sz w:val="20"/>
          <w:szCs w:val="20"/>
        </w:rPr>
        <w:t xml:space="preserve">Dodávateľ zodpovedá za úplnosť, presnosť, kvalitu, časovú správnosť a kontinuitu logov vytváraných jeho riešením. Bezodkladne oznámi prevádzkovateľovi výpadok logovania, prenosu alebo zberu, zmenu schémy alebo objemu, prekročenie kapacity, stratu integrity alebo inú skutočnosť, ktorá môže znížiť detekčnú, auditnú alebo dôkaznú schopnosť; ak má udalosť potenciálne významný dopad, postupuje aj podľa čl. VII </w:t>
      </w:r>
      <w:proofErr w:type="spellStart"/>
      <w:r w:rsidRPr="00B61DEF">
        <w:rPr>
          <w:rFonts w:ascii="Arial" w:hAnsi="Arial" w:cs="Arial"/>
          <w:sz w:val="20"/>
          <w:szCs w:val="20"/>
        </w:rPr>
        <w:t>Kyberzmluvy</w:t>
      </w:r>
      <w:proofErr w:type="spellEnd"/>
      <w:r w:rsidRPr="00B61DEF">
        <w:rPr>
          <w:rFonts w:ascii="Arial" w:hAnsi="Arial" w:cs="Arial"/>
          <w:sz w:val="20"/>
          <w:szCs w:val="20"/>
        </w:rPr>
        <w:t>. Zmena logovania je významnou zmenou a podlieha analýze dopadu, testovaniu a schváleniu.</w:t>
      </w:r>
      <w:bookmarkEnd w:id="18"/>
    </w:p>
    <w:p w14:paraId="293516C2" w14:textId="77777777" w:rsidR="00517431" w:rsidRDefault="00517431">
      <w:pPr>
        <w:pStyle w:val="Nadpis2"/>
        <w:spacing w:before="0"/>
        <w:rPr>
          <w:rFonts w:ascii="Arial" w:hAnsi="Arial" w:cs="Arial"/>
          <w:sz w:val="20"/>
          <w:szCs w:val="20"/>
        </w:rPr>
      </w:pPr>
      <w:bookmarkStart w:id="19" w:name="__RefHeading___Toc6237_3891905039"/>
      <w:bookmarkEnd w:id="19"/>
    </w:p>
    <w:p w14:paraId="74B6DAA7" w14:textId="77777777" w:rsidR="00517431" w:rsidRDefault="00150791">
      <w:pPr>
        <w:pStyle w:val="Nadpis2"/>
        <w:spacing w:before="0"/>
        <w:rPr>
          <w:rFonts w:ascii="Arial" w:hAnsi="Arial" w:cs="Arial"/>
          <w:b/>
          <w:bCs/>
          <w:sz w:val="20"/>
          <w:szCs w:val="20"/>
        </w:rPr>
      </w:pPr>
      <w:bookmarkStart w:id="20" w:name="__RefHeading___Toc1455_3859580398"/>
      <w:bookmarkStart w:id="21" w:name="_Toc235216529"/>
      <w:bookmarkEnd w:id="20"/>
      <w:r>
        <w:rPr>
          <w:rFonts w:ascii="Arial" w:hAnsi="Arial" w:cs="Arial"/>
          <w:b/>
          <w:bCs/>
          <w:sz w:val="20"/>
          <w:szCs w:val="20"/>
        </w:rPr>
        <w:t>1.2 Povinný obsah logov</w:t>
      </w:r>
      <w:bookmarkEnd w:id="21"/>
    </w:p>
    <w:p w14:paraId="25EF3221" w14:textId="77777777" w:rsidR="00517431" w:rsidRDefault="00150791">
      <w:pPr>
        <w:pStyle w:val="Odsekzoznamu"/>
        <w:numPr>
          <w:ilvl w:val="0"/>
          <w:numId w:val="11"/>
        </w:numPr>
        <w:spacing w:after="0"/>
        <w:ind w:right="8"/>
        <w:rPr>
          <w:rFonts w:ascii="Arial" w:hAnsi="Arial" w:cs="Arial"/>
          <w:sz w:val="20"/>
          <w:szCs w:val="20"/>
        </w:rPr>
      </w:pPr>
      <w:r>
        <w:rPr>
          <w:rFonts w:ascii="Arial" w:hAnsi="Arial" w:cs="Arial"/>
          <w:b/>
          <w:bCs/>
          <w:color w:val="EE0000"/>
          <w:sz w:val="20"/>
          <w:szCs w:val="20"/>
        </w:rPr>
        <w:t>Musí</w:t>
      </w:r>
      <w:r>
        <w:rPr>
          <w:rFonts w:ascii="Arial" w:hAnsi="Arial" w:cs="Arial"/>
          <w:color w:val="EE0000"/>
          <w:sz w:val="20"/>
          <w:szCs w:val="20"/>
        </w:rPr>
        <w:t xml:space="preserve"> </w:t>
      </w:r>
      <w:r>
        <w:rPr>
          <w:rFonts w:ascii="Arial" w:hAnsi="Arial" w:cs="Arial"/>
          <w:sz w:val="20"/>
          <w:szCs w:val="20"/>
        </w:rPr>
        <w:t xml:space="preserve">byť implementované logovanie všetkých bezpečnostne a prevádzkovo relevantných udalostí v rozsahu primeranom riziku. Logy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umožniť jednoznačne určiť, kto alebo ktorá služba vykonala akú činnosť, kedy, odkiaľ, voči ktorému aktívu a s akým výsledkom, vrátane neúspešných pokusov, zmien bezpečnostného stavu a udalostí potrebných na preukázanie súladu.</w:t>
      </w:r>
    </w:p>
    <w:p w14:paraId="6462E065" w14:textId="77777777" w:rsidR="00517431" w:rsidRDefault="00150791">
      <w:pPr>
        <w:pStyle w:val="Odsekzoznamu"/>
        <w:numPr>
          <w:ilvl w:val="0"/>
          <w:numId w:val="2"/>
        </w:numPr>
        <w:spacing w:after="0" w:line="271" w:lineRule="auto"/>
        <w:jc w:val="both"/>
        <w:rPr>
          <w:rFonts w:ascii="Arial" w:hAnsi="Arial" w:cs="Arial"/>
          <w:sz w:val="20"/>
          <w:szCs w:val="20"/>
        </w:rPr>
      </w:pPr>
      <w:r>
        <w:rPr>
          <w:rFonts w:ascii="Arial" w:hAnsi="Arial" w:cs="Arial"/>
          <w:sz w:val="20"/>
          <w:szCs w:val="20"/>
        </w:rPr>
        <w:t>úspešné a neúspešné autentifikácie, odhlásenia, zablokovania účtu, udalosti MFA, vydanie, použitie a zrušenie relácií alebo tokenov a zmeny autentifikačných prostriedkov,</w:t>
      </w:r>
    </w:p>
    <w:p w14:paraId="40477CAD" w14:textId="77777777" w:rsidR="00517431" w:rsidRDefault="00150791">
      <w:pPr>
        <w:pStyle w:val="Odsekzoznamu"/>
        <w:numPr>
          <w:ilvl w:val="0"/>
          <w:numId w:val="2"/>
        </w:numPr>
        <w:spacing w:after="0" w:line="271" w:lineRule="auto"/>
        <w:jc w:val="both"/>
        <w:rPr>
          <w:rFonts w:ascii="Arial" w:hAnsi="Arial" w:cs="Arial"/>
          <w:sz w:val="20"/>
          <w:szCs w:val="20"/>
        </w:rPr>
      </w:pPr>
      <w:r>
        <w:rPr>
          <w:rFonts w:ascii="Arial" w:hAnsi="Arial" w:cs="Arial"/>
          <w:sz w:val="20"/>
          <w:szCs w:val="20"/>
        </w:rPr>
        <w:t>vytvorenie, zmenu, deaktiváciu a zrušenie používateľských, servisných a systémových identít, skupín, rolí, oprávnení a členstiev,</w:t>
      </w:r>
    </w:p>
    <w:p w14:paraId="1186C79A" w14:textId="77777777" w:rsidR="00517431" w:rsidRDefault="00150791">
      <w:pPr>
        <w:pStyle w:val="Odsekzoznamu"/>
        <w:numPr>
          <w:ilvl w:val="0"/>
          <w:numId w:val="2"/>
        </w:numPr>
        <w:spacing w:after="0" w:line="271" w:lineRule="auto"/>
        <w:jc w:val="both"/>
        <w:rPr>
          <w:rFonts w:ascii="Arial" w:hAnsi="Arial" w:cs="Arial"/>
          <w:sz w:val="20"/>
          <w:szCs w:val="20"/>
        </w:rPr>
      </w:pPr>
      <w:r>
        <w:rPr>
          <w:rFonts w:ascii="Arial" w:hAnsi="Arial" w:cs="Arial"/>
          <w:sz w:val="20"/>
          <w:szCs w:val="20"/>
        </w:rPr>
        <w:t>úspešné a neúspešné prístupy k chráneným a prísne chráneným informáciám, hromadné čítanie, export, tlač, kopírovanie, sťahovanie, zdieľanie, zmenu a výmaz,</w:t>
      </w:r>
    </w:p>
    <w:p w14:paraId="7AA40EBF" w14:textId="77777777" w:rsidR="00517431" w:rsidRDefault="00150791">
      <w:pPr>
        <w:pStyle w:val="Odsekzoznamu"/>
        <w:numPr>
          <w:ilvl w:val="0"/>
          <w:numId w:val="2"/>
        </w:numPr>
        <w:spacing w:after="0" w:line="271" w:lineRule="auto"/>
        <w:jc w:val="both"/>
        <w:rPr>
          <w:rFonts w:ascii="Arial" w:hAnsi="Arial" w:cs="Arial"/>
          <w:sz w:val="20"/>
          <w:szCs w:val="20"/>
        </w:rPr>
      </w:pPr>
      <w:r>
        <w:rPr>
          <w:rFonts w:ascii="Arial" w:hAnsi="Arial" w:cs="Arial"/>
          <w:sz w:val="20"/>
          <w:szCs w:val="20"/>
        </w:rPr>
        <w:t>kritické a privilegované operácie vrátane zmien konfigurácie, bezpečnostných politík, logovania, auditných nastavení, kľúčov, certifikátov, záloh a obnovy,</w:t>
      </w:r>
    </w:p>
    <w:p w14:paraId="02D6B13F" w14:textId="77777777" w:rsidR="00517431" w:rsidRDefault="00150791">
      <w:pPr>
        <w:pStyle w:val="Odsekzoznamu"/>
        <w:numPr>
          <w:ilvl w:val="0"/>
          <w:numId w:val="2"/>
        </w:numPr>
        <w:spacing w:after="0" w:line="271" w:lineRule="auto"/>
        <w:jc w:val="both"/>
        <w:rPr>
          <w:rFonts w:ascii="Arial" w:hAnsi="Arial" w:cs="Arial"/>
          <w:sz w:val="20"/>
          <w:szCs w:val="20"/>
        </w:rPr>
      </w:pPr>
      <w:r>
        <w:rPr>
          <w:rFonts w:ascii="Arial" w:hAnsi="Arial" w:cs="Arial"/>
          <w:sz w:val="20"/>
          <w:szCs w:val="20"/>
        </w:rPr>
        <w:lastRenderedPageBreak/>
        <w:t>spustenie, zastavenie, zlyhanie a reštart procesu, služby, aplikácie, kontajnera, automatizovanej úlohy alebo integračného toku vrátane významných chýb a výnimiek,</w:t>
      </w:r>
    </w:p>
    <w:p w14:paraId="015A7B1B" w14:textId="77777777" w:rsidR="00517431" w:rsidRDefault="00150791">
      <w:pPr>
        <w:pStyle w:val="Odsekzoznamu"/>
        <w:numPr>
          <w:ilvl w:val="0"/>
          <w:numId w:val="2"/>
        </w:numPr>
        <w:spacing w:after="0" w:line="271" w:lineRule="auto"/>
        <w:jc w:val="both"/>
        <w:rPr>
          <w:rFonts w:ascii="Arial" w:hAnsi="Arial" w:cs="Arial"/>
          <w:sz w:val="20"/>
          <w:szCs w:val="20"/>
        </w:rPr>
      </w:pPr>
      <w:r>
        <w:rPr>
          <w:rFonts w:ascii="Arial" w:hAnsi="Arial" w:cs="Arial"/>
          <w:sz w:val="20"/>
          <w:szCs w:val="20"/>
        </w:rPr>
        <w:t>vzdialené a servisné prístupy prostredníctvom VPN, ZTNA, RDP, SSH alebo nástrojov podpory, najmä začiatok a koniec relácie, zdroj, cieľ, identitu, schválenie PAM/JIT, prenesené súbory a privilegované príkazy podľa technických možností.</w:t>
      </w:r>
    </w:p>
    <w:p w14:paraId="07317DA7" w14:textId="77777777" w:rsidR="00517431" w:rsidRDefault="00150791">
      <w:pPr>
        <w:pStyle w:val="Odsekzoznamu"/>
        <w:numPr>
          <w:ilvl w:val="0"/>
          <w:numId w:val="11"/>
        </w:numPr>
        <w:spacing w:after="0"/>
        <w:ind w:right="8"/>
        <w:rPr>
          <w:rFonts w:ascii="Arial" w:hAnsi="Arial" w:cs="Arial"/>
          <w:sz w:val="20"/>
          <w:szCs w:val="20"/>
        </w:rPr>
      </w:pPr>
      <w:r>
        <w:rPr>
          <w:rFonts w:ascii="Arial" w:hAnsi="Arial" w:cs="Arial"/>
          <w:sz w:val="20"/>
          <w:szCs w:val="20"/>
        </w:rPr>
        <w:t>Logovanie musí pokrývať aj udalosti API, cloudových služieb, kontajnerov, orchestrácie, databáz, integračných platforiem, bezpečnostných nástrojov, systémov umelej inteligencie a produktov s digitálnymi prvkami v rozsahu podľa časti 1.6, aplikovateľnej zmluvnej alebo technickej dokumentácie a schváleného logovacieho profilu.</w:t>
      </w:r>
    </w:p>
    <w:p w14:paraId="10AE14AE" w14:textId="77777777" w:rsidR="00517431" w:rsidRDefault="00150791">
      <w:pPr>
        <w:pStyle w:val="Odsekzoznamu"/>
        <w:numPr>
          <w:ilvl w:val="0"/>
          <w:numId w:val="11"/>
        </w:numPr>
        <w:spacing w:after="0"/>
        <w:ind w:right="8"/>
        <w:rPr>
          <w:rFonts w:ascii="Arial" w:hAnsi="Arial" w:cs="Arial"/>
          <w:sz w:val="20"/>
          <w:szCs w:val="20"/>
        </w:rPr>
      </w:pPr>
      <w:r>
        <w:rPr>
          <w:rFonts w:ascii="Arial" w:hAnsi="Arial" w:cs="Arial"/>
          <w:sz w:val="20"/>
          <w:szCs w:val="20"/>
        </w:rPr>
        <w:t xml:space="preserve">Logy sa vytvárajú v konzistentnom, dokumentovanom a strojovo spracovateľnom formáte. Riešenie </w:t>
      </w:r>
      <w:r>
        <w:rPr>
          <w:rFonts w:ascii="Arial" w:hAnsi="Arial" w:cs="Arial"/>
          <w:b/>
          <w:bCs/>
          <w:color w:val="EE0000"/>
          <w:sz w:val="20"/>
          <w:szCs w:val="20"/>
        </w:rPr>
        <w:t>musí</w:t>
      </w:r>
      <w:r>
        <w:rPr>
          <w:rFonts w:ascii="Arial" w:hAnsi="Arial" w:cs="Arial"/>
          <w:color w:val="EE0000"/>
          <w:sz w:val="20"/>
          <w:szCs w:val="20"/>
        </w:rPr>
        <w:t xml:space="preserve"> </w:t>
      </w:r>
      <w:r>
        <w:rPr>
          <w:rFonts w:ascii="Arial" w:hAnsi="Arial" w:cs="Arial"/>
          <w:sz w:val="20"/>
          <w:szCs w:val="20"/>
        </w:rPr>
        <w:t xml:space="preserve">podporovať bezpečný prenos do centrálnej platformy prostredníctvom </w:t>
      </w:r>
      <w:proofErr w:type="spellStart"/>
      <w:r>
        <w:rPr>
          <w:rFonts w:ascii="Arial" w:hAnsi="Arial" w:cs="Arial"/>
          <w:sz w:val="20"/>
          <w:szCs w:val="20"/>
        </w:rPr>
        <w:t>syslogu</w:t>
      </w:r>
      <w:proofErr w:type="spellEnd"/>
      <w:r>
        <w:rPr>
          <w:rFonts w:ascii="Arial" w:hAnsi="Arial" w:cs="Arial"/>
          <w:sz w:val="20"/>
          <w:szCs w:val="20"/>
        </w:rPr>
        <w:t xml:space="preserve">, CEF, JSON, API alebo iného formátu schváleného prevádzkovateľom; použitie konkrétneho formátu </w:t>
      </w:r>
      <w:r>
        <w:rPr>
          <w:rFonts w:ascii="Arial" w:hAnsi="Arial" w:cs="Arial"/>
          <w:b/>
          <w:bCs/>
          <w:color w:val="EE0000"/>
          <w:sz w:val="20"/>
          <w:szCs w:val="20"/>
        </w:rPr>
        <w:t>nesmie</w:t>
      </w:r>
      <w:r>
        <w:rPr>
          <w:rFonts w:ascii="Arial" w:hAnsi="Arial" w:cs="Arial"/>
          <w:color w:val="EE0000"/>
          <w:sz w:val="20"/>
          <w:szCs w:val="20"/>
        </w:rPr>
        <w:t xml:space="preserve"> </w:t>
      </w:r>
      <w:r>
        <w:rPr>
          <w:rFonts w:ascii="Arial" w:hAnsi="Arial" w:cs="Arial"/>
          <w:sz w:val="20"/>
          <w:szCs w:val="20"/>
        </w:rPr>
        <w:t>znižovať úplnosť, integritu ani korelačnú použiteľnosť logov.</w:t>
      </w:r>
    </w:p>
    <w:p w14:paraId="015C1397" w14:textId="77777777" w:rsidR="00517431" w:rsidRDefault="00150791">
      <w:pPr>
        <w:pStyle w:val="Nadpis2"/>
        <w:spacing w:before="0"/>
        <w:rPr>
          <w:rFonts w:ascii="Arial" w:hAnsi="Arial" w:cs="Arial"/>
          <w:b/>
          <w:bCs/>
          <w:sz w:val="20"/>
          <w:szCs w:val="20"/>
        </w:rPr>
      </w:pPr>
      <w:bookmarkStart w:id="22" w:name="__RefHeading___Toc6239_3891905039"/>
      <w:bookmarkStart w:id="23" w:name="_Toc235216530"/>
      <w:bookmarkEnd w:id="22"/>
      <w:r>
        <w:rPr>
          <w:rFonts w:ascii="Arial" w:hAnsi="Arial" w:cs="Arial"/>
          <w:b/>
          <w:bCs/>
          <w:sz w:val="20"/>
          <w:szCs w:val="20"/>
        </w:rPr>
        <w:t>1.3 Zber, prenos, ochrana a uchovávanie logov</w:t>
      </w:r>
      <w:bookmarkEnd w:id="23"/>
    </w:p>
    <w:p w14:paraId="44682C40" w14:textId="77777777" w:rsidR="00517431" w:rsidRDefault="00150791">
      <w:pPr>
        <w:pStyle w:val="Odsekzoznamu"/>
        <w:numPr>
          <w:ilvl w:val="0"/>
          <w:numId w:val="12"/>
        </w:numPr>
        <w:spacing w:after="0"/>
        <w:rPr>
          <w:rFonts w:ascii="Arial" w:hAnsi="Arial" w:cs="Arial"/>
          <w:sz w:val="20"/>
          <w:szCs w:val="20"/>
        </w:rPr>
      </w:pPr>
      <w:r>
        <w:rPr>
          <w:rFonts w:ascii="Arial" w:hAnsi="Arial" w:cs="Arial"/>
          <w:sz w:val="20"/>
          <w:szCs w:val="20"/>
        </w:rPr>
        <w:t>Kritické systémy a služby odosielajú logy do centrálneho systému správy prevádzkových záznamov alebo SIEM takmer v reálnom čase; cieľové oneskorenie je najviac päť minút, ak zmluva na výkon činností, jej príloha, technická špecifikácia alebo schválený logovací profil neurčí prísnejšiu požiadavku. Pri výpadku spojenia sa používa chránená lokálna dočasná vyrovnávacia pamäť s monitorovanou kapacitou, ochranou integrity a automatickým doslaním.</w:t>
      </w:r>
    </w:p>
    <w:p w14:paraId="6B767F94" w14:textId="77777777" w:rsidR="00517431" w:rsidRDefault="00150791">
      <w:pPr>
        <w:pStyle w:val="Odsekzoznamu"/>
        <w:numPr>
          <w:ilvl w:val="0"/>
          <w:numId w:val="12"/>
        </w:numPr>
        <w:spacing w:after="0"/>
        <w:rPr>
          <w:rFonts w:ascii="Arial" w:hAnsi="Arial" w:cs="Arial"/>
          <w:sz w:val="20"/>
          <w:szCs w:val="20"/>
        </w:rPr>
      </w:pPr>
      <w:bookmarkStart w:id="24" w:name="_Toc235216532"/>
      <w:r>
        <w:rPr>
          <w:rFonts w:ascii="Arial" w:hAnsi="Arial" w:cs="Arial"/>
          <w:b/>
          <w:bCs/>
          <w:color w:val="EE0000"/>
          <w:sz w:val="20"/>
          <w:szCs w:val="20"/>
        </w:rPr>
        <w:t>Musí</w:t>
      </w:r>
      <w:r>
        <w:rPr>
          <w:rFonts w:ascii="Arial" w:hAnsi="Arial" w:cs="Arial"/>
          <w:color w:val="EE0000"/>
          <w:sz w:val="20"/>
          <w:szCs w:val="20"/>
        </w:rPr>
        <w:t xml:space="preserve"> </w:t>
      </w:r>
      <w:r>
        <w:rPr>
          <w:rFonts w:ascii="Arial" w:hAnsi="Arial" w:cs="Arial"/>
          <w:sz w:val="20"/>
          <w:szCs w:val="20"/>
        </w:rPr>
        <w:t>sa nepretržite monitorovať dostupnosť a kvalita celého logovacieho reťazca, najmä stavové signály zdrojov, objem a frekvencia udalostí, chyby syntaktického spracovania, neznáme alebo zmenené schémy, časová odchýlka, stav frontov, kapacita, oneskorenie príjmu, úspešnosť archivácie, integrita a dostupnosť zberných komponentov. Výpadok kritického zdroja, významné zníženie objemu alebo strata logov sa rieši ako bezpečnostná udalosť alebo incident.</w:t>
      </w:r>
      <w:bookmarkEnd w:id="24"/>
    </w:p>
    <w:p w14:paraId="3C093099" w14:textId="77777777" w:rsidR="00517431" w:rsidRDefault="00150791">
      <w:pPr>
        <w:pStyle w:val="Odsekzoznamu"/>
        <w:numPr>
          <w:ilvl w:val="0"/>
          <w:numId w:val="12"/>
        </w:numPr>
        <w:spacing w:after="0"/>
        <w:rPr>
          <w:rFonts w:ascii="Arial" w:hAnsi="Arial" w:cs="Arial"/>
          <w:sz w:val="20"/>
          <w:szCs w:val="20"/>
        </w:rPr>
      </w:pPr>
      <w:bookmarkStart w:id="25" w:name="_Toc235216533"/>
      <w:r>
        <w:rPr>
          <w:rFonts w:ascii="Arial" w:hAnsi="Arial" w:cs="Arial"/>
          <w:sz w:val="20"/>
          <w:szCs w:val="20"/>
        </w:rPr>
        <w:t xml:space="preserve">Log </w:t>
      </w:r>
      <w:r>
        <w:rPr>
          <w:rFonts w:ascii="Arial" w:hAnsi="Arial" w:cs="Arial"/>
          <w:b/>
          <w:bCs/>
          <w:color w:val="EE0000"/>
          <w:sz w:val="20"/>
          <w:szCs w:val="20"/>
        </w:rPr>
        <w:t>nesmie</w:t>
      </w:r>
      <w:r>
        <w:rPr>
          <w:rFonts w:ascii="Arial" w:hAnsi="Arial" w:cs="Arial"/>
          <w:color w:val="EE0000"/>
          <w:sz w:val="20"/>
          <w:szCs w:val="20"/>
        </w:rPr>
        <w:t xml:space="preserve"> </w:t>
      </w:r>
      <w:r>
        <w:rPr>
          <w:rFonts w:ascii="Arial" w:hAnsi="Arial" w:cs="Arial"/>
          <w:sz w:val="20"/>
          <w:szCs w:val="20"/>
        </w:rPr>
        <w:t xml:space="preserve">obsahovať heslá, privátne kľúče, obnovovacie kódy, celé autentifikačné tokeny, relačné identifikátory alebo súbory </w:t>
      </w:r>
      <w:proofErr w:type="spellStart"/>
      <w:r>
        <w:rPr>
          <w:rFonts w:ascii="Arial" w:hAnsi="Arial" w:cs="Arial"/>
          <w:sz w:val="20"/>
          <w:szCs w:val="20"/>
        </w:rPr>
        <w:t>cookie</w:t>
      </w:r>
      <w:proofErr w:type="spellEnd"/>
      <w:r>
        <w:rPr>
          <w:rFonts w:ascii="Arial" w:hAnsi="Arial" w:cs="Arial"/>
          <w:sz w:val="20"/>
          <w:szCs w:val="20"/>
        </w:rPr>
        <w:t xml:space="preserve">, tajomstvá, nepotrebný obsah správ ani nadbytočné osobné údaje. Používa sa zoznam povolených polí, maskovanie, tokenizácia alebo redakcia údajov. Bezpečnostné testy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overiť, že citlivé hodnoty neunikajú do logov ani chybových hlásení.</w:t>
      </w:r>
      <w:bookmarkEnd w:id="25"/>
    </w:p>
    <w:p w14:paraId="479A43B6" w14:textId="77777777" w:rsidR="00517431" w:rsidRDefault="00150791">
      <w:pPr>
        <w:pStyle w:val="Odsekzoznamu"/>
        <w:numPr>
          <w:ilvl w:val="0"/>
          <w:numId w:val="12"/>
        </w:numPr>
        <w:spacing w:after="0"/>
        <w:rPr>
          <w:rFonts w:ascii="Arial" w:hAnsi="Arial" w:cs="Arial"/>
          <w:sz w:val="20"/>
          <w:szCs w:val="20"/>
        </w:rPr>
      </w:pPr>
      <w:bookmarkStart w:id="26" w:name="_Toc235216534"/>
      <w:r>
        <w:rPr>
          <w:rFonts w:ascii="Arial" w:hAnsi="Arial" w:cs="Arial"/>
          <w:sz w:val="20"/>
          <w:szCs w:val="20"/>
        </w:rPr>
        <w:t xml:space="preserve">Každý záznam obsahuje, ak je údaj dostupný a primeraný účelu: čas v UTC alebo s uvedením časovej zóny a presnosti, identifikátor a typ udalosti, zdroj a prostredie, používateľskú alebo systémovú identitu, identifikátor relácie, korelácie alebo sledovania, zdrojovú a cieľovú adresu, dotknutý objekt alebo aktívum, vykonanú akciu, výsledok, dôvod zlyhania, úroveň závažnosti a identifikátor transakcie, požiadavky, incidentu alebo zmeny. Názvy polí, kódovanie a formát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byť konzistentné, dokumentované a strojovo spracovateľné.</w:t>
      </w:r>
      <w:bookmarkEnd w:id="26"/>
    </w:p>
    <w:p w14:paraId="042466B3" w14:textId="77777777" w:rsidR="00517431" w:rsidRDefault="00150791">
      <w:pPr>
        <w:pStyle w:val="Odsekzoznamu"/>
        <w:numPr>
          <w:ilvl w:val="0"/>
          <w:numId w:val="12"/>
        </w:numPr>
        <w:spacing w:after="0" w:line="271" w:lineRule="auto"/>
        <w:ind w:right="8"/>
        <w:jc w:val="both"/>
        <w:rPr>
          <w:rFonts w:ascii="Arial" w:hAnsi="Arial" w:cs="Arial"/>
          <w:sz w:val="20"/>
          <w:szCs w:val="20"/>
        </w:rPr>
      </w:pPr>
      <w:r>
        <w:rPr>
          <w:rFonts w:ascii="Arial" w:hAnsi="Arial" w:cs="Arial"/>
          <w:sz w:val="20"/>
          <w:szCs w:val="20"/>
        </w:rPr>
        <w:t xml:space="preserve">Pri webových a aplikačných službách sa logujú najmenej metóda, koncový bod alebo normalizovaná cesta, stavový kód, čas spracovania, identita alebo klient, zdrojová adresa alebo rovnocenný identifikátor a korelačný identifikátor. Obsah URL parametrov, hlavičiek, požiadaviek a odpovedí sa loguje iba v nevyhnutnom a minimalizovanom rozsahu a </w:t>
      </w:r>
      <w:r>
        <w:rPr>
          <w:rFonts w:ascii="Arial" w:hAnsi="Arial" w:cs="Arial"/>
          <w:b/>
          <w:bCs/>
          <w:color w:val="EE0000"/>
          <w:sz w:val="20"/>
          <w:szCs w:val="20"/>
        </w:rPr>
        <w:t>nesmie</w:t>
      </w:r>
      <w:r>
        <w:rPr>
          <w:rFonts w:ascii="Arial" w:hAnsi="Arial" w:cs="Arial"/>
          <w:color w:val="EE0000"/>
          <w:sz w:val="20"/>
          <w:szCs w:val="20"/>
        </w:rPr>
        <w:t xml:space="preserve"> </w:t>
      </w:r>
      <w:r>
        <w:rPr>
          <w:rFonts w:ascii="Arial" w:hAnsi="Arial" w:cs="Arial"/>
          <w:sz w:val="20"/>
          <w:szCs w:val="20"/>
        </w:rPr>
        <w:t>obsahovať tajomstvá alebo nadbytočné osobné údaje.</w:t>
      </w:r>
    </w:p>
    <w:p w14:paraId="0384A2BE" w14:textId="77777777" w:rsidR="00517431" w:rsidRDefault="00150791">
      <w:pPr>
        <w:pStyle w:val="Odsekzoznamu"/>
        <w:numPr>
          <w:ilvl w:val="0"/>
          <w:numId w:val="12"/>
        </w:numPr>
        <w:spacing w:after="0" w:line="271" w:lineRule="auto"/>
        <w:ind w:right="8"/>
        <w:jc w:val="both"/>
        <w:rPr>
          <w:rFonts w:ascii="Arial" w:hAnsi="Arial" w:cs="Arial"/>
          <w:sz w:val="20"/>
          <w:szCs w:val="20"/>
        </w:rPr>
      </w:pPr>
      <w:r>
        <w:rPr>
          <w:rFonts w:ascii="Arial" w:hAnsi="Arial" w:cs="Arial"/>
          <w:sz w:val="20"/>
          <w:szCs w:val="20"/>
        </w:rPr>
        <w:t xml:space="preserve">Pre jednotlivé virtuálne </w:t>
      </w:r>
      <w:proofErr w:type="spellStart"/>
      <w:r>
        <w:rPr>
          <w:rFonts w:ascii="Arial" w:hAnsi="Arial" w:cs="Arial"/>
          <w:sz w:val="20"/>
          <w:szCs w:val="20"/>
        </w:rPr>
        <w:t>hosty</w:t>
      </w:r>
      <w:proofErr w:type="spellEnd"/>
      <w:r>
        <w:rPr>
          <w:rFonts w:ascii="Arial" w:hAnsi="Arial" w:cs="Arial"/>
          <w:sz w:val="20"/>
          <w:szCs w:val="20"/>
        </w:rPr>
        <w:t xml:space="preserve">, </w:t>
      </w:r>
      <w:proofErr w:type="spellStart"/>
      <w:r>
        <w:rPr>
          <w:rFonts w:ascii="Arial" w:hAnsi="Arial" w:cs="Arial"/>
          <w:sz w:val="20"/>
          <w:szCs w:val="20"/>
        </w:rPr>
        <w:t>tenanty</w:t>
      </w:r>
      <w:proofErr w:type="spellEnd"/>
      <w:r>
        <w:rPr>
          <w:rFonts w:ascii="Arial" w:hAnsi="Arial" w:cs="Arial"/>
          <w:sz w:val="20"/>
          <w:szCs w:val="20"/>
        </w:rPr>
        <w:t>, aplikácie alebo bezpečnostné domény sa zabezpečí jednoznačné oddelenie alebo označenie logov tak, aby bolo možné určiť ich pôvod, vlastníka, klasifikáciu a prístupové oprávnenia.</w:t>
      </w:r>
    </w:p>
    <w:p w14:paraId="126411F7" w14:textId="77777777" w:rsidR="00517431" w:rsidRDefault="00150791">
      <w:pPr>
        <w:pStyle w:val="Odsekzoznamu"/>
        <w:numPr>
          <w:ilvl w:val="0"/>
          <w:numId w:val="12"/>
        </w:numPr>
        <w:spacing w:after="0" w:line="271" w:lineRule="auto"/>
        <w:ind w:right="8"/>
        <w:jc w:val="both"/>
        <w:rPr>
          <w:rFonts w:ascii="Arial" w:hAnsi="Arial" w:cs="Arial"/>
          <w:sz w:val="20"/>
          <w:szCs w:val="20"/>
        </w:rPr>
      </w:pPr>
      <w:r>
        <w:rPr>
          <w:rFonts w:ascii="Arial" w:hAnsi="Arial" w:cs="Arial"/>
          <w:sz w:val="20"/>
          <w:szCs w:val="20"/>
        </w:rPr>
        <w:t xml:space="preserve">Webové a API logy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 xml:space="preserve">podľa aplikovateľnosti obsahovať čas, časovú zónu, zdrojovú adresu alebo rovnocenný identifikátor, identitu klienta alebo používateľa, metódu, normalizovanú cestu alebo koncový bod, stavový kód, veľkosť alebo čas odpovede, korelačný identifikátor a výsledok bezpečnostnej kontroly. Hlavičky User-Agent a </w:t>
      </w:r>
      <w:proofErr w:type="spellStart"/>
      <w:r>
        <w:rPr>
          <w:rFonts w:ascii="Arial" w:hAnsi="Arial" w:cs="Arial"/>
          <w:sz w:val="20"/>
          <w:szCs w:val="20"/>
        </w:rPr>
        <w:t>Referer</w:t>
      </w:r>
      <w:proofErr w:type="spellEnd"/>
      <w:r>
        <w:rPr>
          <w:rFonts w:ascii="Arial" w:hAnsi="Arial" w:cs="Arial"/>
          <w:sz w:val="20"/>
          <w:szCs w:val="20"/>
        </w:rPr>
        <w:t xml:space="preserve"> sa logujú iba v rozsahu potrebnom na bezpečnostný alebo prevádzkový účel a po posúdení rizika ochrany osobných údajov.</w:t>
      </w:r>
    </w:p>
    <w:p w14:paraId="2411FA63" w14:textId="77777777" w:rsidR="00517431" w:rsidRDefault="00150791">
      <w:pPr>
        <w:pStyle w:val="Odsekzoznamu"/>
        <w:numPr>
          <w:ilvl w:val="0"/>
          <w:numId w:val="12"/>
        </w:numPr>
        <w:spacing w:after="0" w:line="271" w:lineRule="auto"/>
        <w:ind w:right="8"/>
        <w:jc w:val="both"/>
        <w:rPr>
          <w:rFonts w:ascii="Arial" w:hAnsi="Arial" w:cs="Arial"/>
          <w:sz w:val="20"/>
          <w:szCs w:val="20"/>
        </w:rPr>
      </w:pPr>
      <w:r>
        <w:rPr>
          <w:rFonts w:ascii="Arial" w:hAnsi="Arial" w:cs="Arial"/>
          <w:sz w:val="20"/>
          <w:szCs w:val="20"/>
        </w:rPr>
        <w:t xml:space="preserve">Logy sa uchovávajú oddelene od zdrojového systému v centrálnej platforme s oddelenými administrátorskými rolami. Kritické logy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byť chránené proti neoprávnenej zmene a vymazaniu režimom umožňujúcim iba dopĺňanie, nemenným úložiskom alebo WORM mechanizmom, kryptografickými kontrolami integrity, zálohami a pravidelným overovaním obnoviteľnosti.</w:t>
      </w:r>
    </w:p>
    <w:p w14:paraId="60BF70A5" w14:textId="77777777" w:rsidR="00517431" w:rsidRDefault="00150791">
      <w:pPr>
        <w:pStyle w:val="Odsekzoznamu"/>
        <w:numPr>
          <w:ilvl w:val="0"/>
          <w:numId w:val="12"/>
        </w:numPr>
        <w:spacing w:after="0" w:line="271" w:lineRule="auto"/>
        <w:ind w:right="8"/>
        <w:jc w:val="both"/>
        <w:rPr>
          <w:rFonts w:ascii="Arial" w:hAnsi="Arial" w:cs="Arial"/>
          <w:sz w:val="20"/>
          <w:szCs w:val="20"/>
        </w:rPr>
      </w:pPr>
      <w:r>
        <w:rPr>
          <w:rFonts w:ascii="Arial" w:hAnsi="Arial" w:cs="Arial"/>
          <w:sz w:val="20"/>
          <w:szCs w:val="20"/>
        </w:rPr>
        <w:lastRenderedPageBreak/>
        <w:t xml:space="preserve">Kapacita sa dimenzuje podľa reálneho objemu, špičiek, retenčných lehôt, indexácie, replikácie a primeranej rezervy. Prahy kapacity sa monitorujú a eskalujú v predstihu; zaplnenie úložiska </w:t>
      </w:r>
      <w:r>
        <w:rPr>
          <w:rFonts w:ascii="Arial" w:hAnsi="Arial" w:cs="Arial"/>
          <w:b/>
          <w:bCs/>
          <w:color w:val="EE0000"/>
          <w:sz w:val="20"/>
          <w:szCs w:val="20"/>
        </w:rPr>
        <w:t>nesmie</w:t>
      </w:r>
      <w:r>
        <w:rPr>
          <w:rFonts w:ascii="Arial" w:hAnsi="Arial" w:cs="Arial"/>
          <w:color w:val="EE0000"/>
          <w:sz w:val="20"/>
          <w:szCs w:val="20"/>
        </w:rPr>
        <w:t xml:space="preserve"> </w:t>
      </w:r>
      <w:r>
        <w:rPr>
          <w:rFonts w:ascii="Arial" w:hAnsi="Arial" w:cs="Arial"/>
          <w:sz w:val="20"/>
          <w:szCs w:val="20"/>
        </w:rPr>
        <w:t>viesť k tichému zastaveniu logovania, strate udalostí alebo prepisovaniu kritických logov bez schváleného pravidla.</w:t>
      </w:r>
    </w:p>
    <w:p w14:paraId="2B514B20"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Bezpečnostne relevantné logy sa centrálne uchovávajú najmenej 12 mesiacov. Logy kritických systémov, privilegovaných činností, vzdialených prístupov, prístupov k chráneným a prísne chráneným informáciám, zmien bezpečnostných politík a udalostí potrebných na vyšetrovanie sa uchovávajú najmenej 24 mesiacov. Zmluvná dokumentácia, schválený logovací profil, registratúrny plán, právny predpis alebo pozastavenie výmazu a uchovanie dôkazov môže určiť dlhšiu dobu. Najmenej 90 dní logov kritických systémov musí byť bezprostredne vyhľadateľných.</w:t>
      </w:r>
    </w:p>
    <w:p w14:paraId="68BBD4A7"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Bezpečnostné logy sa automatizovane korelujú a vyhodnocujú podľa detekčných scenárov a rizika. Kritické bezpečnostné upozornenia sa spracúvajú nepretržite 24/7 alebo podľa schváleného prevádzkového modelu s ekvivalentnou reakciou. Detekčné pravidlá sa najmenej raz ročne a po významnom incidente alebo zmene preskúmajú, otestujú a zdokumentujú; falošne pozitívne a falošne negatívne zistenia sa používajú na ladenie bez neodôvodneného znižovania pokrytia.</w:t>
      </w:r>
    </w:p>
    <w:p w14:paraId="08D9F632"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Čas na všetkých relevantných zdrojoch je synchronizovaný s dôveryhodným časovým zdrojom. Odchýlka sa monitoruje, eviduje a pri prekročení schváleného limitu eskaluje. Logy uvádzajú časovú zónu alebo používajú UTC a zachovávajú poradie udalostí aj pri zmene letného času alebo výpadku synchronizácie.</w:t>
      </w:r>
    </w:p>
    <w:p w14:paraId="2CC68261"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 xml:space="preserve">Všetky relevantné servery, sieťové prvky, aplikácie, cloudové služby a zberné komponenty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 xml:space="preserve">používať dôveryhodný a podľa rizika autentifikovaný časový zdroj; nemožnosť synchronizácie </w:t>
      </w:r>
      <w:r>
        <w:rPr>
          <w:rFonts w:ascii="Arial" w:hAnsi="Arial" w:cs="Arial"/>
          <w:b/>
          <w:bCs/>
          <w:color w:val="EE0000"/>
          <w:sz w:val="20"/>
          <w:szCs w:val="20"/>
        </w:rPr>
        <w:t>musí</w:t>
      </w:r>
      <w:r>
        <w:rPr>
          <w:rFonts w:ascii="Arial" w:hAnsi="Arial" w:cs="Arial"/>
          <w:color w:val="EE0000"/>
          <w:sz w:val="20"/>
          <w:szCs w:val="20"/>
        </w:rPr>
        <w:t xml:space="preserve"> </w:t>
      </w:r>
      <w:r>
        <w:rPr>
          <w:rFonts w:ascii="Arial" w:hAnsi="Arial" w:cs="Arial"/>
          <w:sz w:val="20"/>
          <w:szCs w:val="20"/>
        </w:rPr>
        <w:t>byť monitorovaná a kompenzovaná.</w:t>
      </w:r>
    </w:p>
    <w:p w14:paraId="56848F24"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Logovanie sa navrhne tak, aby zaplnenie lokálneho alebo centrálneho úložiska neohrozilo stabilitu systému a nespôsobilo nekontrolovanú stratu logov. Použije sa oddelené úložisko alebo partícia, riadená rotácia, limity kapacity, včasné upozornenie a bezpečné správanie pri poruche.</w:t>
      </w:r>
    </w:p>
    <w:p w14:paraId="367431FE"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Logy kritických služieb a systémov sa bez zbytočného odkladu prenášajú na oddelenú centrálnu platformu; lokálna kópia nesmie byť jediným zdrojom dôkazu.</w:t>
      </w:r>
    </w:p>
    <w:p w14:paraId="22AEB5EA"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Prístup k logom a logovacím súborom sa riadi najmenej týmito zásadami:</w:t>
      </w:r>
    </w:p>
    <w:p w14:paraId="2385A747" w14:textId="77777777" w:rsidR="00517431" w:rsidRDefault="00150791">
      <w:pPr>
        <w:pStyle w:val="Odsekzoznamu"/>
        <w:numPr>
          <w:ilvl w:val="0"/>
          <w:numId w:val="3"/>
        </w:numPr>
        <w:spacing w:after="0" w:line="271" w:lineRule="auto"/>
        <w:ind w:right="6" w:hanging="357"/>
        <w:jc w:val="both"/>
        <w:rPr>
          <w:rFonts w:ascii="Arial" w:hAnsi="Arial" w:cs="Arial"/>
          <w:sz w:val="20"/>
          <w:szCs w:val="20"/>
        </w:rPr>
      </w:pPr>
      <w:r>
        <w:rPr>
          <w:rFonts w:ascii="Arial" w:hAnsi="Arial" w:cs="Arial"/>
          <w:sz w:val="20"/>
          <w:szCs w:val="20"/>
        </w:rPr>
        <w:t>čítanie, vyhľadávanie, export a správa sú povolené iba menovite oprávneným osobám podľa rolí a potreby poznať,</w:t>
      </w:r>
    </w:p>
    <w:p w14:paraId="596F1D64" w14:textId="77777777" w:rsidR="00517431" w:rsidRDefault="00150791">
      <w:pPr>
        <w:pStyle w:val="Odsekzoznamu"/>
        <w:numPr>
          <w:ilvl w:val="0"/>
          <w:numId w:val="3"/>
        </w:numPr>
        <w:spacing w:after="0" w:line="271" w:lineRule="auto"/>
        <w:ind w:right="8"/>
        <w:jc w:val="both"/>
        <w:rPr>
          <w:rFonts w:ascii="Arial" w:hAnsi="Arial" w:cs="Arial"/>
          <w:sz w:val="20"/>
          <w:szCs w:val="20"/>
        </w:rPr>
      </w:pPr>
      <w:r>
        <w:rPr>
          <w:rFonts w:ascii="Arial" w:hAnsi="Arial" w:cs="Arial"/>
          <w:sz w:val="20"/>
          <w:szCs w:val="20"/>
        </w:rPr>
        <w:t xml:space="preserve">zmena a výmaz logov sú </w:t>
      </w:r>
      <w:r>
        <w:rPr>
          <w:rFonts w:ascii="Arial" w:hAnsi="Arial" w:cs="Arial"/>
          <w:b/>
          <w:bCs/>
          <w:color w:val="EE0000"/>
          <w:sz w:val="20"/>
          <w:szCs w:val="20"/>
        </w:rPr>
        <w:t>zakázané</w:t>
      </w:r>
      <w:r>
        <w:rPr>
          <w:rFonts w:ascii="Arial" w:hAnsi="Arial" w:cs="Arial"/>
          <w:color w:val="EE0000"/>
          <w:sz w:val="20"/>
          <w:szCs w:val="20"/>
        </w:rPr>
        <w:t xml:space="preserve"> </w:t>
      </w:r>
      <w:r>
        <w:rPr>
          <w:rFonts w:ascii="Arial" w:hAnsi="Arial" w:cs="Arial"/>
          <w:sz w:val="20"/>
          <w:szCs w:val="20"/>
        </w:rPr>
        <w:t>okrem riadeného retenčného alebo bezpečného výmazu; kritické logy sa ukladajú v režime umožňujúcom iba dopĺňanie alebo v nemennom režime,</w:t>
      </w:r>
    </w:p>
    <w:p w14:paraId="16C773ED" w14:textId="77777777" w:rsidR="00517431" w:rsidRDefault="00150791">
      <w:pPr>
        <w:pStyle w:val="Odsekzoznamu"/>
        <w:numPr>
          <w:ilvl w:val="0"/>
          <w:numId w:val="3"/>
        </w:numPr>
        <w:spacing w:after="0" w:line="271" w:lineRule="auto"/>
        <w:ind w:right="8"/>
        <w:jc w:val="both"/>
        <w:rPr>
          <w:rFonts w:ascii="Arial" w:hAnsi="Arial" w:cs="Arial"/>
          <w:sz w:val="20"/>
          <w:szCs w:val="20"/>
        </w:rPr>
      </w:pPr>
      <w:r>
        <w:rPr>
          <w:rFonts w:ascii="Arial" w:hAnsi="Arial" w:cs="Arial"/>
          <w:sz w:val="20"/>
          <w:szCs w:val="20"/>
        </w:rPr>
        <w:t>archivované logy sa podľa klasifikácie a rizika komprimujú, šifrujú a chránia kontrolou integrity; ručný export alebo archivácia sa kryptograficky overí a zaznamená.</w:t>
      </w:r>
    </w:p>
    <w:p w14:paraId="7CB70277" w14:textId="77777777" w:rsidR="00517431" w:rsidRDefault="00150791">
      <w:pPr>
        <w:pStyle w:val="Odsekzoznamu"/>
        <w:numPr>
          <w:ilvl w:val="0"/>
          <w:numId w:val="12"/>
        </w:numPr>
        <w:spacing w:after="0" w:line="271" w:lineRule="auto"/>
        <w:ind w:right="6"/>
        <w:jc w:val="both"/>
        <w:rPr>
          <w:rFonts w:ascii="Arial" w:hAnsi="Arial" w:cs="Arial"/>
          <w:sz w:val="20"/>
          <w:szCs w:val="20"/>
        </w:rPr>
      </w:pPr>
      <w:r>
        <w:rPr>
          <w:rFonts w:ascii="Arial" w:hAnsi="Arial" w:cs="Arial"/>
          <w:sz w:val="20"/>
          <w:szCs w:val="20"/>
        </w:rPr>
        <w:t xml:space="preserve">Rozsah a </w:t>
      </w:r>
      <w:proofErr w:type="spellStart"/>
      <w:r>
        <w:rPr>
          <w:rFonts w:ascii="Arial" w:hAnsi="Arial" w:cs="Arial"/>
          <w:sz w:val="20"/>
          <w:szCs w:val="20"/>
        </w:rPr>
        <w:t>granularita</w:t>
      </w:r>
      <w:proofErr w:type="spellEnd"/>
      <w:r>
        <w:rPr>
          <w:rFonts w:ascii="Arial" w:hAnsi="Arial" w:cs="Arial"/>
          <w:sz w:val="20"/>
          <w:szCs w:val="20"/>
        </w:rPr>
        <w:t xml:space="preserve"> logovania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zodpovedať účelu, kritickosti, kategorizácii, klasifikácii informácií, právnym požiadavkám a riziku; nadmerné logovanie citlivého obsahu je rovnako neprípustné ako nedostatočná auditná stopa.</w:t>
      </w:r>
    </w:p>
    <w:p w14:paraId="13E6985A" w14:textId="77777777" w:rsidR="00517431" w:rsidRDefault="00517431">
      <w:pPr>
        <w:spacing w:after="0" w:line="271" w:lineRule="auto"/>
        <w:ind w:left="363" w:right="6"/>
        <w:jc w:val="both"/>
        <w:rPr>
          <w:rFonts w:ascii="Arial" w:hAnsi="Arial" w:cs="Arial"/>
          <w:sz w:val="20"/>
          <w:szCs w:val="20"/>
        </w:rPr>
      </w:pPr>
    </w:p>
    <w:p w14:paraId="106F77C2" w14:textId="77777777" w:rsidR="00517431" w:rsidRDefault="00150791">
      <w:pPr>
        <w:pStyle w:val="Nadpis2"/>
        <w:spacing w:before="0"/>
        <w:rPr>
          <w:rFonts w:ascii="Arial" w:hAnsi="Arial" w:cs="Arial"/>
          <w:b/>
          <w:bCs/>
          <w:sz w:val="20"/>
          <w:szCs w:val="20"/>
        </w:rPr>
      </w:pPr>
      <w:bookmarkStart w:id="27" w:name="__RefHeading___Toc6241_3891905039"/>
      <w:bookmarkStart w:id="28" w:name="_Toc235216535"/>
      <w:bookmarkEnd w:id="27"/>
      <w:r>
        <w:rPr>
          <w:rFonts w:ascii="Arial" w:hAnsi="Arial" w:cs="Arial"/>
          <w:b/>
          <w:bCs/>
          <w:sz w:val="20"/>
          <w:szCs w:val="20"/>
        </w:rPr>
        <w:t>1.4 Detekcia, upozornenia a prevádzka SIEM</w:t>
      </w:r>
      <w:bookmarkEnd w:id="28"/>
    </w:p>
    <w:p w14:paraId="1F5216C2" w14:textId="77777777" w:rsidR="00517431" w:rsidRDefault="00150791">
      <w:pPr>
        <w:pStyle w:val="Odsekzoznamu"/>
        <w:numPr>
          <w:ilvl w:val="0"/>
          <w:numId w:val="13"/>
        </w:numPr>
        <w:spacing w:after="0"/>
        <w:rPr>
          <w:rFonts w:ascii="Arial" w:hAnsi="Arial" w:cs="Arial"/>
          <w:sz w:val="20"/>
          <w:szCs w:val="20"/>
        </w:rPr>
      </w:pPr>
      <w:bookmarkStart w:id="29" w:name="_Toc235216536"/>
      <w:r>
        <w:rPr>
          <w:rFonts w:ascii="Arial" w:hAnsi="Arial" w:cs="Arial"/>
          <w:sz w:val="20"/>
          <w:szCs w:val="20"/>
        </w:rPr>
        <w:t>Pre každý kritický systém sa určia detekčné scenáre pokrývajúce najmenej kompromitáciu účtu, zneužitie privilégií, obchádzanie MFA alebo PAM, neobvyklý export údajov, zmenu bezpečnostnej konfigurácie, vypnutie ochrany alebo logovania, bočný pohyb útočníka v sieti, odcudzenie údajov, škodlivý kód a vydieračský softvér a zneužitie API, cloudovej identity, kontajnera alebo AI služby podľa aplikovateľnosti. Detekčné scenáre majú vlastníka, prioritu, lehotu spracovania upozornenia, prevádzkový postup reakcie, eskalačný mechanizmus a testovací scenár.</w:t>
      </w:r>
      <w:bookmarkEnd w:id="29"/>
    </w:p>
    <w:p w14:paraId="2B3FDCAE" w14:textId="77777777" w:rsidR="00517431" w:rsidRDefault="00150791">
      <w:pPr>
        <w:pStyle w:val="Odsekzoznamu"/>
        <w:numPr>
          <w:ilvl w:val="0"/>
          <w:numId w:val="13"/>
        </w:numPr>
        <w:spacing w:after="0"/>
        <w:rPr>
          <w:rFonts w:ascii="Arial" w:hAnsi="Arial" w:cs="Arial"/>
          <w:sz w:val="20"/>
          <w:szCs w:val="20"/>
        </w:rPr>
      </w:pPr>
      <w:bookmarkStart w:id="30" w:name="_Toc235216537"/>
      <w:r>
        <w:rPr>
          <w:rFonts w:ascii="Arial" w:hAnsi="Arial" w:cs="Arial"/>
          <w:sz w:val="20"/>
          <w:szCs w:val="20"/>
        </w:rPr>
        <w:t xml:space="preserve">Bezpečnostné upozornenie </w:t>
      </w:r>
      <w:r>
        <w:rPr>
          <w:rFonts w:ascii="Arial" w:hAnsi="Arial" w:cs="Arial"/>
          <w:b/>
          <w:bCs/>
          <w:color w:val="EE0000"/>
          <w:sz w:val="20"/>
          <w:szCs w:val="20"/>
        </w:rPr>
        <w:t>musí</w:t>
      </w:r>
      <w:r>
        <w:rPr>
          <w:rFonts w:ascii="Arial" w:hAnsi="Arial" w:cs="Arial"/>
          <w:color w:val="EE0000"/>
          <w:sz w:val="20"/>
          <w:szCs w:val="20"/>
        </w:rPr>
        <w:t xml:space="preserve"> </w:t>
      </w:r>
      <w:r>
        <w:rPr>
          <w:rFonts w:ascii="Arial" w:hAnsi="Arial" w:cs="Arial"/>
          <w:sz w:val="20"/>
          <w:szCs w:val="20"/>
        </w:rPr>
        <w:t xml:space="preserve">byť priradené, vyhodnotené, eskalované a uzavreté s auditnou stopou. Kritické upozornenie sa bezodkladne odovzdá </w:t>
      </w:r>
      <w:proofErr w:type="spellStart"/>
      <w:r>
        <w:rPr>
          <w:rFonts w:ascii="Arial" w:hAnsi="Arial" w:cs="Arial"/>
          <w:sz w:val="20"/>
          <w:szCs w:val="20"/>
        </w:rPr>
        <w:t>incidentnému</w:t>
      </w:r>
      <w:proofErr w:type="spellEnd"/>
      <w:r>
        <w:rPr>
          <w:rFonts w:ascii="Arial" w:hAnsi="Arial" w:cs="Arial"/>
          <w:sz w:val="20"/>
          <w:szCs w:val="20"/>
        </w:rPr>
        <w:t xml:space="preserve"> procesu; integrácia so servisným alebo </w:t>
      </w:r>
      <w:proofErr w:type="spellStart"/>
      <w:r>
        <w:rPr>
          <w:rFonts w:ascii="Arial" w:hAnsi="Arial" w:cs="Arial"/>
          <w:sz w:val="20"/>
          <w:szCs w:val="20"/>
        </w:rPr>
        <w:t>incidentným</w:t>
      </w:r>
      <w:proofErr w:type="spellEnd"/>
      <w:r>
        <w:rPr>
          <w:rFonts w:ascii="Arial" w:hAnsi="Arial" w:cs="Arial"/>
          <w:sz w:val="20"/>
          <w:szCs w:val="20"/>
        </w:rPr>
        <w:t xml:space="preserve"> systémom musí zachovať identifikátory a časovú os. Ukazovatele výkonnosti zahŕňajú najmenej pokrytie zdrojov, dostupnosť logovacieho </w:t>
      </w:r>
      <w:r>
        <w:rPr>
          <w:rFonts w:ascii="Arial" w:hAnsi="Arial" w:cs="Arial"/>
          <w:sz w:val="20"/>
          <w:szCs w:val="20"/>
        </w:rPr>
        <w:lastRenderedPageBreak/>
        <w:t>reťazca, oneskorenie príjmu, úspešnosť syntaktického spracovania, počet nespracovaných upozornení, MTTD, MTTA a úspešnosť testov detekčných scenárov.</w:t>
      </w:r>
      <w:bookmarkEnd w:id="30"/>
    </w:p>
    <w:p w14:paraId="4C01CEA2" w14:textId="77777777" w:rsidR="00517431" w:rsidRDefault="00517431">
      <w:pPr>
        <w:pStyle w:val="Odsekzoznamu"/>
        <w:spacing w:after="0"/>
        <w:rPr>
          <w:rFonts w:ascii="Arial" w:hAnsi="Arial" w:cs="Arial"/>
          <w:sz w:val="20"/>
          <w:szCs w:val="20"/>
        </w:rPr>
      </w:pPr>
    </w:p>
    <w:p w14:paraId="7C610B5E" w14:textId="77777777" w:rsidR="00517431" w:rsidRDefault="00150791">
      <w:pPr>
        <w:pStyle w:val="Nadpis2"/>
        <w:spacing w:before="0"/>
        <w:rPr>
          <w:rFonts w:ascii="Arial" w:hAnsi="Arial" w:cs="Arial"/>
          <w:b/>
          <w:bCs/>
          <w:sz w:val="20"/>
          <w:szCs w:val="20"/>
        </w:rPr>
      </w:pPr>
      <w:bookmarkStart w:id="31" w:name="__RefHeading___Toc6243_3891905039"/>
      <w:bookmarkStart w:id="32" w:name="_Toc235216538"/>
      <w:bookmarkEnd w:id="31"/>
      <w:r>
        <w:rPr>
          <w:rFonts w:ascii="Arial" w:hAnsi="Arial" w:cs="Arial"/>
          <w:b/>
          <w:bCs/>
          <w:sz w:val="20"/>
          <w:szCs w:val="20"/>
        </w:rPr>
        <w:t>1.5 Forenzná použiteľnosť a uchovanie dôkazov</w:t>
      </w:r>
      <w:bookmarkEnd w:id="32"/>
    </w:p>
    <w:p w14:paraId="31FE1248" w14:textId="77777777" w:rsidR="00517431" w:rsidRDefault="00150791">
      <w:pPr>
        <w:spacing w:after="0"/>
        <w:rPr>
          <w:rFonts w:ascii="Arial" w:hAnsi="Arial" w:cs="Arial"/>
          <w:sz w:val="20"/>
          <w:szCs w:val="20"/>
        </w:rPr>
      </w:pPr>
      <w:bookmarkStart w:id="33" w:name="_Toc235216539"/>
      <w:r>
        <w:rPr>
          <w:rFonts w:ascii="Arial" w:hAnsi="Arial" w:cs="Arial"/>
          <w:sz w:val="20"/>
          <w:szCs w:val="20"/>
        </w:rPr>
        <w:t xml:space="preserve">Pri incidente, audite, kontrole alebo inom právnom dôvode sa relevantné logy, snímky, konfigurácie a metadáta zaistia bez zmeny originálu. Export </w:t>
      </w:r>
      <w:r>
        <w:rPr>
          <w:rFonts w:ascii="Arial" w:hAnsi="Arial" w:cs="Arial"/>
          <w:b/>
          <w:bCs/>
          <w:color w:val="EE0000"/>
          <w:sz w:val="20"/>
          <w:szCs w:val="20"/>
        </w:rPr>
        <w:t>musí</w:t>
      </w:r>
      <w:r>
        <w:rPr>
          <w:rFonts w:ascii="Arial" w:hAnsi="Arial" w:cs="Arial"/>
          <w:color w:val="EE0000"/>
          <w:sz w:val="20"/>
          <w:szCs w:val="20"/>
        </w:rPr>
        <w:t xml:space="preserve"> </w:t>
      </w:r>
      <w:r>
        <w:rPr>
          <w:rFonts w:ascii="Arial" w:hAnsi="Arial" w:cs="Arial"/>
          <w:sz w:val="20"/>
          <w:szCs w:val="20"/>
        </w:rPr>
        <w:t>byť úplný, časovo ohraničený, v otvorenom alebo dohodnutom formáte, s opisom schémy, časovej zóny a použitých filtrov, kryptografickým kontrolným súčtom, identitou exportujúcej osoby a reťazcom nakladania s dôkazmi. Pozastavenie výmazu a uchovanie dôkazov zastaví automatický výmaz alebo rotáciu na dobu určenú prevádzkovateľom alebo príslušným orgánom.</w:t>
      </w:r>
      <w:bookmarkEnd w:id="33"/>
    </w:p>
    <w:p w14:paraId="7B1014D1" w14:textId="77777777" w:rsidR="00517431" w:rsidRDefault="00517431">
      <w:pPr>
        <w:spacing w:after="0"/>
        <w:rPr>
          <w:rFonts w:ascii="Arial" w:hAnsi="Arial" w:cs="Arial"/>
          <w:sz w:val="20"/>
          <w:szCs w:val="20"/>
        </w:rPr>
      </w:pPr>
    </w:p>
    <w:p w14:paraId="32FB8CC3" w14:textId="77777777" w:rsidR="00517431" w:rsidRDefault="00150791">
      <w:pPr>
        <w:pStyle w:val="Nadpis2"/>
        <w:spacing w:before="0"/>
        <w:rPr>
          <w:rFonts w:ascii="Arial" w:hAnsi="Arial" w:cs="Arial"/>
          <w:b/>
          <w:bCs/>
          <w:sz w:val="20"/>
          <w:szCs w:val="20"/>
        </w:rPr>
      </w:pPr>
      <w:bookmarkStart w:id="34" w:name="__RefHeading___Toc6245_3891905039"/>
      <w:bookmarkStart w:id="35" w:name="_Toc235216540"/>
      <w:bookmarkEnd w:id="34"/>
      <w:r>
        <w:rPr>
          <w:rFonts w:ascii="Arial" w:hAnsi="Arial" w:cs="Arial"/>
          <w:b/>
          <w:bCs/>
          <w:sz w:val="20"/>
          <w:szCs w:val="20"/>
        </w:rPr>
        <w:t xml:space="preserve">1.6 Osobitné požiadavky pre </w:t>
      </w:r>
      <w:proofErr w:type="spellStart"/>
      <w:r>
        <w:rPr>
          <w:rFonts w:ascii="Arial" w:hAnsi="Arial" w:cs="Arial"/>
          <w:b/>
          <w:bCs/>
          <w:sz w:val="20"/>
          <w:szCs w:val="20"/>
        </w:rPr>
        <w:t>cloud</w:t>
      </w:r>
      <w:proofErr w:type="spellEnd"/>
      <w:r>
        <w:rPr>
          <w:rFonts w:ascii="Arial" w:hAnsi="Arial" w:cs="Arial"/>
          <w:b/>
          <w:bCs/>
          <w:sz w:val="20"/>
          <w:szCs w:val="20"/>
        </w:rPr>
        <w:t>, API, kontajnery a AI</w:t>
      </w:r>
      <w:bookmarkEnd w:id="35"/>
    </w:p>
    <w:p w14:paraId="7753F1F9" w14:textId="77777777" w:rsidR="00517431" w:rsidRDefault="00150791">
      <w:pPr>
        <w:pStyle w:val="Odsekzoznamu"/>
        <w:numPr>
          <w:ilvl w:val="0"/>
          <w:numId w:val="14"/>
        </w:numPr>
        <w:spacing w:after="0"/>
        <w:rPr>
          <w:rFonts w:ascii="Arial" w:hAnsi="Arial" w:cs="Arial"/>
          <w:sz w:val="20"/>
          <w:szCs w:val="20"/>
        </w:rPr>
      </w:pPr>
      <w:r>
        <w:rPr>
          <w:rFonts w:ascii="Arial" w:hAnsi="Arial" w:cs="Arial"/>
          <w:sz w:val="20"/>
          <w:szCs w:val="20"/>
        </w:rPr>
        <w:t xml:space="preserve">Cloudové logy zahŕňajú najmenej riadiacu rovinu, IAM, administrátorské operácie, KMS a správu tajomstiev, sieťové toky, prístupy k úložiskám, konfigurácie a zmeny pravidiel. Logy API zahŕňajú klienta alebo systémovú identitu, rozsah oprávnenia alebo rolu, koncový bod, metódu, stavový kód, čas spracovania, korelačný identifikátor, obmedzenie frekvencie a bezpečnostné odmietnutia bez logovania citlivého obsahu požiadavky. </w:t>
      </w:r>
    </w:p>
    <w:p w14:paraId="6A76D531" w14:textId="77777777" w:rsidR="00517431" w:rsidRDefault="00150791">
      <w:pPr>
        <w:pStyle w:val="Odsekzoznamu"/>
        <w:numPr>
          <w:ilvl w:val="0"/>
          <w:numId w:val="14"/>
        </w:numPr>
        <w:spacing w:after="0"/>
        <w:rPr>
          <w:rFonts w:ascii="Arial" w:hAnsi="Arial" w:cs="Arial"/>
          <w:sz w:val="20"/>
          <w:szCs w:val="20"/>
        </w:rPr>
      </w:pPr>
      <w:bookmarkStart w:id="36" w:name="_Toc235216541"/>
      <w:r>
        <w:rPr>
          <w:rFonts w:ascii="Arial" w:hAnsi="Arial" w:cs="Arial"/>
          <w:sz w:val="20"/>
          <w:szCs w:val="20"/>
        </w:rPr>
        <w:t>Kontajnery a orchestrácia logujú kontrolný súčet obrazu, nasadenie a prijatie pracovnej záťaže, prístupy k tajomstvám, spustenie príkazu, sieťové pravidlá a bezpečnostné udalosti počas behu. Systém umelej inteligencie loguje verziu modelu a konfigurácie, vstupné a výstupné metadáta v minimalizovanom rozsahu, ľudský zásah, významné zmeny, bezpečnostné odmietnutia, incidenty a monitorovanie kvality a odchýlok v rozsahu dovolenom právnymi predpismi.</w:t>
      </w:r>
      <w:bookmarkEnd w:id="36"/>
    </w:p>
    <w:p w14:paraId="6BDD9CD4" w14:textId="77777777" w:rsidR="00517431" w:rsidRDefault="00517431">
      <w:pPr>
        <w:pStyle w:val="Odsekzoznamu"/>
        <w:spacing w:after="0"/>
        <w:rPr>
          <w:rFonts w:ascii="Arial" w:hAnsi="Arial" w:cs="Arial"/>
          <w:sz w:val="20"/>
          <w:szCs w:val="20"/>
        </w:rPr>
      </w:pPr>
    </w:p>
    <w:p w14:paraId="2FD65DAA" w14:textId="77777777" w:rsidR="00517431" w:rsidRDefault="00150791">
      <w:pPr>
        <w:pStyle w:val="Nadpis2"/>
        <w:spacing w:before="0"/>
        <w:rPr>
          <w:rFonts w:ascii="Arial" w:hAnsi="Arial" w:cs="Arial"/>
          <w:b/>
          <w:bCs/>
          <w:sz w:val="20"/>
          <w:szCs w:val="20"/>
        </w:rPr>
      </w:pPr>
      <w:bookmarkStart w:id="37" w:name="__RefHeading___Toc6247_3891905039"/>
      <w:bookmarkStart w:id="38" w:name="_Toc235216542"/>
      <w:bookmarkEnd w:id="37"/>
      <w:r>
        <w:rPr>
          <w:rFonts w:ascii="Arial" w:hAnsi="Arial" w:cs="Arial"/>
          <w:b/>
          <w:bCs/>
          <w:sz w:val="20"/>
          <w:szCs w:val="20"/>
        </w:rPr>
        <w:t>1.7 Vlastníctvo, export a ukončenie</w:t>
      </w:r>
      <w:bookmarkEnd w:id="38"/>
    </w:p>
    <w:p w14:paraId="4DD404EB" w14:textId="77777777" w:rsidR="00517431" w:rsidRDefault="00150791">
      <w:pPr>
        <w:spacing w:after="0"/>
        <w:rPr>
          <w:rFonts w:ascii="Arial" w:hAnsi="Arial" w:cs="Arial"/>
          <w:sz w:val="20"/>
          <w:szCs w:val="20"/>
        </w:rPr>
      </w:pPr>
      <w:bookmarkStart w:id="39" w:name="_Toc235216543"/>
      <w:r>
        <w:rPr>
          <w:rFonts w:ascii="Arial" w:hAnsi="Arial" w:cs="Arial"/>
          <w:sz w:val="20"/>
          <w:szCs w:val="20"/>
        </w:rPr>
        <w:t xml:space="preserve">Logy a odvodené bezpečnostné záznamy vytvorené pri plnení </w:t>
      </w:r>
      <w:r>
        <w:rPr>
          <w:rFonts w:ascii="Arial" w:hAnsi="Arial" w:cs="Arial"/>
          <w:b/>
          <w:bCs/>
          <w:color w:val="EE0000"/>
          <w:sz w:val="20"/>
          <w:szCs w:val="20"/>
        </w:rPr>
        <w:t>musia</w:t>
      </w:r>
      <w:r>
        <w:rPr>
          <w:rFonts w:ascii="Arial" w:hAnsi="Arial" w:cs="Arial"/>
          <w:color w:val="EE0000"/>
          <w:sz w:val="20"/>
          <w:szCs w:val="20"/>
        </w:rPr>
        <w:t xml:space="preserve"> </w:t>
      </w:r>
      <w:r>
        <w:rPr>
          <w:rFonts w:ascii="Arial" w:hAnsi="Arial" w:cs="Arial"/>
          <w:sz w:val="20"/>
          <w:szCs w:val="20"/>
        </w:rPr>
        <w:t xml:space="preserve">byť prevádzkovateľovi dostupné bez neprimeranej technickej alebo zmluvnej závislosti od dodávateľa. Dodávateľ zabezpečí export v dohodnutom alebo otvorenom formáte, zachovanie </w:t>
      </w:r>
      <w:proofErr w:type="spellStart"/>
      <w:r>
        <w:rPr>
          <w:rFonts w:ascii="Arial" w:hAnsi="Arial" w:cs="Arial"/>
          <w:sz w:val="20"/>
          <w:szCs w:val="20"/>
        </w:rPr>
        <w:t>retencie</w:t>
      </w:r>
      <w:proofErr w:type="spellEnd"/>
      <w:r>
        <w:rPr>
          <w:rFonts w:ascii="Arial" w:hAnsi="Arial" w:cs="Arial"/>
          <w:sz w:val="20"/>
          <w:szCs w:val="20"/>
        </w:rPr>
        <w:t xml:space="preserve"> a online dostupnosti aj pri výpadku, migrácii alebo skončení služby, odovzdanie schém, syntaktických analyzátorov, integračných konfigurácií a detekčných pravidiel v rozsahu zmluvných práv a písomné potvrdenie bezpečného výmazu zostávajúcich kópií po splnení retenčných a právnych povinností.</w:t>
      </w:r>
      <w:bookmarkEnd w:id="39"/>
    </w:p>
    <w:p w14:paraId="59CD941F" w14:textId="77777777" w:rsidR="00517431" w:rsidRDefault="00517431">
      <w:pPr>
        <w:spacing w:after="0"/>
        <w:rPr>
          <w:rFonts w:ascii="Arial" w:hAnsi="Arial" w:cs="Arial"/>
          <w:sz w:val="20"/>
          <w:szCs w:val="20"/>
        </w:rPr>
      </w:pPr>
    </w:p>
    <w:p w14:paraId="3EB8408E" w14:textId="77777777" w:rsidR="00517431" w:rsidRDefault="00150791">
      <w:pPr>
        <w:pStyle w:val="Nadpis2"/>
        <w:spacing w:before="0"/>
        <w:rPr>
          <w:rFonts w:ascii="Arial" w:hAnsi="Arial" w:cs="Arial"/>
          <w:b/>
          <w:bCs/>
          <w:sz w:val="20"/>
          <w:szCs w:val="20"/>
        </w:rPr>
      </w:pPr>
      <w:bookmarkStart w:id="40" w:name="__RefHeading___Toc6249_3891905039"/>
      <w:bookmarkStart w:id="41" w:name="_Toc235216544"/>
      <w:bookmarkEnd w:id="40"/>
      <w:r>
        <w:rPr>
          <w:rFonts w:ascii="Arial" w:hAnsi="Arial" w:cs="Arial"/>
          <w:b/>
          <w:bCs/>
          <w:sz w:val="20"/>
          <w:szCs w:val="20"/>
        </w:rPr>
        <w:t>2. Súhrn požiadaviek</w:t>
      </w:r>
      <w:bookmarkEnd w:id="41"/>
    </w:p>
    <w:p w14:paraId="3D915284" w14:textId="77777777" w:rsidR="00517431" w:rsidRDefault="00150791">
      <w:pPr>
        <w:spacing w:after="100"/>
      </w:pPr>
      <w:r>
        <w:t>Referenčné identifikátory SR 21 až SR 47 sú zachované z predchádzajúcich verzií Logovacieho štandardu na zabezpečenie nadväznosti na existujúce kontrolné zoznamy, projektovú dokumentáciu a evidenciu požiadaviek. Nejde o číslovanie odsekov tejto prílohy a žiadne požiadavky SR 1 až SR 20 z tohto dokumentu nechýbajú. Stĺpec MoSCoW vyjadruje záväznosť požiadavky; aplikovateľnosť sa posudzuje podľa jej znenia, logovacieho profilu a analýzy rizík.</w:t>
      </w:r>
    </w:p>
    <w:p w14:paraId="0B175E02" w14:textId="77777777" w:rsidR="00517431" w:rsidRDefault="00150791">
      <w:pPr>
        <w:pStyle w:val="Popis"/>
        <w:keepNext/>
        <w:spacing w:after="0"/>
        <w:rPr>
          <w:rFonts w:ascii="Arial" w:hAnsi="Arial" w:cs="Arial"/>
          <w:b/>
          <w:bCs/>
          <w:sz w:val="20"/>
          <w:szCs w:val="20"/>
        </w:rPr>
      </w:pPr>
      <w:r>
        <w:rPr>
          <w:rFonts w:ascii="Arial" w:hAnsi="Arial" w:cs="Arial"/>
          <w:b/>
          <w:bCs/>
          <w:sz w:val="20"/>
          <w:szCs w:val="20"/>
        </w:rPr>
        <w:t>Tabuľka 1 – Minimálne požiadavky na obsah logov</w:t>
      </w:r>
    </w:p>
    <w:tbl>
      <w:tblPr>
        <w:tblW w:w="10507" w:type="dxa"/>
        <w:jc w:val="center"/>
        <w:tblLayout w:type="fixed"/>
        <w:tblLook w:val="04A0" w:firstRow="1" w:lastRow="0" w:firstColumn="1" w:lastColumn="0" w:noHBand="0" w:noVBand="1"/>
      </w:tblPr>
      <w:tblGrid>
        <w:gridCol w:w="840"/>
        <w:gridCol w:w="8647"/>
        <w:gridCol w:w="1020"/>
      </w:tblGrid>
      <w:tr w:rsidR="00517431" w14:paraId="3E173089" w14:textId="77777777">
        <w:trPr>
          <w:cantSplit/>
          <w:tblHeader/>
          <w:jc w:val="center"/>
        </w:trPr>
        <w:tc>
          <w:tcPr>
            <w:tcW w:w="840" w:type="dxa"/>
            <w:tcBorders>
              <w:top w:val="single" w:sz="8" w:space="0" w:color="000000"/>
              <w:left w:val="single" w:sz="8" w:space="0" w:color="000000"/>
              <w:bottom w:val="single" w:sz="8" w:space="0" w:color="000000"/>
              <w:right w:val="single" w:sz="8" w:space="0" w:color="000000"/>
            </w:tcBorders>
            <w:shd w:val="clear" w:color="auto" w:fill="C0C0C0"/>
          </w:tcPr>
          <w:p w14:paraId="1A7E3437" w14:textId="77777777" w:rsidR="00517431" w:rsidRDefault="00150791">
            <w:pPr>
              <w:spacing w:after="0" w:line="240" w:lineRule="auto"/>
            </w:pPr>
            <w:proofErr w:type="spellStart"/>
            <w:r>
              <w:rPr>
                <w:rFonts w:ascii="Arial" w:hAnsi="Arial"/>
                <w:b/>
                <w:sz w:val="17"/>
              </w:rPr>
              <w:t>Ref</w:t>
            </w:r>
            <w:proofErr w:type="spellEnd"/>
          </w:p>
        </w:tc>
        <w:tc>
          <w:tcPr>
            <w:tcW w:w="8647" w:type="dxa"/>
            <w:tcBorders>
              <w:top w:val="single" w:sz="8" w:space="0" w:color="000000"/>
              <w:left w:val="single" w:sz="8" w:space="0" w:color="000000"/>
              <w:bottom w:val="single" w:sz="8" w:space="0" w:color="000000"/>
              <w:right w:val="single" w:sz="8" w:space="0" w:color="000000"/>
            </w:tcBorders>
            <w:shd w:val="clear" w:color="auto" w:fill="C0C0C0"/>
          </w:tcPr>
          <w:p w14:paraId="76A5F260" w14:textId="77777777" w:rsidR="00517431" w:rsidRDefault="00150791">
            <w:pPr>
              <w:spacing w:after="0" w:line="240" w:lineRule="auto"/>
            </w:pPr>
            <w:r>
              <w:rPr>
                <w:rFonts w:ascii="Arial" w:hAnsi="Arial"/>
                <w:b/>
                <w:sz w:val="17"/>
              </w:rPr>
              <w:t>Požiadavka</w:t>
            </w:r>
          </w:p>
        </w:tc>
        <w:tc>
          <w:tcPr>
            <w:tcW w:w="1020" w:type="dxa"/>
            <w:tcBorders>
              <w:top w:val="single" w:sz="8" w:space="0" w:color="000000"/>
              <w:left w:val="single" w:sz="8" w:space="0" w:color="000000"/>
              <w:bottom w:val="single" w:sz="8" w:space="0" w:color="000000"/>
              <w:right w:val="single" w:sz="8" w:space="0" w:color="000000"/>
            </w:tcBorders>
            <w:shd w:val="clear" w:color="auto" w:fill="C0C0C0"/>
            <w:tcMar>
              <w:left w:w="10" w:type="dxa"/>
              <w:right w:w="10" w:type="dxa"/>
            </w:tcMar>
          </w:tcPr>
          <w:p w14:paraId="57504941" w14:textId="77777777" w:rsidR="00517431" w:rsidRDefault="00150791" w:rsidP="00B61DEF">
            <w:pPr>
              <w:spacing w:after="0" w:line="240" w:lineRule="auto"/>
              <w:jc w:val="center"/>
            </w:pPr>
            <w:proofErr w:type="spellStart"/>
            <w:r>
              <w:rPr>
                <w:rFonts w:ascii="Arial" w:hAnsi="Arial"/>
                <w:b/>
                <w:sz w:val="17"/>
              </w:rPr>
              <w:t>MoSCoW</w:t>
            </w:r>
            <w:proofErr w:type="spellEnd"/>
          </w:p>
        </w:tc>
      </w:tr>
      <w:tr w:rsidR="00517431" w14:paraId="3686AC4B"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1AADBD28" w14:textId="77777777" w:rsidR="00517431" w:rsidRDefault="00150791">
            <w:pPr>
              <w:spacing w:after="0" w:line="240" w:lineRule="auto"/>
            </w:pPr>
            <w:r>
              <w:rPr>
                <w:rFonts w:ascii="Arial" w:hAnsi="Arial"/>
                <w:sz w:val="17"/>
              </w:rPr>
              <w:t>SR 21</w:t>
            </w:r>
          </w:p>
        </w:tc>
        <w:tc>
          <w:tcPr>
            <w:tcW w:w="8647" w:type="dxa"/>
            <w:tcBorders>
              <w:top w:val="single" w:sz="8" w:space="0" w:color="000000"/>
              <w:left w:val="single" w:sz="8" w:space="0" w:color="000000"/>
              <w:bottom w:val="single" w:sz="8" w:space="0" w:color="000000"/>
              <w:right w:val="single" w:sz="8" w:space="0" w:color="000000"/>
            </w:tcBorders>
          </w:tcPr>
          <w:p w14:paraId="163E62A7" w14:textId="77777777" w:rsidR="00517431" w:rsidRDefault="00150791">
            <w:pPr>
              <w:spacing w:after="0" w:line="240" w:lineRule="auto"/>
            </w:pPr>
            <w:r>
              <w:rPr>
                <w:rFonts w:ascii="Arial" w:hAnsi="Arial"/>
                <w:sz w:val="17"/>
              </w:rPr>
              <w:t>Implementovať logovanie všetkých bezpečnostne a prevádzkovo relevantných udalostí podľa logovacieho profilu.</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725B6034"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6F766B65"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678C8765" w14:textId="77777777" w:rsidR="00517431" w:rsidRDefault="00150791">
            <w:pPr>
              <w:spacing w:after="0" w:line="240" w:lineRule="auto"/>
            </w:pPr>
            <w:r>
              <w:rPr>
                <w:rFonts w:ascii="Arial" w:hAnsi="Arial"/>
                <w:sz w:val="17"/>
              </w:rPr>
              <w:t>SR 22</w:t>
            </w:r>
          </w:p>
        </w:tc>
        <w:tc>
          <w:tcPr>
            <w:tcW w:w="8647" w:type="dxa"/>
            <w:tcBorders>
              <w:top w:val="single" w:sz="8" w:space="0" w:color="000000"/>
              <w:left w:val="single" w:sz="8" w:space="0" w:color="000000"/>
              <w:bottom w:val="single" w:sz="8" w:space="0" w:color="000000"/>
              <w:right w:val="single" w:sz="8" w:space="0" w:color="000000"/>
            </w:tcBorders>
          </w:tcPr>
          <w:p w14:paraId="153318D8" w14:textId="77777777" w:rsidR="00517431" w:rsidRDefault="00150791">
            <w:pPr>
              <w:spacing w:after="0" w:line="240" w:lineRule="auto"/>
            </w:pPr>
            <w:r>
              <w:rPr>
                <w:rFonts w:ascii="Arial" w:hAnsi="Arial"/>
                <w:sz w:val="17"/>
              </w:rPr>
              <w:t>Zaznamenávať úspešné aj neúspešné autentifikácie, odhlásenia, zablokovania účtu, udalosti MFA a životný cyklus relácií alebo tokenov.</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44CC034"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7B951218"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2D030019" w14:textId="77777777" w:rsidR="00517431" w:rsidRDefault="00150791">
            <w:pPr>
              <w:spacing w:after="0" w:line="240" w:lineRule="auto"/>
            </w:pPr>
            <w:r>
              <w:rPr>
                <w:rFonts w:ascii="Arial" w:hAnsi="Arial"/>
                <w:sz w:val="17"/>
              </w:rPr>
              <w:t>SR 23</w:t>
            </w:r>
          </w:p>
        </w:tc>
        <w:tc>
          <w:tcPr>
            <w:tcW w:w="8647" w:type="dxa"/>
            <w:tcBorders>
              <w:top w:val="single" w:sz="8" w:space="0" w:color="000000"/>
              <w:left w:val="single" w:sz="8" w:space="0" w:color="000000"/>
              <w:bottom w:val="single" w:sz="8" w:space="0" w:color="000000"/>
              <w:right w:val="single" w:sz="8" w:space="0" w:color="000000"/>
            </w:tcBorders>
          </w:tcPr>
          <w:p w14:paraId="6727830A" w14:textId="77777777" w:rsidR="00517431" w:rsidRDefault="00150791">
            <w:pPr>
              <w:spacing w:after="0" w:line="240" w:lineRule="auto"/>
            </w:pPr>
            <w:r>
              <w:rPr>
                <w:rFonts w:ascii="Arial" w:hAnsi="Arial"/>
                <w:sz w:val="17"/>
              </w:rPr>
              <w:t>Zaznamenávať životný cyklus identít, účtov, skupín, rolí, oprávnení a členstiev.</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71DB0D2B"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7B744448"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20E41D14" w14:textId="77777777" w:rsidR="00517431" w:rsidRDefault="00150791">
            <w:pPr>
              <w:spacing w:after="0" w:line="240" w:lineRule="auto"/>
            </w:pPr>
            <w:r>
              <w:rPr>
                <w:rFonts w:ascii="Arial" w:hAnsi="Arial"/>
                <w:sz w:val="17"/>
              </w:rPr>
              <w:t>SR 24</w:t>
            </w:r>
          </w:p>
        </w:tc>
        <w:tc>
          <w:tcPr>
            <w:tcW w:w="8647" w:type="dxa"/>
            <w:tcBorders>
              <w:top w:val="single" w:sz="8" w:space="0" w:color="000000"/>
              <w:left w:val="single" w:sz="8" w:space="0" w:color="000000"/>
              <w:bottom w:val="single" w:sz="8" w:space="0" w:color="000000"/>
              <w:right w:val="single" w:sz="8" w:space="0" w:color="000000"/>
            </w:tcBorders>
          </w:tcPr>
          <w:p w14:paraId="6A3C5391" w14:textId="77777777" w:rsidR="00517431" w:rsidRDefault="00150791">
            <w:pPr>
              <w:spacing w:after="0" w:line="240" w:lineRule="auto"/>
            </w:pPr>
            <w:r>
              <w:rPr>
                <w:rFonts w:ascii="Arial" w:hAnsi="Arial"/>
                <w:sz w:val="17"/>
              </w:rPr>
              <w:t>Zaznamenávať prístupy a operácie s chránenými a prísne chránenými informáciami vrátane hromadného čítania, exportov, kopírovania a výmazov.</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75ED092"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2E48C2DA"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366C76CB" w14:textId="77777777" w:rsidR="00517431" w:rsidRDefault="00150791">
            <w:pPr>
              <w:spacing w:after="0" w:line="240" w:lineRule="auto"/>
            </w:pPr>
            <w:r>
              <w:rPr>
                <w:rFonts w:ascii="Arial" w:hAnsi="Arial"/>
                <w:sz w:val="17"/>
              </w:rPr>
              <w:t>SR 25</w:t>
            </w:r>
          </w:p>
        </w:tc>
        <w:tc>
          <w:tcPr>
            <w:tcW w:w="8647" w:type="dxa"/>
            <w:tcBorders>
              <w:top w:val="single" w:sz="8" w:space="0" w:color="000000"/>
              <w:left w:val="single" w:sz="8" w:space="0" w:color="000000"/>
              <w:bottom w:val="single" w:sz="8" w:space="0" w:color="000000"/>
              <w:right w:val="single" w:sz="8" w:space="0" w:color="000000"/>
            </w:tcBorders>
          </w:tcPr>
          <w:p w14:paraId="7A160E4D" w14:textId="77777777" w:rsidR="00517431" w:rsidRDefault="00150791">
            <w:pPr>
              <w:spacing w:after="0" w:line="240" w:lineRule="auto"/>
            </w:pPr>
            <w:r>
              <w:rPr>
                <w:rFonts w:ascii="Arial" w:hAnsi="Arial"/>
                <w:sz w:val="17"/>
              </w:rPr>
              <w:t>Zaznamenávať kritické a privilegované operácie a zmeny bezpečnostného stavu, konfigurácie, politík, kľúčov, certifikátov, záloh a logovania.</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3B2FA7E5"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1C10E4C5"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3867E3B0" w14:textId="77777777" w:rsidR="00517431" w:rsidRDefault="00150791">
            <w:pPr>
              <w:spacing w:after="0" w:line="240" w:lineRule="auto"/>
            </w:pPr>
            <w:r>
              <w:rPr>
                <w:rFonts w:ascii="Arial" w:hAnsi="Arial"/>
                <w:sz w:val="17"/>
              </w:rPr>
              <w:t>SR 26</w:t>
            </w:r>
          </w:p>
        </w:tc>
        <w:tc>
          <w:tcPr>
            <w:tcW w:w="8647" w:type="dxa"/>
            <w:tcBorders>
              <w:top w:val="single" w:sz="8" w:space="0" w:color="000000"/>
              <w:left w:val="single" w:sz="8" w:space="0" w:color="000000"/>
              <w:bottom w:val="single" w:sz="8" w:space="0" w:color="000000"/>
              <w:right w:val="single" w:sz="8" w:space="0" w:color="000000"/>
            </w:tcBorders>
          </w:tcPr>
          <w:p w14:paraId="04969D26" w14:textId="77777777" w:rsidR="00517431" w:rsidRDefault="00150791">
            <w:pPr>
              <w:spacing w:after="0" w:line="240" w:lineRule="auto"/>
            </w:pPr>
            <w:r>
              <w:rPr>
                <w:rFonts w:ascii="Arial" w:hAnsi="Arial"/>
                <w:sz w:val="17"/>
              </w:rPr>
              <w:t>Zaznamenávať spustenie, zastavenie, zlyhanie a reštart procesov, služieb, aplikácií, kontajnerov, automatizovaných úloh a integračných tokov.</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11775DA" w14:textId="77777777" w:rsidR="00517431" w:rsidRPr="00553E23" w:rsidRDefault="00150791" w:rsidP="00B61DEF">
            <w:pPr>
              <w:spacing w:after="0" w:line="240" w:lineRule="auto"/>
              <w:jc w:val="center"/>
              <w:rPr>
                <w:b/>
                <w:bCs/>
                <w:color w:val="FFC000" w:themeColor="accent4"/>
              </w:rPr>
            </w:pPr>
            <w:r w:rsidRPr="00553E23">
              <w:rPr>
                <w:rFonts w:ascii="Arial" w:hAnsi="Arial"/>
                <w:b/>
                <w:bCs/>
                <w:color w:val="FFC000" w:themeColor="accent4"/>
                <w:sz w:val="17"/>
              </w:rPr>
              <w:t>S</w:t>
            </w:r>
          </w:p>
        </w:tc>
      </w:tr>
      <w:tr w:rsidR="00517431" w14:paraId="02525337"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4F25125D" w14:textId="77777777" w:rsidR="00517431" w:rsidRDefault="00150791">
            <w:pPr>
              <w:spacing w:after="0" w:line="240" w:lineRule="auto"/>
            </w:pPr>
            <w:r>
              <w:rPr>
                <w:rFonts w:ascii="Arial" w:hAnsi="Arial"/>
                <w:sz w:val="17"/>
              </w:rPr>
              <w:t>SR 27</w:t>
            </w:r>
          </w:p>
        </w:tc>
        <w:tc>
          <w:tcPr>
            <w:tcW w:w="8647" w:type="dxa"/>
            <w:tcBorders>
              <w:top w:val="single" w:sz="8" w:space="0" w:color="000000"/>
              <w:left w:val="single" w:sz="8" w:space="0" w:color="000000"/>
              <w:bottom w:val="single" w:sz="8" w:space="0" w:color="000000"/>
              <w:right w:val="single" w:sz="8" w:space="0" w:color="000000"/>
            </w:tcBorders>
          </w:tcPr>
          <w:p w14:paraId="5C3E477C" w14:textId="77777777" w:rsidR="00517431" w:rsidRDefault="00150791">
            <w:pPr>
              <w:spacing w:after="0" w:line="240" w:lineRule="auto"/>
            </w:pPr>
            <w:r>
              <w:rPr>
                <w:rFonts w:ascii="Arial" w:hAnsi="Arial"/>
                <w:sz w:val="17"/>
              </w:rPr>
              <w:t>Zaznamenávať vzdialené a servisné prístupy vrátane relácií, zdrojov, cieľov, schválenia PAM/JIT, prenosov súborov a privilegovaných príkazov podľa technických možností.</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5C4947BF" w14:textId="77777777" w:rsidR="00517431" w:rsidRPr="00553E23" w:rsidRDefault="00150791" w:rsidP="00B61DEF">
            <w:pPr>
              <w:spacing w:after="0" w:line="240" w:lineRule="auto"/>
              <w:jc w:val="center"/>
              <w:rPr>
                <w:b/>
                <w:bCs/>
                <w:color w:val="FFC000" w:themeColor="accent4"/>
              </w:rPr>
            </w:pPr>
            <w:r w:rsidRPr="00553E23">
              <w:rPr>
                <w:rFonts w:ascii="Arial" w:hAnsi="Arial"/>
                <w:b/>
                <w:bCs/>
                <w:color w:val="FFC000" w:themeColor="accent4"/>
                <w:sz w:val="17"/>
              </w:rPr>
              <w:t>S</w:t>
            </w:r>
          </w:p>
        </w:tc>
      </w:tr>
      <w:tr w:rsidR="00517431" w14:paraId="644C1225"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2B4F1CE1" w14:textId="77777777" w:rsidR="00517431" w:rsidRDefault="00150791">
            <w:pPr>
              <w:spacing w:after="0" w:line="240" w:lineRule="auto"/>
            </w:pPr>
            <w:r>
              <w:rPr>
                <w:rFonts w:ascii="Arial" w:hAnsi="Arial"/>
                <w:sz w:val="17"/>
              </w:rPr>
              <w:t>SR 28</w:t>
            </w:r>
          </w:p>
        </w:tc>
        <w:tc>
          <w:tcPr>
            <w:tcW w:w="8647" w:type="dxa"/>
            <w:tcBorders>
              <w:top w:val="single" w:sz="8" w:space="0" w:color="000000"/>
              <w:left w:val="single" w:sz="8" w:space="0" w:color="000000"/>
              <w:bottom w:val="single" w:sz="8" w:space="0" w:color="000000"/>
              <w:right w:val="single" w:sz="8" w:space="0" w:color="000000"/>
            </w:tcBorders>
          </w:tcPr>
          <w:p w14:paraId="1513AA8D" w14:textId="77777777" w:rsidR="00517431" w:rsidRDefault="00150791">
            <w:pPr>
              <w:spacing w:after="0" w:line="240" w:lineRule="auto"/>
            </w:pPr>
            <w:r>
              <w:rPr>
                <w:rFonts w:ascii="Arial" w:hAnsi="Arial"/>
                <w:sz w:val="17"/>
              </w:rPr>
              <w:t xml:space="preserve">Uchovávať relevantné bezpečnostné a prevádzkové logy najmenej 12 mesiacov; kritické alebo forenzné logy najmenej 24 mesiacov a najmenej 90 dní logov kritických systémov bezprostredne </w:t>
            </w:r>
            <w:proofErr w:type="spellStart"/>
            <w:r>
              <w:rPr>
                <w:rFonts w:ascii="Arial" w:hAnsi="Arial"/>
                <w:sz w:val="17"/>
              </w:rPr>
              <w:t>vyhľadateľných</w:t>
            </w:r>
            <w:proofErr w:type="spellEnd"/>
            <w:r>
              <w:rPr>
                <w:rFonts w:ascii="Arial" w:hAnsi="Arial"/>
                <w:sz w:val="17"/>
              </w:rPr>
              <w:t>.</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E82A04A"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66B860BE" w14:textId="77777777">
        <w:trPr>
          <w:cantSplit/>
          <w:jc w:val="center"/>
        </w:trPr>
        <w:tc>
          <w:tcPr>
            <w:tcW w:w="840" w:type="dxa"/>
            <w:tcBorders>
              <w:top w:val="single" w:sz="8" w:space="0" w:color="000000"/>
              <w:left w:val="single" w:sz="8" w:space="0" w:color="000000"/>
              <w:bottom w:val="single" w:sz="8" w:space="0" w:color="000000"/>
              <w:right w:val="single" w:sz="8" w:space="0" w:color="000000"/>
            </w:tcBorders>
          </w:tcPr>
          <w:p w14:paraId="5560F86C" w14:textId="77777777" w:rsidR="00517431" w:rsidRDefault="00150791">
            <w:pPr>
              <w:spacing w:after="0" w:line="240" w:lineRule="auto"/>
            </w:pPr>
            <w:r>
              <w:rPr>
                <w:rFonts w:ascii="Arial" w:hAnsi="Arial"/>
                <w:sz w:val="17"/>
              </w:rPr>
              <w:t>SR 29</w:t>
            </w:r>
          </w:p>
        </w:tc>
        <w:tc>
          <w:tcPr>
            <w:tcW w:w="8647" w:type="dxa"/>
            <w:tcBorders>
              <w:top w:val="single" w:sz="8" w:space="0" w:color="000000"/>
              <w:left w:val="single" w:sz="8" w:space="0" w:color="000000"/>
              <w:bottom w:val="single" w:sz="8" w:space="0" w:color="000000"/>
              <w:right w:val="single" w:sz="8" w:space="0" w:color="000000"/>
            </w:tcBorders>
          </w:tcPr>
          <w:p w14:paraId="04271F0E" w14:textId="77777777" w:rsidR="00517431" w:rsidRDefault="00150791">
            <w:pPr>
              <w:spacing w:after="0" w:line="240" w:lineRule="auto"/>
            </w:pPr>
            <w:r>
              <w:rPr>
                <w:rFonts w:ascii="Arial" w:hAnsi="Arial"/>
                <w:sz w:val="17"/>
              </w:rPr>
              <w:t>Podporovať bezpečný prenos logov do centrálnej platformy v schválenom strojovo spracovateľnom formáte.</w:t>
            </w:r>
          </w:p>
        </w:tc>
        <w:tc>
          <w:tcPr>
            <w:tcW w:w="1020"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BDF0B10"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bl>
    <w:p w14:paraId="4A6443A5" w14:textId="77777777" w:rsidR="00517431" w:rsidRDefault="00517431">
      <w:pPr>
        <w:spacing w:after="0" w:line="271" w:lineRule="auto"/>
        <w:ind w:left="363" w:right="6"/>
        <w:jc w:val="both"/>
        <w:rPr>
          <w:rFonts w:ascii="Arial" w:hAnsi="Arial" w:cs="Arial"/>
          <w:sz w:val="20"/>
          <w:szCs w:val="20"/>
        </w:rPr>
      </w:pPr>
    </w:p>
    <w:p w14:paraId="0383FCFE" w14:textId="77777777" w:rsidR="00517431" w:rsidRDefault="00150791">
      <w:pPr>
        <w:pStyle w:val="Popis"/>
        <w:keepNext/>
        <w:spacing w:after="0"/>
        <w:rPr>
          <w:rFonts w:ascii="Arial" w:hAnsi="Arial" w:cs="Arial"/>
          <w:b/>
          <w:bCs/>
          <w:sz w:val="20"/>
          <w:szCs w:val="20"/>
        </w:rPr>
      </w:pPr>
      <w:r>
        <w:rPr>
          <w:rFonts w:ascii="Arial" w:hAnsi="Arial" w:cs="Arial"/>
          <w:b/>
          <w:bCs/>
          <w:sz w:val="20"/>
          <w:szCs w:val="20"/>
        </w:rPr>
        <w:lastRenderedPageBreak/>
        <w:t>Tabuľka 2 – Minimálne požiadavky na zber, ochranu a vyhodnocovanie logov</w:t>
      </w:r>
    </w:p>
    <w:tbl>
      <w:tblPr>
        <w:tblW w:w="10517" w:type="dxa"/>
        <w:jc w:val="center"/>
        <w:tblLayout w:type="fixed"/>
        <w:tblLook w:val="04A0" w:firstRow="1" w:lastRow="0" w:firstColumn="1" w:lastColumn="0" w:noHBand="0" w:noVBand="1"/>
      </w:tblPr>
      <w:tblGrid>
        <w:gridCol w:w="841"/>
        <w:gridCol w:w="8647"/>
        <w:gridCol w:w="1029"/>
      </w:tblGrid>
      <w:tr w:rsidR="00517431" w14:paraId="5A29E2A5" w14:textId="77777777">
        <w:trPr>
          <w:cantSplit/>
          <w:tblHeader/>
          <w:jc w:val="center"/>
        </w:trPr>
        <w:tc>
          <w:tcPr>
            <w:tcW w:w="841" w:type="dxa"/>
            <w:tcBorders>
              <w:top w:val="single" w:sz="8" w:space="0" w:color="000000"/>
              <w:left w:val="single" w:sz="8" w:space="0" w:color="000000"/>
              <w:bottom w:val="single" w:sz="8" w:space="0" w:color="000000"/>
              <w:right w:val="single" w:sz="8" w:space="0" w:color="000000"/>
            </w:tcBorders>
            <w:shd w:val="clear" w:color="auto" w:fill="C0C0C0"/>
          </w:tcPr>
          <w:p w14:paraId="798D4CE6" w14:textId="77777777" w:rsidR="00517431" w:rsidRDefault="00150791">
            <w:pPr>
              <w:spacing w:after="0" w:line="240" w:lineRule="auto"/>
            </w:pPr>
            <w:proofErr w:type="spellStart"/>
            <w:r>
              <w:rPr>
                <w:rFonts w:ascii="Arial" w:hAnsi="Arial"/>
                <w:b/>
                <w:sz w:val="17"/>
              </w:rPr>
              <w:t>Ref</w:t>
            </w:r>
            <w:proofErr w:type="spellEnd"/>
          </w:p>
        </w:tc>
        <w:tc>
          <w:tcPr>
            <w:tcW w:w="8647" w:type="dxa"/>
            <w:tcBorders>
              <w:top w:val="single" w:sz="8" w:space="0" w:color="000000"/>
              <w:left w:val="single" w:sz="8" w:space="0" w:color="000000"/>
              <w:bottom w:val="single" w:sz="8" w:space="0" w:color="000000"/>
              <w:right w:val="single" w:sz="8" w:space="0" w:color="000000"/>
            </w:tcBorders>
            <w:shd w:val="clear" w:color="auto" w:fill="C0C0C0"/>
          </w:tcPr>
          <w:p w14:paraId="3CCC0F56" w14:textId="77777777" w:rsidR="00517431" w:rsidRDefault="00150791">
            <w:pPr>
              <w:spacing w:after="0" w:line="240" w:lineRule="auto"/>
            </w:pPr>
            <w:r>
              <w:rPr>
                <w:rFonts w:ascii="Arial" w:hAnsi="Arial"/>
                <w:b/>
                <w:sz w:val="17"/>
              </w:rPr>
              <w:t>Požiadavka</w:t>
            </w:r>
          </w:p>
        </w:tc>
        <w:tc>
          <w:tcPr>
            <w:tcW w:w="1029" w:type="dxa"/>
            <w:tcBorders>
              <w:top w:val="single" w:sz="8" w:space="0" w:color="000000"/>
              <w:left w:val="single" w:sz="8" w:space="0" w:color="000000"/>
              <w:bottom w:val="single" w:sz="8" w:space="0" w:color="000000"/>
              <w:right w:val="single" w:sz="8" w:space="0" w:color="000000"/>
            </w:tcBorders>
            <w:shd w:val="clear" w:color="auto" w:fill="C0C0C0"/>
            <w:tcMar>
              <w:left w:w="10" w:type="dxa"/>
              <w:right w:w="10" w:type="dxa"/>
            </w:tcMar>
          </w:tcPr>
          <w:p w14:paraId="7B7532C6" w14:textId="77777777" w:rsidR="00517431" w:rsidRDefault="00150791" w:rsidP="00B61DEF">
            <w:pPr>
              <w:spacing w:after="0" w:line="240" w:lineRule="auto"/>
              <w:jc w:val="center"/>
            </w:pPr>
            <w:proofErr w:type="spellStart"/>
            <w:r>
              <w:rPr>
                <w:rFonts w:ascii="Arial" w:hAnsi="Arial"/>
                <w:b/>
                <w:sz w:val="17"/>
              </w:rPr>
              <w:t>MoSCoW</w:t>
            </w:r>
            <w:proofErr w:type="spellEnd"/>
          </w:p>
        </w:tc>
      </w:tr>
      <w:tr w:rsidR="00517431" w14:paraId="7068ED7B"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13E8B294" w14:textId="77777777" w:rsidR="00517431" w:rsidRDefault="00150791">
            <w:pPr>
              <w:spacing w:after="0" w:line="240" w:lineRule="auto"/>
            </w:pPr>
            <w:r>
              <w:rPr>
                <w:rFonts w:ascii="Arial" w:hAnsi="Arial"/>
                <w:sz w:val="17"/>
              </w:rPr>
              <w:t>SR 30</w:t>
            </w:r>
          </w:p>
        </w:tc>
        <w:tc>
          <w:tcPr>
            <w:tcW w:w="8647" w:type="dxa"/>
            <w:tcBorders>
              <w:top w:val="single" w:sz="8" w:space="0" w:color="000000"/>
              <w:left w:val="single" w:sz="8" w:space="0" w:color="000000"/>
              <w:bottom w:val="single" w:sz="8" w:space="0" w:color="000000"/>
              <w:right w:val="single" w:sz="8" w:space="0" w:color="000000"/>
            </w:tcBorders>
          </w:tcPr>
          <w:p w14:paraId="61179B0D" w14:textId="77777777" w:rsidR="00517431" w:rsidRDefault="00150791">
            <w:pPr>
              <w:spacing w:after="0" w:line="240" w:lineRule="auto"/>
            </w:pPr>
            <w:r>
              <w:rPr>
                <w:rFonts w:ascii="Arial" w:hAnsi="Arial"/>
                <w:sz w:val="17"/>
              </w:rPr>
              <w:t>Webové a API logy vytvárať v štruktúrovanom formáte a citlivý obsah hlavičiek, parametrov, požiadaviek a odpovedí minimalizovať.</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1A41FE8" w14:textId="77777777" w:rsidR="00517431" w:rsidRPr="00553E23" w:rsidRDefault="00150791" w:rsidP="00B61DEF">
            <w:pPr>
              <w:spacing w:after="0" w:line="240" w:lineRule="auto"/>
              <w:jc w:val="center"/>
              <w:rPr>
                <w:b/>
                <w:bCs/>
              </w:rPr>
            </w:pPr>
            <w:r w:rsidRPr="00553E23">
              <w:rPr>
                <w:rFonts w:ascii="Arial" w:hAnsi="Arial"/>
                <w:b/>
                <w:bCs/>
                <w:color w:val="FFC000" w:themeColor="accent4"/>
                <w:sz w:val="17"/>
              </w:rPr>
              <w:t>S</w:t>
            </w:r>
          </w:p>
        </w:tc>
      </w:tr>
      <w:tr w:rsidR="00517431" w14:paraId="67D8CBC7"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046B7E99" w14:textId="77777777" w:rsidR="00517431" w:rsidRDefault="00150791">
            <w:pPr>
              <w:spacing w:after="0" w:line="240" w:lineRule="auto"/>
            </w:pPr>
            <w:r>
              <w:rPr>
                <w:rFonts w:ascii="Arial" w:hAnsi="Arial"/>
                <w:sz w:val="17"/>
              </w:rPr>
              <w:t>SR 31</w:t>
            </w:r>
          </w:p>
        </w:tc>
        <w:tc>
          <w:tcPr>
            <w:tcW w:w="8647" w:type="dxa"/>
            <w:tcBorders>
              <w:top w:val="single" w:sz="8" w:space="0" w:color="000000"/>
              <w:left w:val="single" w:sz="8" w:space="0" w:color="000000"/>
              <w:bottom w:val="single" w:sz="8" w:space="0" w:color="000000"/>
              <w:right w:val="single" w:sz="8" w:space="0" w:color="000000"/>
            </w:tcBorders>
          </w:tcPr>
          <w:p w14:paraId="2AE47140" w14:textId="77777777" w:rsidR="00517431" w:rsidRDefault="00150791">
            <w:pPr>
              <w:spacing w:after="0" w:line="240" w:lineRule="auto"/>
            </w:pPr>
            <w:r>
              <w:rPr>
                <w:rFonts w:ascii="Arial" w:hAnsi="Arial"/>
                <w:sz w:val="17"/>
              </w:rPr>
              <w:t xml:space="preserve">Logy jednotlivých virtuálnych </w:t>
            </w:r>
            <w:proofErr w:type="spellStart"/>
            <w:r>
              <w:rPr>
                <w:rFonts w:ascii="Arial" w:hAnsi="Arial"/>
                <w:sz w:val="17"/>
              </w:rPr>
              <w:t>hostov</w:t>
            </w:r>
            <w:proofErr w:type="spellEnd"/>
            <w:r>
              <w:rPr>
                <w:rFonts w:ascii="Arial" w:hAnsi="Arial"/>
                <w:sz w:val="17"/>
              </w:rPr>
              <w:t>, nájomníkov, aplikácií a bezpečnostných domén jednoznačne oddeliť alebo označiť.</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18D96A89" w14:textId="77777777" w:rsidR="00517431" w:rsidRPr="00553E23" w:rsidRDefault="00150791" w:rsidP="00B61DEF">
            <w:pPr>
              <w:spacing w:after="0" w:line="240" w:lineRule="auto"/>
              <w:jc w:val="center"/>
              <w:rPr>
                <w:b/>
                <w:bCs/>
              </w:rPr>
            </w:pPr>
            <w:r w:rsidRPr="00553E23">
              <w:rPr>
                <w:rFonts w:ascii="Arial" w:hAnsi="Arial"/>
                <w:b/>
                <w:bCs/>
                <w:color w:val="FFC000" w:themeColor="accent4"/>
                <w:sz w:val="17"/>
              </w:rPr>
              <w:t>S</w:t>
            </w:r>
          </w:p>
        </w:tc>
      </w:tr>
      <w:tr w:rsidR="00517431" w14:paraId="51AE74B8"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030E9279" w14:textId="77777777" w:rsidR="00517431" w:rsidRDefault="00150791">
            <w:pPr>
              <w:spacing w:after="0" w:line="240" w:lineRule="auto"/>
            </w:pPr>
            <w:r>
              <w:rPr>
                <w:rFonts w:ascii="Arial" w:hAnsi="Arial"/>
                <w:sz w:val="17"/>
              </w:rPr>
              <w:t>SR 32</w:t>
            </w:r>
          </w:p>
        </w:tc>
        <w:tc>
          <w:tcPr>
            <w:tcW w:w="8647" w:type="dxa"/>
            <w:tcBorders>
              <w:top w:val="single" w:sz="8" w:space="0" w:color="000000"/>
              <w:left w:val="single" w:sz="8" w:space="0" w:color="000000"/>
              <w:bottom w:val="single" w:sz="8" w:space="0" w:color="000000"/>
              <w:right w:val="single" w:sz="8" w:space="0" w:color="000000"/>
            </w:tcBorders>
          </w:tcPr>
          <w:p w14:paraId="6115E520" w14:textId="77777777" w:rsidR="00517431" w:rsidRDefault="00150791">
            <w:pPr>
              <w:spacing w:after="0" w:line="240" w:lineRule="auto"/>
            </w:pPr>
            <w:r>
              <w:rPr>
                <w:rFonts w:ascii="Arial" w:hAnsi="Arial"/>
                <w:sz w:val="17"/>
              </w:rPr>
              <w:t xml:space="preserve">Logovať povinné časové, </w:t>
            </w:r>
            <w:proofErr w:type="spellStart"/>
            <w:r>
              <w:rPr>
                <w:rFonts w:ascii="Arial" w:hAnsi="Arial"/>
                <w:sz w:val="17"/>
              </w:rPr>
              <w:t>identitné</w:t>
            </w:r>
            <w:proofErr w:type="spellEnd"/>
            <w:r>
              <w:rPr>
                <w:rFonts w:ascii="Arial" w:hAnsi="Arial"/>
                <w:sz w:val="17"/>
              </w:rPr>
              <w:t>, zdrojové, cieľové, akčné, výsledkové a korelačné polia podľa logovacieho profilu.</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003ED2C"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72365C2E"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2CC0987A" w14:textId="77777777" w:rsidR="00517431" w:rsidRDefault="00150791">
            <w:pPr>
              <w:spacing w:after="0" w:line="240" w:lineRule="auto"/>
            </w:pPr>
            <w:r>
              <w:rPr>
                <w:rFonts w:ascii="Arial" w:hAnsi="Arial"/>
                <w:sz w:val="17"/>
              </w:rPr>
              <w:t>SR 33</w:t>
            </w:r>
          </w:p>
        </w:tc>
        <w:tc>
          <w:tcPr>
            <w:tcW w:w="8647" w:type="dxa"/>
            <w:tcBorders>
              <w:top w:val="single" w:sz="8" w:space="0" w:color="000000"/>
              <w:left w:val="single" w:sz="8" w:space="0" w:color="000000"/>
              <w:bottom w:val="single" w:sz="8" w:space="0" w:color="000000"/>
              <w:right w:val="single" w:sz="8" w:space="0" w:color="000000"/>
            </w:tcBorders>
          </w:tcPr>
          <w:p w14:paraId="73A64DCB" w14:textId="77777777" w:rsidR="00517431" w:rsidRDefault="00150791">
            <w:pPr>
              <w:spacing w:after="0" w:line="240" w:lineRule="auto"/>
            </w:pPr>
            <w:r>
              <w:rPr>
                <w:rFonts w:ascii="Arial" w:hAnsi="Arial"/>
                <w:sz w:val="17"/>
              </w:rPr>
              <w:t>Uchovávať relevantné logy na oddelenej centrálnej platforme s oddelenými administrátorskými rolami.</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4E035DE8"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55E12422"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2A7B34D1" w14:textId="77777777" w:rsidR="00517431" w:rsidRDefault="00150791">
            <w:pPr>
              <w:spacing w:after="0" w:line="240" w:lineRule="auto"/>
            </w:pPr>
            <w:r>
              <w:rPr>
                <w:rFonts w:ascii="Arial" w:hAnsi="Arial"/>
                <w:sz w:val="17"/>
              </w:rPr>
              <w:t>SR 34</w:t>
            </w:r>
          </w:p>
        </w:tc>
        <w:tc>
          <w:tcPr>
            <w:tcW w:w="8647" w:type="dxa"/>
            <w:tcBorders>
              <w:top w:val="single" w:sz="8" w:space="0" w:color="000000"/>
              <w:left w:val="single" w:sz="8" w:space="0" w:color="000000"/>
              <w:bottom w:val="single" w:sz="8" w:space="0" w:color="000000"/>
              <w:right w:val="single" w:sz="8" w:space="0" w:color="000000"/>
            </w:tcBorders>
          </w:tcPr>
          <w:p w14:paraId="53A6032D" w14:textId="77777777" w:rsidR="00517431" w:rsidRDefault="00150791">
            <w:pPr>
              <w:spacing w:after="0" w:line="240" w:lineRule="auto"/>
            </w:pPr>
            <w:r>
              <w:rPr>
                <w:rFonts w:ascii="Arial" w:hAnsi="Arial"/>
                <w:sz w:val="17"/>
              </w:rPr>
              <w:t xml:space="preserve">Dimenzovať a monitorovať kapacitu podľa objemu, špičiek, </w:t>
            </w:r>
            <w:proofErr w:type="spellStart"/>
            <w:r>
              <w:rPr>
                <w:rFonts w:ascii="Arial" w:hAnsi="Arial"/>
                <w:sz w:val="17"/>
              </w:rPr>
              <w:t>retencie</w:t>
            </w:r>
            <w:proofErr w:type="spellEnd"/>
            <w:r>
              <w:rPr>
                <w:rFonts w:ascii="Arial" w:hAnsi="Arial"/>
                <w:sz w:val="17"/>
              </w:rPr>
              <w:t>, indexácie, replikácie a primeranej rezervy.</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2D4B99B"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5F0FB870"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3934085D" w14:textId="77777777" w:rsidR="00517431" w:rsidRDefault="00150791">
            <w:pPr>
              <w:spacing w:after="0" w:line="240" w:lineRule="auto"/>
            </w:pPr>
            <w:r>
              <w:rPr>
                <w:rFonts w:ascii="Arial" w:hAnsi="Arial"/>
                <w:sz w:val="17"/>
              </w:rPr>
              <w:t>SR 35</w:t>
            </w:r>
          </w:p>
        </w:tc>
        <w:tc>
          <w:tcPr>
            <w:tcW w:w="8647" w:type="dxa"/>
            <w:tcBorders>
              <w:top w:val="single" w:sz="8" w:space="0" w:color="000000"/>
              <w:left w:val="single" w:sz="8" w:space="0" w:color="000000"/>
              <w:bottom w:val="single" w:sz="8" w:space="0" w:color="000000"/>
              <w:right w:val="single" w:sz="8" w:space="0" w:color="000000"/>
            </w:tcBorders>
          </w:tcPr>
          <w:p w14:paraId="1C31B3BA" w14:textId="77777777" w:rsidR="00517431" w:rsidRDefault="00150791">
            <w:pPr>
              <w:spacing w:after="0" w:line="240" w:lineRule="auto"/>
            </w:pPr>
            <w:r>
              <w:rPr>
                <w:rFonts w:ascii="Arial" w:hAnsi="Arial"/>
                <w:sz w:val="17"/>
              </w:rPr>
              <w:t>Uplatniť dlhšiu retenciu alebo pozastavenie výmazu, ak ich určí právny predpis, registratúrny plán, zmluvná dokumentácia alebo schválený logovací profil, incident, audit, kontrola alebo oprávnený orgán.</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39C8952D"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0B674512"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79237966" w14:textId="77777777" w:rsidR="00517431" w:rsidRDefault="00150791">
            <w:pPr>
              <w:spacing w:after="0" w:line="240" w:lineRule="auto"/>
            </w:pPr>
            <w:r>
              <w:rPr>
                <w:rFonts w:ascii="Arial" w:hAnsi="Arial"/>
                <w:sz w:val="17"/>
              </w:rPr>
              <w:t>SR 36</w:t>
            </w:r>
          </w:p>
        </w:tc>
        <w:tc>
          <w:tcPr>
            <w:tcW w:w="8647" w:type="dxa"/>
            <w:tcBorders>
              <w:top w:val="single" w:sz="8" w:space="0" w:color="000000"/>
              <w:left w:val="single" w:sz="8" w:space="0" w:color="000000"/>
              <w:bottom w:val="single" w:sz="8" w:space="0" w:color="000000"/>
              <w:right w:val="single" w:sz="8" w:space="0" w:color="000000"/>
            </w:tcBorders>
          </w:tcPr>
          <w:p w14:paraId="60F540A7" w14:textId="77777777" w:rsidR="00517431" w:rsidRDefault="00150791">
            <w:pPr>
              <w:spacing w:after="0" w:line="240" w:lineRule="auto"/>
            </w:pPr>
            <w:r>
              <w:rPr>
                <w:rFonts w:ascii="Arial" w:hAnsi="Arial"/>
                <w:sz w:val="17"/>
              </w:rPr>
              <w:t>Logy automatizovane korelovať a vyhodnocovať podľa detekčných scenárov, rizika a parametrov tabuľky 4.</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3BBE3796"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01A4048B"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13D17345" w14:textId="77777777" w:rsidR="00517431" w:rsidRDefault="00150791">
            <w:pPr>
              <w:spacing w:after="0" w:line="240" w:lineRule="auto"/>
            </w:pPr>
            <w:r>
              <w:rPr>
                <w:rFonts w:ascii="Arial" w:hAnsi="Arial"/>
                <w:sz w:val="17"/>
              </w:rPr>
              <w:t>SR 37</w:t>
            </w:r>
          </w:p>
        </w:tc>
        <w:tc>
          <w:tcPr>
            <w:tcW w:w="8647" w:type="dxa"/>
            <w:tcBorders>
              <w:top w:val="single" w:sz="8" w:space="0" w:color="000000"/>
              <w:left w:val="single" w:sz="8" w:space="0" w:color="000000"/>
              <w:bottom w:val="single" w:sz="8" w:space="0" w:color="000000"/>
              <w:right w:val="single" w:sz="8" w:space="0" w:color="000000"/>
            </w:tcBorders>
          </w:tcPr>
          <w:p w14:paraId="653FEC97" w14:textId="77777777" w:rsidR="00517431" w:rsidRDefault="00150791">
            <w:pPr>
              <w:spacing w:after="0" w:line="240" w:lineRule="auto"/>
            </w:pPr>
            <w:r>
              <w:rPr>
                <w:rFonts w:ascii="Arial" w:hAnsi="Arial"/>
                <w:sz w:val="17"/>
              </w:rPr>
              <w:t>Kritické bezpečnostné upozornenia spracúvať nepretržite 24/7 alebo ekvivalentným schváleným režimom.</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064447B"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1C82A2C4"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0C4F0484" w14:textId="77777777" w:rsidR="00517431" w:rsidRDefault="00150791">
            <w:pPr>
              <w:spacing w:after="0" w:line="240" w:lineRule="auto"/>
            </w:pPr>
            <w:r>
              <w:rPr>
                <w:rFonts w:ascii="Arial" w:hAnsi="Arial"/>
                <w:sz w:val="17"/>
              </w:rPr>
              <w:t>SR 38</w:t>
            </w:r>
          </w:p>
        </w:tc>
        <w:tc>
          <w:tcPr>
            <w:tcW w:w="8647" w:type="dxa"/>
            <w:tcBorders>
              <w:top w:val="single" w:sz="8" w:space="0" w:color="000000"/>
              <w:left w:val="single" w:sz="8" w:space="0" w:color="000000"/>
              <w:bottom w:val="single" w:sz="8" w:space="0" w:color="000000"/>
              <w:right w:val="single" w:sz="8" w:space="0" w:color="000000"/>
            </w:tcBorders>
          </w:tcPr>
          <w:p w14:paraId="4E6D0263" w14:textId="77777777" w:rsidR="00517431" w:rsidRDefault="00150791">
            <w:pPr>
              <w:spacing w:after="0" w:line="240" w:lineRule="auto"/>
            </w:pPr>
            <w:r>
              <w:rPr>
                <w:rFonts w:ascii="Arial" w:hAnsi="Arial"/>
                <w:sz w:val="17"/>
              </w:rPr>
              <w:t>Zabezpečiť presné časové značky, časovú zónu alebo UTC a monitorovanie časovej odchýlky.</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47016B6A"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73493AF6"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5AAB0A33" w14:textId="77777777" w:rsidR="00517431" w:rsidRDefault="00150791">
            <w:pPr>
              <w:spacing w:after="0" w:line="240" w:lineRule="auto"/>
            </w:pPr>
            <w:r>
              <w:rPr>
                <w:rFonts w:ascii="Arial" w:hAnsi="Arial"/>
                <w:sz w:val="17"/>
              </w:rPr>
              <w:t>SR 39</w:t>
            </w:r>
          </w:p>
        </w:tc>
        <w:tc>
          <w:tcPr>
            <w:tcW w:w="8647" w:type="dxa"/>
            <w:tcBorders>
              <w:top w:val="single" w:sz="8" w:space="0" w:color="000000"/>
              <w:left w:val="single" w:sz="8" w:space="0" w:color="000000"/>
              <w:bottom w:val="single" w:sz="8" w:space="0" w:color="000000"/>
              <w:right w:val="single" w:sz="8" w:space="0" w:color="000000"/>
            </w:tcBorders>
          </w:tcPr>
          <w:p w14:paraId="6EB32DED" w14:textId="77777777" w:rsidR="00517431" w:rsidRDefault="00150791">
            <w:pPr>
              <w:spacing w:after="0" w:line="240" w:lineRule="auto"/>
            </w:pPr>
            <w:r>
              <w:rPr>
                <w:rFonts w:ascii="Arial" w:hAnsi="Arial"/>
                <w:sz w:val="17"/>
              </w:rPr>
              <w:t>Podľa rizika používať autentifikovaný a redundantný časový zdroj.</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AF5D069" w14:textId="77777777" w:rsidR="00517431" w:rsidRPr="00553E23" w:rsidRDefault="00150791" w:rsidP="00B61DEF">
            <w:pPr>
              <w:spacing w:after="0" w:line="240" w:lineRule="auto"/>
              <w:jc w:val="center"/>
              <w:rPr>
                <w:b/>
                <w:bCs/>
              </w:rPr>
            </w:pPr>
            <w:r w:rsidRPr="00553E23">
              <w:rPr>
                <w:rFonts w:ascii="Arial" w:hAnsi="Arial"/>
                <w:b/>
                <w:bCs/>
                <w:color w:val="70AD47" w:themeColor="accent6"/>
                <w:sz w:val="17"/>
              </w:rPr>
              <w:t>C</w:t>
            </w:r>
          </w:p>
        </w:tc>
      </w:tr>
      <w:tr w:rsidR="00517431" w14:paraId="3C52FED8"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5B67E215" w14:textId="77777777" w:rsidR="00517431" w:rsidRDefault="00150791">
            <w:pPr>
              <w:spacing w:after="0" w:line="240" w:lineRule="auto"/>
            </w:pPr>
            <w:r>
              <w:rPr>
                <w:rFonts w:ascii="Arial" w:hAnsi="Arial"/>
                <w:sz w:val="17"/>
              </w:rPr>
              <w:t>SR 40</w:t>
            </w:r>
          </w:p>
        </w:tc>
        <w:tc>
          <w:tcPr>
            <w:tcW w:w="8647" w:type="dxa"/>
            <w:tcBorders>
              <w:top w:val="single" w:sz="8" w:space="0" w:color="000000"/>
              <w:left w:val="single" w:sz="8" w:space="0" w:color="000000"/>
              <w:bottom w:val="single" w:sz="8" w:space="0" w:color="000000"/>
              <w:right w:val="single" w:sz="8" w:space="0" w:color="000000"/>
            </w:tcBorders>
          </w:tcPr>
          <w:p w14:paraId="3B591D11" w14:textId="77777777" w:rsidR="00517431" w:rsidRDefault="00150791">
            <w:pPr>
              <w:spacing w:after="0" w:line="240" w:lineRule="auto"/>
            </w:pPr>
            <w:r>
              <w:rPr>
                <w:rFonts w:ascii="Arial" w:hAnsi="Arial"/>
                <w:sz w:val="17"/>
              </w:rPr>
              <w:t>Synchronizovať všetky relevantné zdroje a zberné komponenty s dôveryhodným časovým zdrojom.</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4BCDC0E"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4B740C61"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570784AD" w14:textId="77777777" w:rsidR="00517431" w:rsidRDefault="00150791">
            <w:pPr>
              <w:spacing w:after="0" w:line="240" w:lineRule="auto"/>
            </w:pPr>
            <w:r>
              <w:rPr>
                <w:rFonts w:ascii="Arial" w:hAnsi="Arial"/>
                <w:sz w:val="17"/>
              </w:rPr>
              <w:t>SR 41</w:t>
            </w:r>
          </w:p>
        </w:tc>
        <w:tc>
          <w:tcPr>
            <w:tcW w:w="8647" w:type="dxa"/>
            <w:tcBorders>
              <w:top w:val="single" w:sz="8" w:space="0" w:color="000000"/>
              <w:left w:val="single" w:sz="8" w:space="0" w:color="000000"/>
              <w:bottom w:val="single" w:sz="8" w:space="0" w:color="000000"/>
              <w:right w:val="single" w:sz="8" w:space="0" w:color="000000"/>
            </w:tcBorders>
          </w:tcPr>
          <w:p w14:paraId="5679C361" w14:textId="77777777" w:rsidR="00517431" w:rsidRDefault="00150791">
            <w:pPr>
              <w:spacing w:after="0" w:line="240" w:lineRule="auto"/>
            </w:pPr>
            <w:r>
              <w:rPr>
                <w:rFonts w:ascii="Arial" w:hAnsi="Arial"/>
                <w:sz w:val="17"/>
              </w:rPr>
              <w:t>Zabrániť, aby zaplnenie logovacieho úložiska ovplyvnilo stabilitu systému alebo spôsobilo tichú stratu logov.</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1849349C"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083C555B"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3E0BB88F" w14:textId="77777777" w:rsidR="00517431" w:rsidRDefault="00150791">
            <w:pPr>
              <w:spacing w:after="0" w:line="240" w:lineRule="auto"/>
            </w:pPr>
            <w:r>
              <w:rPr>
                <w:rFonts w:ascii="Arial" w:hAnsi="Arial"/>
                <w:sz w:val="17"/>
              </w:rPr>
              <w:t>SR 42</w:t>
            </w:r>
          </w:p>
        </w:tc>
        <w:tc>
          <w:tcPr>
            <w:tcW w:w="8647" w:type="dxa"/>
            <w:tcBorders>
              <w:top w:val="single" w:sz="8" w:space="0" w:color="000000"/>
              <w:left w:val="single" w:sz="8" w:space="0" w:color="000000"/>
              <w:bottom w:val="single" w:sz="8" w:space="0" w:color="000000"/>
              <w:right w:val="single" w:sz="8" w:space="0" w:color="000000"/>
            </w:tcBorders>
          </w:tcPr>
          <w:p w14:paraId="62B41F30" w14:textId="77777777" w:rsidR="00517431" w:rsidRDefault="00150791">
            <w:pPr>
              <w:spacing w:after="0" w:line="240" w:lineRule="auto"/>
            </w:pPr>
            <w:r>
              <w:rPr>
                <w:rFonts w:ascii="Arial" w:hAnsi="Arial"/>
                <w:sz w:val="17"/>
              </w:rPr>
              <w:t>Použiť oddelené úložisko alebo partíciu, riadenú rotáciu, limity kapacity, včasné upozornenia a bezpečné správanie pri poruche alebo rovnocenné opatrenie.</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331D5B17" w14:textId="77777777" w:rsidR="00517431" w:rsidRPr="00553E23" w:rsidRDefault="00150791" w:rsidP="00B61DEF">
            <w:pPr>
              <w:spacing w:after="0" w:line="240" w:lineRule="auto"/>
              <w:jc w:val="center"/>
              <w:rPr>
                <w:b/>
                <w:bCs/>
              </w:rPr>
            </w:pPr>
            <w:r w:rsidRPr="00553E23">
              <w:rPr>
                <w:rFonts w:ascii="Arial" w:hAnsi="Arial"/>
                <w:b/>
                <w:bCs/>
                <w:color w:val="FFC000" w:themeColor="accent4"/>
                <w:sz w:val="17"/>
              </w:rPr>
              <w:t>S</w:t>
            </w:r>
          </w:p>
        </w:tc>
      </w:tr>
      <w:tr w:rsidR="00517431" w14:paraId="4C8A41BC"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0DA328ED" w14:textId="77777777" w:rsidR="00517431" w:rsidRDefault="00150791">
            <w:pPr>
              <w:spacing w:after="0" w:line="240" w:lineRule="auto"/>
            </w:pPr>
            <w:r>
              <w:rPr>
                <w:rFonts w:ascii="Arial" w:hAnsi="Arial"/>
                <w:sz w:val="17"/>
              </w:rPr>
              <w:t>SR 43</w:t>
            </w:r>
          </w:p>
        </w:tc>
        <w:tc>
          <w:tcPr>
            <w:tcW w:w="8647" w:type="dxa"/>
            <w:tcBorders>
              <w:top w:val="single" w:sz="8" w:space="0" w:color="000000"/>
              <w:left w:val="single" w:sz="8" w:space="0" w:color="000000"/>
              <w:bottom w:val="single" w:sz="8" w:space="0" w:color="000000"/>
              <w:right w:val="single" w:sz="8" w:space="0" w:color="000000"/>
            </w:tcBorders>
          </w:tcPr>
          <w:p w14:paraId="4765CDA9" w14:textId="77777777" w:rsidR="00517431" w:rsidRDefault="00150791">
            <w:pPr>
              <w:spacing w:after="0" w:line="240" w:lineRule="auto"/>
            </w:pPr>
            <w:r>
              <w:rPr>
                <w:rFonts w:ascii="Arial" w:hAnsi="Arial"/>
                <w:sz w:val="17"/>
              </w:rPr>
              <w:t>Prenášať logy kritických systémov do centrálnej platformy takmer v reálnom čase, cieľovo najneskôr do piatich minút.</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78FA3C3"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5F092A82"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6F08B797" w14:textId="77777777" w:rsidR="00517431" w:rsidRDefault="00150791">
            <w:pPr>
              <w:spacing w:after="0" w:line="240" w:lineRule="auto"/>
            </w:pPr>
            <w:r>
              <w:rPr>
                <w:rFonts w:ascii="Arial" w:hAnsi="Arial"/>
                <w:sz w:val="17"/>
              </w:rPr>
              <w:t>SR 44</w:t>
            </w:r>
          </w:p>
        </w:tc>
        <w:tc>
          <w:tcPr>
            <w:tcW w:w="8647" w:type="dxa"/>
            <w:tcBorders>
              <w:top w:val="single" w:sz="8" w:space="0" w:color="000000"/>
              <w:left w:val="single" w:sz="8" w:space="0" w:color="000000"/>
              <w:bottom w:val="single" w:sz="8" w:space="0" w:color="000000"/>
              <w:right w:val="single" w:sz="8" w:space="0" w:color="000000"/>
            </w:tcBorders>
          </w:tcPr>
          <w:p w14:paraId="3C780415" w14:textId="77777777" w:rsidR="00517431" w:rsidRDefault="00150791">
            <w:pPr>
              <w:spacing w:after="0" w:line="240" w:lineRule="auto"/>
            </w:pPr>
            <w:r>
              <w:rPr>
                <w:rFonts w:ascii="Arial" w:hAnsi="Arial"/>
                <w:sz w:val="17"/>
              </w:rPr>
              <w:t>Povoliť prístup k logom iba menovite oprávneným osobám podľa rolí, minimálnych oprávnení a potreby poznať.</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63416694"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209B0745"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7DB0A8E5" w14:textId="77777777" w:rsidR="00517431" w:rsidRDefault="00150791">
            <w:pPr>
              <w:spacing w:after="0" w:line="240" w:lineRule="auto"/>
            </w:pPr>
            <w:r>
              <w:rPr>
                <w:rFonts w:ascii="Arial" w:hAnsi="Arial"/>
                <w:sz w:val="17"/>
              </w:rPr>
              <w:t>SR 45</w:t>
            </w:r>
          </w:p>
        </w:tc>
        <w:tc>
          <w:tcPr>
            <w:tcW w:w="8647" w:type="dxa"/>
            <w:tcBorders>
              <w:top w:val="single" w:sz="8" w:space="0" w:color="000000"/>
              <w:left w:val="single" w:sz="8" w:space="0" w:color="000000"/>
              <w:bottom w:val="single" w:sz="8" w:space="0" w:color="000000"/>
              <w:right w:val="single" w:sz="8" w:space="0" w:color="000000"/>
            </w:tcBorders>
          </w:tcPr>
          <w:p w14:paraId="7D4C5A11" w14:textId="77777777" w:rsidR="00517431" w:rsidRDefault="00150791">
            <w:pPr>
              <w:spacing w:after="0" w:line="240" w:lineRule="auto"/>
            </w:pPr>
            <w:r>
              <w:rPr>
                <w:rFonts w:ascii="Arial" w:hAnsi="Arial"/>
                <w:sz w:val="17"/>
              </w:rPr>
              <w:t>Chrániť kritické logy proti zmene a výmazu nemenným režimom, WORM alebo rovnocenným opatrením.</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75282832" w14:textId="77777777" w:rsidR="00517431" w:rsidRPr="00553E23" w:rsidRDefault="00150791" w:rsidP="00B61DEF">
            <w:pPr>
              <w:spacing w:after="0" w:line="240" w:lineRule="auto"/>
              <w:jc w:val="center"/>
              <w:rPr>
                <w:b/>
                <w:bCs/>
                <w:color w:val="EE0000"/>
              </w:rPr>
            </w:pPr>
            <w:r w:rsidRPr="00553E23">
              <w:rPr>
                <w:rFonts w:ascii="Arial" w:hAnsi="Arial"/>
                <w:b/>
                <w:bCs/>
                <w:color w:val="EE0000"/>
                <w:sz w:val="17"/>
              </w:rPr>
              <w:t>M</w:t>
            </w:r>
          </w:p>
        </w:tc>
      </w:tr>
      <w:tr w:rsidR="00517431" w14:paraId="3C107BD0"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76729457" w14:textId="77777777" w:rsidR="00517431" w:rsidRDefault="00150791">
            <w:pPr>
              <w:spacing w:after="0" w:line="240" w:lineRule="auto"/>
            </w:pPr>
            <w:r>
              <w:rPr>
                <w:rFonts w:ascii="Arial" w:hAnsi="Arial"/>
                <w:sz w:val="17"/>
              </w:rPr>
              <w:t>SR 46</w:t>
            </w:r>
          </w:p>
        </w:tc>
        <w:tc>
          <w:tcPr>
            <w:tcW w:w="8647" w:type="dxa"/>
            <w:tcBorders>
              <w:top w:val="single" w:sz="8" w:space="0" w:color="000000"/>
              <w:left w:val="single" w:sz="8" w:space="0" w:color="000000"/>
              <w:bottom w:val="single" w:sz="8" w:space="0" w:color="000000"/>
              <w:right w:val="single" w:sz="8" w:space="0" w:color="000000"/>
            </w:tcBorders>
          </w:tcPr>
          <w:p w14:paraId="24B1C93D" w14:textId="77777777" w:rsidR="00517431" w:rsidRDefault="00150791">
            <w:pPr>
              <w:spacing w:after="0" w:line="240" w:lineRule="auto"/>
            </w:pPr>
            <w:r>
              <w:rPr>
                <w:rFonts w:ascii="Arial" w:hAnsi="Arial"/>
                <w:sz w:val="17"/>
              </w:rPr>
              <w:t>Chrániť archivované logy šifrovaním, kontrolou integrity a auditovaným exportom podľa klasifikácie a rizika.</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5381F7E9" w14:textId="77777777" w:rsidR="00517431" w:rsidRPr="00553E23" w:rsidRDefault="00150791" w:rsidP="00B61DEF">
            <w:pPr>
              <w:spacing w:after="0" w:line="240" w:lineRule="auto"/>
              <w:jc w:val="center"/>
              <w:rPr>
                <w:b/>
                <w:bCs/>
              </w:rPr>
            </w:pPr>
            <w:r w:rsidRPr="00553E23">
              <w:rPr>
                <w:rFonts w:ascii="Arial" w:hAnsi="Arial"/>
                <w:b/>
                <w:bCs/>
                <w:color w:val="FFC000" w:themeColor="accent4"/>
                <w:sz w:val="17"/>
              </w:rPr>
              <w:t>S</w:t>
            </w:r>
          </w:p>
        </w:tc>
      </w:tr>
      <w:tr w:rsidR="00517431" w14:paraId="55CE0DDA" w14:textId="77777777">
        <w:trPr>
          <w:cantSplit/>
          <w:jc w:val="center"/>
        </w:trPr>
        <w:tc>
          <w:tcPr>
            <w:tcW w:w="841" w:type="dxa"/>
            <w:tcBorders>
              <w:top w:val="single" w:sz="8" w:space="0" w:color="000000"/>
              <w:left w:val="single" w:sz="8" w:space="0" w:color="000000"/>
              <w:bottom w:val="single" w:sz="8" w:space="0" w:color="000000"/>
              <w:right w:val="single" w:sz="8" w:space="0" w:color="000000"/>
            </w:tcBorders>
          </w:tcPr>
          <w:p w14:paraId="5F6AB00E" w14:textId="77777777" w:rsidR="00517431" w:rsidRDefault="00150791">
            <w:pPr>
              <w:spacing w:after="0" w:line="240" w:lineRule="auto"/>
            </w:pPr>
            <w:r>
              <w:rPr>
                <w:rFonts w:ascii="Arial" w:hAnsi="Arial"/>
                <w:sz w:val="17"/>
              </w:rPr>
              <w:t>SR 47</w:t>
            </w:r>
          </w:p>
        </w:tc>
        <w:tc>
          <w:tcPr>
            <w:tcW w:w="8647" w:type="dxa"/>
            <w:tcBorders>
              <w:top w:val="single" w:sz="8" w:space="0" w:color="000000"/>
              <w:left w:val="single" w:sz="8" w:space="0" w:color="000000"/>
              <w:bottom w:val="single" w:sz="8" w:space="0" w:color="000000"/>
              <w:right w:val="single" w:sz="8" w:space="0" w:color="000000"/>
            </w:tcBorders>
          </w:tcPr>
          <w:p w14:paraId="1AF0EC98" w14:textId="77777777" w:rsidR="00517431" w:rsidRDefault="00150791">
            <w:pPr>
              <w:spacing w:after="0" w:line="240" w:lineRule="auto"/>
            </w:pPr>
            <w:r>
              <w:rPr>
                <w:rFonts w:ascii="Arial" w:hAnsi="Arial"/>
                <w:sz w:val="17"/>
              </w:rPr>
              <w:t xml:space="preserve">Nastaviť rozsah a </w:t>
            </w:r>
            <w:proofErr w:type="spellStart"/>
            <w:r>
              <w:rPr>
                <w:rFonts w:ascii="Arial" w:hAnsi="Arial"/>
                <w:sz w:val="17"/>
              </w:rPr>
              <w:t>granularitu</w:t>
            </w:r>
            <w:proofErr w:type="spellEnd"/>
            <w:r>
              <w:rPr>
                <w:rFonts w:ascii="Arial" w:hAnsi="Arial"/>
                <w:sz w:val="17"/>
              </w:rPr>
              <w:t xml:space="preserve"> logovania podľa účelu, kritickosti, kategorizácie, klasifikácie, právnych požiadaviek a rizika.</w:t>
            </w:r>
          </w:p>
        </w:tc>
        <w:tc>
          <w:tcPr>
            <w:tcW w:w="1029" w:type="dxa"/>
            <w:tcBorders>
              <w:top w:val="single" w:sz="8" w:space="0" w:color="000000"/>
              <w:left w:val="single" w:sz="8" w:space="0" w:color="000000"/>
              <w:bottom w:val="single" w:sz="8" w:space="0" w:color="000000"/>
              <w:right w:val="single" w:sz="8" w:space="0" w:color="000000"/>
            </w:tcBorders>
            <w:tcMar>
              <w:left w:w="10" w:type="dxa"/>
              <w:right w:w="10" w:type="dxa"/>
            </w:tcMar>
          </w:tcPr>
          <w:p w14:paraId="27B13F17" w14:textId="77777777" w:rsidR="00517431" w:rsidRPr="00553E23" w:rsidRDefault="00150791" w:rsidP="00B61DEF">
            <w:pPr>
              <w:spacing w:after="0" w:line="240" w:lineRule="auto"/>
              <w:jc w:val="center"/>
              <w:rPr>
                <w:b/>
                <w:bCs/>
              </w:rPr>
            </w:pPr>
            <w:r w:rsidRPr="00553E23">
              <w:rPr>
                <w:rFonts w:ascii="Arial" w:hAnsi="Arial"/>
                <w:b/>
                <w:bCs/>
                <w:color w:val="EE0000"/>
                <w:sz w:val="17"/>
              </w:rPr>
              <w:t>M</w:t>
            </w:r>
          </w:p>
        </w:tc>
      </w:tr>
    </w:tbl>
    <w:p w14:paraId="5CF63C62" w14:textId="77777777" w:rsidR="00517431" w:rsidRDefault="00517431">
      <w:pPr>
        <w:spacing w:after="0"/>
        <w:ind w:left="720" w:right="8"/>
        <w:rPr>
          <w:rFonts w:ascii="Arial" w:hAnsi="Arial" w:cs="Arial"/>
          <w:sz w:val="20"/>
          <w:szCs w:val="20"/>
        </w:rPr>
      </w:pPr>
    </w:p>
    <w:p w14:paraId="6D7773C9" w14:textId="77777777" w:rsidR="00517431" w:rsidRDefault="00150791">
      <w:pPr>
        <w:pStyle w:val="Nadpis2"/>
        <w:spacing w:before="0"/>
        <w:rPr>
          <w:rFonts w:ascii="Arial" w:hAnsi="Arial" w:cs="Arial"/>
          <w:b/>
          <w:bCs/>
          <w:sz w:val="20"/>
          <w:szCs w:val="20"/>
        </w:rPr>
      </w:pPr>
      <w:bookmarkStart w:id="42" w:name="__RefHeading___Toc6251_3891905039"/>
      <w:bookmarkStart w:id="43" w:name="_Toc235216545"/>
      <w:bookmarkEnd w:id="42"/>
      <w:r>
        <w:rPr>
          <w:rFonts w:ascii="Arial" w:hAnsi="Arial" w:cs="Arial"/>
          <w:b/>
          <w:bCs/>
          <w:sz w:val="20"/>
          <w:szCs w:val="20"/>
        </w:rPr>
        <w:t>3. Kategórie zdrojov logov</w:t>
      </w:r>
      <w:bookmarkEnd w:id="43"/>
    </w:p>
    <w:p w14:paraId="1AA1CD59" w14:textId="77777777" w:rsidR="00517431" w:rsidRDefault="00150791">
      <w:pPr>
        <w:pStyle w:val="Odsekzoznamu"/>
        <w:numPr>
          <w:ilvl w:val="0"/>
          <w:numId w:val="9"/>
        </w:numPr>
        <w:spacing w:after="0" w:line="283" w:lineRule="auto"/>
        <w:jc w:val="both"/>
        <w:rPr>
          <w:rFonts w:ascii="Arial" w:hAnsi="Arial" w:cs="Arial"/>
          <w:sz w:val="20"/>
          <w:szCs w:val="20"/>
        </w:rPr>
      </w:pPr>
      <w:r>
        <w:t xml:space="preserve">Skupina SEC zahŕňa bezpečnostné nástroje, služby identít a prístupov a ochranné sieťové prvky, najmä EDR alebo </w:t>
      </w:r>
      <w:proofErr w:type="spellStart"/>
      <w:r>
        <w:t>antimalvér</w:t>
      </w:r>
      <w:proofErr w:type="spellEnd"/>
      <w:r>
        <w:t>, IDS/IPS, VPN a ZTNA, webové proxy a WAF, autentifikačné a autorizačné služby, MFA, PAM, JIT, NAC, nástroje riadenia zraniteľností, DLP, SIEM, firewally, smerovače, prepínače a ďalšie ochranné prvky.</w:t>
      </w:r>
    </w:p>
    <w:p w14:paraId="4C4F9564" w14:textId="77777777" w:rsidR="00517431" w:rsidRDefault="00150791">
      <w:pPr>
        <w:pStyle w:val="Odsekzoznamu"/>
        <w:numPr>
          <w:ilvl w:val="0"/>
          <w:numId w:val="9"/>
        </w:numPr>
        <w:spacing w:after="0" w:line="283" w:lineRule="auto"/>
        <w:jc w:val="both"/>
        <w:rPr>
          <w:rFonts w:ascii="Arial" w:hAnsi="Arial" w:cs="Arial"/>
          <w:sz w:val="20"/>
          <w:szCs w:val="20"/>
        </w:rPr>
      </w:pPr>
      <w:r>
        <w:t xml:space="preserve">Skupina OS zahŕňa operačné systémy serverov a pracovných staníc, </w:t>
      </w:r>
      <w:proofErr w:type="spellStart"/>
      <w:r>
        <w:t>virtualizačné</w:t>
      </w:r>
      <w:proofErr w:type="spellEnd"/>
      <w:r>
        <w:t xml:space="preserve"> platformy, sieťové prvky, kontajnerové uzly, úložiská, zálohovacie systémy a ďalšie systémové alebo infraštruktúrne komponenty. Rozlišujú sa najmä systémové udalosti a auditné alebo bezpečnostné udalosti.</w:t>
      </w:r>
    </w:p>
    <w:p w14:paraId="2422F0CD" w14:textId="77777777" w:rsidR="00517431" w:rsidRDefault="00150791">
      <w:pPr>
        <w:pStyle w:val="Odsekzoznamu"/>
        <w:spacing w:after="0" w:line="283" w:lineRule="auto"/>
        <w:jc w:val="both"/>
        <w:rPr>
          <w:rFonts w:ascii="Arial" w:hAnsi="Arial" w:cs="Arial"/>
          <w:sz w:val="20"/>
          <w:szCs w:val="20"/>
        </w:rPr>
      </w:pPr>
      <w:r>
        <w:t>Skupina APP zahŕňa aplikácie, databázy, API, integračné platformy a toky, dávkové úlohy a používateľské alebo systémové transakcie. Zahŕňa najmä komunikáciu klienta alebo služby so serverom, udalosti účtov a identít, bezpečnostne a prevádzkovo významnú aktivitu a významné akcie, transakcie, zmeny, zlyhania a výnimky.</w:t>
      </w:r>
    </w:p>
    <w:p w14:paraId="6B7CA949" w14:textId="77777777" w:rsidR="00517431" w:rsidRDefault="00150791">
      <w:pPr>
        <w:pStyle w:val="Odsekzoznamu"/>
        <w:numPr>
          <w:ilvl w:val="0"/>
          <w:numId w:val="10"/>
        </w:numPr>
        <w:spacing w:after="0" w:line="283" w:lineRule="auto"/>
        <w:jc w:val="both"/>
        <w:rPr>
          <w:rFonts w:ascii="Arial" w:hAnsi="Arial" w:cs="Arial"/>
          <w:sz w:val="20"/>
          <w:szCs w:val="20"/>
        </w:rPr>
      </w:pPr>
      <w:r>
        <w:t>Cloudové služby, kontajnery, orchestrácia, systémy umelej inteligencie a produkty s digitálnymi prvkami sa zaradia do skupiny SEC, OS alebo APP podľa povahy zdroja a udalosti; ich osobitné udalosti sa určia podľa časti 1.6 a logovacieho profilu.</w:t>
      </w:r>
    </w:p>
    <w:p w14:paraId="287733EE" w14:textId="77777777" w:rsidR="00517431" w:rsidRDefault="00150791">
      <w:pPr>
        <w:pStyle w:val="Odsekzoznamu"/>
        <w:numPr>
          <w:ilvl w:val="0"/>
          <w:numId w:val="10"/>
        </w:numPr>
        <w:spacing w:after="0" w:line="283" w:lineRule="auto"/>
        <w:jc w:val="both"/>
        <w:rPr>
          <w:rFonts w:ascii="Arial" w:hAnsi="Arial" w:cs="Arial"/>
          <w:sz w:val="20"/>
          <w:szCs w:val="20"/>
        </w:rPr>
      </w:pPr>
      <w:r>
        <w:t>Konkrétne zdroje, udalosti a polia sa určia v logovacom profile. Riziková úroveň a minimálne parametre online dostupnosti, retencie, prenosu, vyhodnocovania a ochrany sa určia podľa tabuľky 4, aplikovateľnej zmluvnej dokumentácie a schváleného logovacieho profilu.</w:t>
      </w:r>
    </w:p>
    <w:p w14:paraId="00100636" w14:textId="77777777" w:rsidR="00517431" w:rsidRDefault="00150791">
      <w:pPr>
        <w:pStyle w:val="Odsekzoznamu"/>
        <w:numPr>
          <w:ilvl w:val="0"/>
          <w:numId w:val="9"/>
        </w:numPr>
        <w:spacing w:after="0" w:line="283" w:lineRule="auto"/>
        <w:jc w:val="both"/>
        <w:rPr>
          <w:rFonts w:ascii="Arial" w:hAnsi="Arial" w:cs="Arial"/>
          <w:sz w:val="20"/>
          <w:szCs w:val="20"/>
        </w:rPr>
      </w:pPr>
      <w:r>
        <w:t>Zdroje vykonávajúce kritickú bezpečnostnú funkciu, zaznamenávajúce privilegované činnosti alebo spracúvajúce prísne chránené informácie sa bez zdokumentovaného a schváleného odôvodnenia nezaradia nižšie ako do vysokej alebo kritickej úrovne.</w:t>
      </w:r>
    </w:p>
    <w:p w14:paraId="01CAE371" w14:textId="77777777" w:rsidR="00517431" w:rsidRDefault="00150791">
      <w:pPr>
        <w:pStyle w:val="Popis"/>
        <w:keepNext/>
        <w:spacing w:after="0"/>
        <w:rPr>
          <w:rFonts w:ascii="Arial" w:hAnsi="Arial" w:cs="Arial"/>
          <w:b/>
          <w:bCs/>
          <w:sz w:val="20"/>
          <w:szCs w:val="20"/>
        </w:rPr>
      </w:pPr>
      <w:r>
        <w:lastRenderedPageBreak/>
        <w:t>Tabuľka 3 – Kategórie a typické zdroje logov</w:t>
      </w:r>
    </w:p>
    <w:tbl>
      <w:tblPr>
        <w:tblStyle w:val="Mriekatabuky"/>
        <w:tblW w:w="9072" w:type="dxa"/>
        <w:jc w:val="center"/>
        <w:tblLayout w:type="fixed"/>
        <w:tblLook w:val="04A0" w:firstRow="1" w:lastRow="0" w:firstColumn="1" w:lastColumn="0" w:noHBand="0" w:noVBand="1"/>
      </w:tblPr>
      <w:tblGrid>
        <w:gridCol w:w="846"/>
        <w:gridCol w:w="2268"/>
        <w:gridCol w:w="3544"/>
        <w:gridCol w:w="2414"/>
      </w:tblGrid>
      <w:tr w:rsidR="00517431" w14:paraId="1D9326BF" w14:textId="77777777" w:rsidTr="00B61DEF">
        <w:trPr>
          <w:cantSplit/>
          <w:tblHeader/>
          <w:jc w:val="center"/>
        </w:trPr>
        <w:tc>
          <w:tcPr>
            <w:tcW w:w="846" w:type="dxa"/>
          </w:tcPr>
          <w:p w14:paraId="5F8424C4" w14:textId="77777777" w:rsidR="00517431" w:rsidRDefault="00150791">
            <w:pPr>
              <w:spacing w:after="0" w:line="240" w:lineRule="auto"/>
              <w:rPr>
                <w:rFonts w:ascii="Calibri" w:eastAsia="Calibri" w:hAnsi="Calibri"/>
              </w:rPr>
            </w:pPr>
            <w:r>
              <w:rPr>
                <w:rFonts w:ascii="Arial" w:eastAsia="Calibri" w:hAnsi="Arial"/>
                <w:b/>
                <w:sz w:val="16"/>
              </w:rPr>
              <w:t>Kód skupiny</w:t>
            </w:r>
          </w:p>
        </w:tc>
        <w:tc>
          <w:tcPr>
            <w:tcW w:w="2268" w:type="dxa"/>
          </w:tcPr>
          <w:p w14:paraId="6B835BF8" w14:textId="77777777" w:rsidR="00517431" w:rsidRDefault="00150791">
            <w:pPr>
              <w:spacing w:after="0" w:line="240" w:lineRule="auto"/>
              <w:rPr>
                <w:rFonts w:ascii="Calibri" w:eastAsia="Calibri" w:hAnsi="Calibri"/>
              </w:rPr>
            </w:pPr>
            <w:r>
              <w:rPr>
                <w:rFonts w:ascii="Arial" w:eastAsia="Calibri" w:hAnsi="Arial"/>
                <w:b/>
                <w:sz w:val="16"/>
              </w:rPr>
              <w:t>Kategória a podskupiny</w:t>
            </w:r>
          </w:p>
        </w:tc>
        <w:tc>
          <w:tcPr>
            <w:tcW w:w="3544" w:type="dxa"/>
          </w:tcPr>
          <w:p w14:paraId="296C2EE2" w14:textId="77777777" w:rsidR="00517431" w:rsidRDefault="00150791">
            <w:pPr>
              <w:spacing w:after="0" w:line="240" w:lineRule="auto"/>
              <w:rPr>
                <w:rFonts w:ascii="Calibri" w:eastAsia="Calibri" w:hAnsi="Calibri"/>
              </w:rPr>
            </w:pPr>
            <w:r>
              <w:rPr>
                <w:rFonts w:ascii="Arial" w:eastAsia="Calibri" w:hAnsi="Arial"/>
                <w:b/>
                <w:sz w:val="16"/>
              </w:rPr>
              <w:t>Typické zdroje a udalosti</w:t>
            </w:r>
          </w:p>
        </w:tc>
        <w:tc>
          <w:tcPr>
            <w:tcW w:w="2414" w:type="dxa"/>
          </w:tcPr>
          <w:p w14:paraId="364F5C42" w14:textId="77777777" w:rsidR="00517431" w:rsidRDefault="00150791">
            <w:pPr>
              <w:spacing w:after="0" w:line="240" w:lineRule="auto"/>
              <w:rPr>
                <w:rFonts w:ascii="Calibri" w:eastAsia="Calibri" w:hAnsi="Calibri"/>
              </w:rPr>
            </w:pPr>
            <w:r>
              <w:rPr>
                <w:rFonts w:ascii="Arial" w:eastAsia="Calibri" w:hAnsi="Arial"/>
                <w:b/>
                <w:sz w:val="16"/>
              </w:rPr>
              <w:t>Minimálne parametre</w:t>
            </w:r>
          </w:p>
        </w:tc>
      </w:tr>
      <w:tr w:rsidR="00517431" w14:paraId="35FC7054" w14:textId="77777777" w:rsidTr="00B61DEF">
        <w:trPr>
          <w:cantSplit/>
          <w:jc w:val="center"/>
        </w:trPr>
        <w:tc>
          <w:tcPr>
            <w:tcW w:w="846" w:type="dxa"/>
          </w:tcPr>
          <w:p w14:paraId="31422DE7" w14:textId="77777777" w:rsidR="00517431" w:rsidRDefault="00150791">
            <w:pPr>
              <w:spacing w:after="0" w:line="240" w:lineRule="auto"/>
              <w:rPr>
                <w:rFonts w:ascii="Calibri" w:eastAsia="Calibri" w:hAnsi="Calibri"/>
              </w:rPr>
            </w:pPr>
            <w:r>
              <w:rPr>
                <w:rFonts w:ascii="Arial" w:eastAsia="Calibri" w:hAnsi="Arial"/>
                <w:sz w:val="16"/>
              </w:rPr>
              <w:t>SEC</w:t>
            </w:r>
          </w:p>
        </w:tc>
        <w:tc>
          <w:tcPr>
            <w:tcW w:w="2268" w:type="dxa"/>
          </w:tcPr>
          <w:p w14:paraId="52E7B974" w14:textId="77777777" w:rsidR="00517431" w:rsidRDefault="00150791">
            <w:pPr>
              <w:spacing w:after="0" w:line="240" w:lineRule="auto"/>
              <w:rPr>
                <w:rFonts w:ascii="Calibri" w:eastAsia="Calibri" w:hAnsi="Calibri"/>
              </w:rPr>
            </w:pPr>
            <w:r>
              <w:rPr>
                <w:rFonts w:ascii="Arial" w:eastAsia="Calibri" w:hAnsi="Arial"/>
                <w:sz w:val="16"/>
              </w:rPr>
              <w:t>Bezpečnostné nástroje; identity a prístupy; sieťová ochrana</w:t>
            </w:r>
          </w:p>
        </w:tc>
        <w:tc>
          <w:tcPr>
            <w:tcW w:w="3544" w:type="dxa"/>
          </w:tcPr>
          <w:p w14:paraId="1EC27C5F" w14:textId="77777777" w:rsidR="00517431" w:rsidRDefault="00150791">
            <w:pPr>
              <w:spacing w:after="0" w:line="240" w:lineRule="auto"/>
              <w:rPr>
                <w:rFonts w:ascii="Calibri" w:eastAsia="Calibri" w:hAnsi="Calibri"/>
              </w:rPr>
            </w:pPr>
            <w:r>
              <w:rPr>
                <w:rFonts w:ascii="Arial" w:eastAsia="Calibri" w:hAnsi="Arial"/>
                <w:sz w:val="16"/>
              </w:rPr>
              <w:t>EDR/</w:t>
            </w:r>
            <w:proofErr w:type="spellStart"/>
            <w:r>
              <w:rPr>
                <w:rFonts w:ascii="Arial" w:eastAsia="Calibri" w:hAnsi="Arial"/>
                <w:sz w:val="16"/>
              </w:rPr>
              <w:t>antimalvér</w:t>
            </w:r>
            <w:proofErr w:type="spellEnd"/>
            <w:r>
              <w:rPr>
                <w:rFonts w:ascii="Arial" w:eastAsia="Calibri" w:hAnsi="Arial"/>
                <w:sz w:val="16"/>
              </w:rPr>
              <w:t>, IDS/IPS, VPN/ZTNA, proxy/WAF, IAM/MFA/PAM/JIT, riadenie zraniteľností, DLP, SIEM, firewall, smerovač, prepínač, NAC; bezpečnostné upozornenia, zmeny politík, prístupy a zásahy do ochranných mechanizmov.</w:t>
            </w:r>
          </w:p>
        </w:tc>
        <w:tc>
          <w:tcPr>
            <w:tcW w:w="2414" w:type="dxa"/>
          </w:tcPr>
          <w:p w14:paraId="262A0B33" w14:textId="77777777" w:rsidR="00517431" w:rsidRDefault="00150791">
            <w:pPr>
              <w:spacing w:after="0" w:line="240" w:lineRule="auto"/>
              <w:rPr>
                <w:rFonts w:ascii="Calibri" w:eastAsia="Calibri" w:hAnsi="Calibri"/>
              </w:rPr>
            </w:pPr>
            <w:r>
              <w:rPr>
                <w:rFonts w:ascii="Arial" w:eastAsia="Calibri" w:hAnsi="Arial"/>
                <w:sz w:val="16"/>
              </w:rPr>
              <w:t>Podľa tabuľky 4 a logovacieho profilu; kritická bezpečnostná funkcia, privilegovaný prístup alebo prísne chránené informácie spravidla vysoká alebo kritická úroveň.</w:t>
            </w:r>
          </w:p>
        </w:tc>
      </w:tr>
      <w:tr w:rsidR="00517431" w14:paraId="228F934F" w14:textId="77777777" w:rsidTr="00B61DEF">
        <w:trPr>
          <w:cantSplit/>
          <w:jc w:val="center"/>
        </w:trPr>
        <w:tc>
          <w:tcPr>
            <w:tcW w:w="846" w:type="dxa"/>
          </w:tcPr>
          <w:p w14:paraId="306E2753" w14:textId="77777777" w:rsidR="00517431" w:rsidRDefault="00150791">
            <w:pPr>
              <w:spacing w:after="0" w:line="240" w:lineRule="auto"/>
              <w:rPr>
                <w:rFonts w:ascii="Calibri" w:eastAsia="Calibri" w:hAnsi="Calibri"/>
              </w:rPr>
            </w:pPr>
            <w:r>
              <w:rPr>
                <w:rFonts w:ascii="Arial" w:eastAsia="Calibri" w:hAnsi="Arial"/>
                <w:sz w:val="16"/>
              </w:rPr>
              <w:t>OS</w:t>
            </w:r>
          </w:p>
        </w:tc>
        <w:tc>
          <w:tcPr>
            <w:tcW w:w="2268" w:type="dxa"/>
          </w:tcPr>
          <w:p w14:paraId="0CE768B5" w14:textId="77777777" w:rsidR="00517431" w:rsidRDefault="00150791">
            <w:pPr>
              <w:spacing w:after="0" w:line="240" w:lineRule="auto"/>
              <w:rPr>
                <w:rFonts w:ascii="Calibri" w:eastAsia="Calibri" w:hAnsi="Calibri"/>
              </w:rPr>
            </w:pPr>
            <w:r>
              <w:rPr>
                <w:rFonts w:ascii="Arial" w:eastAsia="Calibri" w:hAnsi="Arial"/>
                <w:sz w:val="16"/>
              </w:rPr>
              <w:t>Systémové a auditné udalosti operačných a infraštruktúrnych platforiem</w:t>
            </w:r>
          </w:p>
        </w:tc>
        <w:tc>
          <w:tcPr>
            <w:tcW w:w="3544" w:type="dxa"/>
          </w:tcPr>
          <w:p w14:paraId="24A89B28" w14:textId="77777777" w:rsidR="00517431" w:rsidRDefault="00150791">
            <w:pPr>
              <w:spacing w:after="0" w:line="240" w:lineRule="auto"/>
              <w:rPr>
                <w:rFonts w:ascii="Calibri" w:eastAsia="Calibri" w:hAnsi="Calibri"/>
              </w:rPr>
            </w:pPr>
            <w:r>
              <w:rPr>
                <w:rFonts w:ascii="Arial" w:eastAsia="Calibri" w:hAnsi="Arial"/>
                <w:sz w:val="16"/>
              </w:rPr>
              <w:t>Operačné systémy, virtualizácia, sieťové prvky, kontajnerové uzly, úložiská a zálohovacie systémy; spustenie, zastavenie, zlyhanie, zmena konfigurácie, stav zdroja, autentifikácia, prístup k objektu a privilegovaná operácia.</w:t>
            </w:r>
          </w:p>
        </w:tc>
        <w:tc>
          <w:tcPr>
            <w:tcW w:w="2414" w:type="dxa"/>
          </w:tcPr>
          <w:p w14:paraId="7355183B" w14:textId="77777777" w:rsidR="00517431" w:rsidRDefault="00150791">
            <w:pPr>
              <w:spacing w:after="0" w:line="240" w:lineRule="auto"/>
              <w:rPr>
                <w:rFonts w:ascii="Calibri" w:eastAsia="Calibri" w:hAnsi="Calibri"/>
              </w:rPr>
            </w:pPr>
            <w:r>
              <w:rPr>
                <w:rFonts w:ascii="Arial" w:eastAsia="Calibri" w:hAnsi="Arial"/>
                <w:sz w:val="16"/>
              </w:rPr>
              <w:t>Podľa tabuľky 4, kritickosti dotknutého systému alebo služby a klasifikácie aktív.</w:t>
            </w:r>
          </w:p>
        </w:tc>
      </w:tr>
      <w:tr w:rsidR="00517431" w14:paraId="05A9451C" w14:textId="77777777" w:rsidTr="00B61DEF">
        <w:trPr>
          <w:cantSplit/>
          <w:jc w:val="center"/>
        </w:trPr>
        <w:tc>
          <w:tcPr>
            <w:tcW w:w="846" w:type="dxa"/>
          </w:tcPr>
          <w:p w14:paraId="79130B8C" w14:textId="77777777" w:rsidR="00517431" w:rsidRDefault="00150791">
            <w:pPr>
              <w:spacing w:after="0" w:line="240" w:lineRule="auto"/>
              <w:rPr>
                <w:rFonts w:ascii="Calibri" w:eastAsia="Calibri" w:hAnsi="Calibri"/>
              </w:rPr>
            </w:pPr>
            <w:r>
              <w:rPr>
                <w:rFonts w:ascii="Arial" w:eastAsia="Calibri" w:hAnsi="Arial"/>
                <w:sz w:val="16"/>
              </w:rPr>
              <w:t>APP</w:t>
            </w:r>
          </w:p>
        </w:tc>
        <w:tc>
          <w:tcPr>
            <w:tcW w:w="2268" w:type="dxa"/>
          </w:tcPr>
          <w:p w14:paraId="6AAEEF7F" w14:textId="77777777" w:rsidR="00517431" w:rsidRDefault="00150791">
            <w:pPr>
              <w:spacing w:after="0" w:line="240" w:lineRule="auto"/>
              <w:rPr>
                <w:rFonts w:ascii="Calibri" w:eastAsia="Calibri" w:hAnsi="Calibri"/>
              </w:rPr>
            </w:pPr>
            <w:r>
              <w:rPr>
                <w:rFonts w:ascii="Arial" w:eastAsia="Calibri" w:hAnsi="Arial"/>
                <w:sz w:val="16"/>
              </w:rPr>
              <w:t>Aplikácie, databázy, API, integrácie, účty, aktivita a významné akcie</w:t>
            </w:r>
          </w:p>
        </w:tc>
        <w:tc>
          <w:tcPr>
            <w:tcW w:w="3544" w:type="dxa"/>
          </w:tcPr>
          <w:p w14:paraId="5426BBDE" w14:textId="77777777" w:rsidR="00517431" w:rsidRDefault="00150791">
            <w:pPr>
              <w:spacing w:after="0" w:line="240" w:lineRule="auto"/>
              <w:rPr>
                <w:rFonts w:ascii="Calibri" w:eastAsia="Calibri" w:hAnsi="Calibri"/>
              </w:rPr>
            </w:pPr>
            <w:r>
              <w:rPr>
                <w:rFonts w:ascii="Arial" w:eastAsia="Calibri" w:hAnsi="Arial"/>
                <w:sz w:val="16"/>
              </w:rPr>
              <w:t>Komunikácia klienta alebo služby so serverom, požiadavky a výsledky, účty a roly, bezpečnostne významná aktivita, transakcie, zmeny údajov, zlyhania, výnimky a udalosti bezpečnostných mechanizmov.</w:t>
            </w:r>
          </w:p>
        </w:tc>
        <w:tc>
          <w:tcPr>
            <w:tcW w:w="2414" w:type="dxa"/>
          </w:tcPr>
          <w:p w14:paraId="6D022097" w14:textId="77777777" w:rsidR="00517431" w:rsidRDefault="00150791">
            <w:pPr>
              <w:spacing w:after="0" w:line="240" w:lineRule="auto"/>
              <w:rPr>
                <w:rFonts w:ascii="Calibri" w:eastAsia="Calibri" w:hAnsi="Calibri"/>
              </w:rPr>
            </w:pPr>
            <w:r>
              <w:rPr>
                <w:rFonts w:ascii="Arial" w:eastAsia="Calibri" w:hAnsi="Arial"/>
                <w:sz w:val="16"/>
              </w:rPr>
              <w:t>Podľa tabuľky 4, klasifikácie údajov, dopadu na základnú službu a logovacieho profilu.</w:t>
            </w:r>
          </w:p>
        </w:tc>
      </w:tr>
    </w:tbl>
    <w:p w14:paraId="49CCE736" w14:textId="77777777" w:rsidR="00517431" w:rsidRDefault="00517431">
      <w:pPr>
        <w:spacing w:after="0"/>
        <w:rPr>
          <w:rFonts w:ascii="Arial" w:hAnsi="Arial" w:cs="Arial"/>
          <w:sz w:val="20"/>
          <w:szCs w:val="20"/>
        </w:rPr>
      </w:pPr>
    </w:p>
    <w:p w14:paraId="54CEEA9E" w14:textId="77777777" w:rsidR="00517431" w:rsidRDefault="00150791">
      <w:pPr>
        <w:spacing w:after="0"/>
        <w:rPr>
          <w:rFonts w:ascii="Arial" w:hAnsi="Arial" w:cs="Arial"/>
          <w:sz w:val="20"/>
          <w:szCs w:val="20"/>
        </w:rPr>
      </w:pPr>
      <w:r>
        <w:t>Tabuľka 3 zachováva pôvodné skupiny SEC, OS a APP a dopĺňa ich o súčasné technológie. Pôvodné koeficienty počtu dní sa nepoužívajú ako celková retencia, pretože by pri niektorých zdrojoch nedosahovali minimálnu dobu uchovávania relevantných prevádzkových a bezpečnostných logov podľa aplikovateľných právnych predpisov. Konkrétne parametre sa určia podľa tabuľky 4, aplikovateľnej zmluvnej dokumentácie a logovacieho profilu.</w:t>
      </w:r>
    </w:p>
    <w:p w14:paraId="210B8DBC" w14:textId="77777777" w:rsidR="00517431" w:rsidRDefault="00517431">
      <w:pPr>
        <w:spacing w:after="0"/>
        <w:rPr>
          <w:rFonts w:ascii="Arial" w:hAnsi="Arial" w:cs="Arial"/>
          <w:sz w:val="20"/>
          <w:szCs w:val="20"/>
        </w:rPr>
      </w:pPr>
    </w:p>
    <w:p w14:paraId="53493312" w14:textId="77777777" w:rsidR="00517431" w:rsidRDefault="00150791">
      <w:pPr>
        <w:pStyle w:val="Popis"/>
        <w:keepNext/>
        <w:spacing w:after="0"/>
        <w:rPr>
          <w:rFonts w:ascii="Arial" w:hAnsi="Arial" w:cs="Arial"/>
          <w:b/>
          <w:bCs/>
          <w:sz w:val="20"/>
          <w:szCs w:val="20"/>
        </w:rPr>
      </w:pPr>
      <w:r>
        <w:t>Tabuľka 4 – Minimálne parametre podľa kritickosti a rizika</w:t>
      </w:r>
    </w:p>
    <w:tbl>
      <w:tblPr>
        <w:tblStyle w:val="Mriekatabuky"/>
        <w:tblW w:w="10636" w:type="dxa"/>
        <w:jc w:val="center"/>
        <w:tblLayout w:type="fixed"/>
        <w:tblLook w:val="04A0" w:firstRow="1" w:lastRow="0" w:firstColumn="1" w:lastColumn="0" w:noHBand="0" w:noVBand="1"/>
      </w:tblPr>
      <w:tblGrid>
        <w:gridCol w:w="3256"/>
        <w:gridCol w:w="2693"/>
        <w:gridCol w:w="1702"/>
        <w:gridCol w:w="2985"/>
      </w:tblGrid>
      <w:tr w:rsidR="00517431" w14:paraId="07030879" w14:textId="77777777" w:rsidTr="00B61DEF">
        <w:trPr>
          <w:cantSplit/>
          <w:tblHeader/>
          <w:jc w:val="center"/>
        </w:trPr>
        <w:tc>
          <w:tcPr>
            <w:tcW w:w="3256" w:type="dxa"/>
            <w:shd w:val="clear" w:color="auto" w:fill="5B9BD5" w:themeFill="accent1"/>
          </w:tcPr>
          <w:p w14:paraId="3A392835" w14:textId="77777777" w:rsidR="00517431" w:rsidRDefault="00150791">
            <w:pPr>
              <w:spacing w:after="0" w:line="240" w:lineRule="auto"/>
              <w:jc w:val="center"/>
              <w:rPr>
                <w:rFonts w:ascii="Arial" w:hAnsi="Arial" w:cs="Arial"/>
                <w:b/>
                <w:color w:val="FFFFFF" w:themeColor="background1"/>
                <w:sz w:val="20"/>
                <w:szCs w:val="20"/>
              </w:rPr>
            </w:pPr>
            <w:r>
              <w:rPr>
                <w:rFonts w:ascii="Arial" w:eastAsia="Calibri" w:hAnsi="Arial" w:cs="Arial"/>
                <w:b/>
                <w:sz w:val="16"/>
                <w:szCs w:val="20"/>
              </w:rPr>
              <w:t>Kritickosť / riziko</w:t>
            </w:r>
          </w:p>
        </w:tc>
        <w:tc>
          <w:tcPr>
            <w:tcW w:w="2693" w:type="dxa"/>
            <w:shd w:val="clear" w:color="auto" w:fill="5B9BD5" w:themeFill="accent1"/>
          </w:tcPr>
          <w:p w14:paraId="3DC85DF5" w14:textId="77777777" w:rsidR="00517431" w:rsidRDefault="00150791" w:rsidP="00B61DEF">
            <w:pPr>
              <w:spacing w:after="0" w:line="240" w:lineRule="auto"/>
              <w:jc w:val="center"/>
              <w:rPr>
                <w:rFonts w:ascii="Arial" w:hAnsi="Arial" w:cs="Arial"/>
                <w:b/>
                <w:color w:val="FFFFFF" w:themeColor="background1"/>
                <w:sz w:val="20"/>
                <w:szCs w:val="20"/>
              </w:rPr>
            </w:pPr>
            <w:r>
              <w:rPr>
                <w:rFonts w:ascii="Arial" w:eastAsia="Calibri" w:hAnsi="Arial" w:cs="Arial"/>
                <w:b/>
                <w:sz w:val="16"/>
                <w:szCs w:val="20"/>
              </w:rPr>
              <w:t>Nízke</w:t>
            </w:r>
          </w:p>
        </w:tc>
        <w:tc>
          <w:tcPr>
            <w:tcW w:w="1702" w:type="dxa"/>
            <w:shd w:val="clear" w:color="auto" w:fill="5B9BD5" w:themeFill="accent1"/>
          </w:tcPr>
          <w:p w14:paraId="4AC95EA3" w14:textId="77777777" w:rsidR="00517431" w:rsidRDefault="00150791" w:rsidP="00B61DEF">
            <w:pPr>
              <w:spacing w:after="0" w:line="240" w:lineRule="auto"/>
              <w:jc w:val="center"/>
              <w:rPr>
                <w:rFonts w:ascii="Arial" w:hAnsi="Arial" w:cs="Arial"/>
                <w:b/>
                <w:color w:val="FFFFFF" w:themeColor="background1"/>
                <w:sz w:val="20"/>
                <w:szCs w:val="20"/>
              </w:rPr>
            </w:pPr>
            <w:r>
              <w:rPr>
                <w:rFonts w:ascii="Arial" w:eastAsia="Calibri" w:hAnsi="Arial" w:cs="Arial"/>
                <w:b/>
                <w:sz w:val="16"/>
                <w:szCs w:val="20"/>
              </w:rPr>
              <w:t>Stredné</w:t>
            </w:r>
          </w:p>
        </w:tc>
        <w:tc>
          <w:tcPr>
            <w:tcW w:w="2985" w:type="dxa"/>
            <w:shd w:val="clear" w:color="auto" w:fill="5B9BD5" w:themeFill="accent1"/>
          </w:tcPr>
          <w:p w14:paraId="2A407CDE" w14:textId="77777777" w:rsidR="00517431" w:rsidRDefault="00150791" w:rsidP="00B61DEF">
            <w:pPr>
              <w:spacing w:after="0" w:line="240" w:lineRule="auto"/>
              <w:jc w:val="center"/>
              <w:rPr>
                <w:rFonts w:ascii="Arial" w:hAnsi="Arial" w:cs="Arial"/>
                <w:b/>
                <w:color w:val="FFFFFF" w:themeColor="background1"/>
                <w:sz w:val="20"/>
                <w:szCs w:val="20"/>
              </w:rPr>
            </w:pPr>
            <w:r>
              <w:rPr>
                <w:rFonts w:ascii="Arial" w:eastAsia="Calibri" w:hAnsi="Arial" w:cs="Arial"/>
                <w:b/>
                <w:sz w:val="16"/>
                <w:szCs w:val="20"/>
              </w:rPr>
              <w:t>Vysoké alebo kritické</w:t>
            </w:r>
          </w:p>
        </w:tc>
      </w:tr>
      <w:tr w:rsidR="00517431" w14:paraId="67196F47" w14:textId="77777777" w:rsidTr="00B61DEF">
        <w:trPr>
          <w:cantSplit/>
          <w:jc w:val="center"/>
        </w:trPr>
        <w:tc>
          <w:tcPr>
            <w:tcW w:w="3256" w:type="dxa"/>
          </w:tcPr>
          <w:p w14:paraId="1A68C9CC" w14:textId="77777777" w:rsidR="00517431" w:rsidRDefault="00150791">
            <w:pPr>
              <w:spacing w:after="0" w:line="240" w:lineRule="auto"/>
              <w:rPr>
                <w:rFonts w:ascii="Arial" w:hAnsi="Arial" w:cs="Arial"/>
                <w:sz w:val="20"/>
                <w:szCs w:val="20"/>
              </w:rPr>
            </w:pPr>
            <w:r>
              <w:rPr>
                <w:rFonts w:ascii="Arial" w:eastAsia="Calibri" w:hAnsi="Arial" w:cs="Arial"/>
                <w:sz w:val="16"/>
                <w:szCs w:val="20"/>
              </w:rPr>
              <w:t>Online dostupnosť</w:t>
            </w:r>
          </w:p>
        </w:tc>
        <w:tc>
          <w:tcPr>
            <w:tcW w:w="2693" w:type="dxa"/>
          </w:tcPr>
          <w:p w14:paraId="411267A8"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min. 30 dní</w:t>
            </w:r>
          </w:p>
        </w:tc>
        <w:tc>
          <w:tcPr>
            <w:tcW w:w="1702" w:type="dxa"/>
          </w:tcPr>
          <w:p w14:paraId="7A1F7BFB"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min. 60 dní</w:t>
            </w:r>
          </w:p>
        </w:tc>
        <w:tc>
          <w:tcPr>
            <w:tcW w:w="2985" w:type="dxa"/>
          </w:tcPr>
          <w:p w14:paraId="24E4583A"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min. 90 dní</w:t>
            </w:r>
          </w:p>
        </w:tc>
      </w:tr>
      <w:tr w:rsidR="00517431" w14:paraId="16D888F8" w14:textId="77777777" w:rsidTr="00B61DEF">
        <w:trPr>
          <w:cantSplit/>
          <w:jc w:val="center"/>
        </w:trPr>
        <w:tc>
          <w:tcPr>
            <w:tcW w:w="3256" w:type="dxa"/>
          </w:tcPr>
          <w:p w14:paraId="55CED833" w14:textId="77777777" w:rsidR="00517431" w:rsidRDefault="00150791">
            <w:pPr>
              <w:spacing w:after="0" w:line="240" w:lineRule="auto"/>
              <w:rPr>
                <w:rFonts w:ascii="Arial" w:hAnsi="Arial" w:cs="Arial"/>
                <w:sz w:val="20"/>
                <w:szCs w:val="20"/>
              </w:rPr>
            </w:pPr>
            <w:r>
              <w:rPr>
                <w:rFonts w:ascii="Arial" w:eastAsia="Calibri" w:hAnsi="Arial" w:cs="Arial"/>
                <w:sz w:val="16"/>
                <w:szCs w:val="20"/>
              </w:rPr>
              <w:t xml:space="preserve">Celková </w:t>
            </w:r>
            <w:proofErr w:type="spellStart"/>
            <w:r>
              <w:rPr>
                <w:rFonts w:ascii="Arial" w:eastAsia="Calibri" w:hAnsi="Arial" w:cs="Arial"/>
                <w:sz w:val="16"/>
                <w:szCs w:val="20"/>
              </w:rPr>
              <w:t>retencia</w:t>
            </w:r>
            <w:proofErr w:type="spellEnd"/>
            <w:r>
              <w:rPr>
                <w:rFonts w:ascii="Arial" w:eastAsia="Calibri" w:hAnsi="Arial" w:cs="Arial"/>
                <w:sz w:val="16"/>
                <w:szCs w:val="20"/>
              </w:rPr>
              <w:t xml:space="preserve"> bezpečnostných logov</w:t>
            </w:r>
          </w:p>
        </w:tc>
        <w:tc>
          <w:tcPr>
            <w:tcW w:w="2693" w:type="dxa"/>
          </w:tcPr>
          <w:p w14:paraId="7B48FB75"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min. 12 mesiacov</w:t>
            </w:r>
          </w:p>
        </w:tc>
        <w:tc>
          <w:tcPr>
            <w:tcW w:w="1702" w:type="dxa"/>
          </w:tcPr>
          <w:p w14:paraId="39E3BD07"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min. 12 mesiacov</w:t>
            </w:r>
          </w:p>
        </w:tc>
        <w:tc>
          <w:tcPr>
            <w:tcW w:w="2985" w:type="dxa"/>
          </w:tcPr>
          <w:p w14:paraId="70D78364"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min. 24 mesiacov pre kritické alebo forenzné logy; inak min. 12 mesiacov</w:t>
            </w:r>
          </w:p>
        </w:tc>
      </w:tr>
      <w:tr w:rsidR="00517431" w14:paraId="0B933ED9" w14:textId="77777777" w:rsidTr="00B61DEF">
        <w:trPr>
          <w:cantSplit/>
          <w:jc w:val="center"/>
        </w:trPr>
        <w:tc>
          <w:tcPr>
            <w:tcW w:w="3256" w:type="dxa"/>
          </w:tcPr>
          <w:p w14:paraId="0C0B4C77" w14:textId="77777777" w:rsidR="00517431" w:rsidRDefault="00150791">
            <w:pPr>
              <w:spacing w:after="0" w:line="240" w:lineRule="auto"/>
              <w:rPr>
                <w:rFonts w:ascii="Arial" w:hAnsi="Arial" w:cs="Arial"/>
                <w:sz w:val="20"/>
                <w:szCs w:val="20"/>
              </w:rPr>
            </w:pPr>
            <w:r>
              <w:rPr>
                <w:rFonts w:ascii="Arial" w:eastAsia="Calibri" w:hAnsi="Arial" w:cs="Arial"/>
                <w:sz w:val="16"/>
                <w:szCs w:val="20"/>
              </w:rPr>
              <w:t>Prenos do centrálnej platformy</w:t>
            </w:r>
          </w:p>
        </w:tc>
        <w:tc>
          <w:tcPr>
            <w:tcW w:w="2693" w:type="dxa"/>
          </w:tcPr>
          <w:p w14:paraId="288137D1"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najneskôr do 60 minút</w:t>
            </w:r>
          </w:p>
        </w:tc>
        <w:tc>
          <w:tcPr>
            <w:tcW w:w="1702" w:type="dxa"/>
          </w:tcPr>
          <w:p w14:paraId="00470474"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najneskôr do 15 minút</w:t>
            </w:r>
          </w:p>
        </w:tc>
        <w:tc>
          <w:tcPr>
            <w:tcW w:w="2985" w:type="dxa"/>
          </w:tcPr>
          <w:p w14:paraId="3F827A1B"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takmer v reálnom čase, cieľovo do 5 minút</w:t>
            </w:r>
          </w:p>
        </w:tc>
      </w:tr>
      <w:tr w:rsidR="00517431" w14:paraId="4952FF8D" w14:textId="77777777" w:rsidTr="00B61DEF">
        <w:trPr>
          <w:cantSplit/>
          <w:jc w:val="center"/>
        </w:trPr>
        <w:tc>
          <w:tcPr>
            <w:tcW w:w="3256" w:type="dxa"/>
          </w:tcPr>
          <w:p w14:paraId="2ADEAEF3" w14:textId="77777777" w:rsidR="00517431" w:rsidRDefault="00150791">
            <w:pPr>
              <w:spacing w:after="0" w:line="240" w:lineRule="auto"/>
              <w:rPr>
                <w:rFonts w:ascii="Arial" w:hAnsi="Arial" w:cs="Arial"/>
                <w:sz w:val="20"/>
                <w:szCs w:val="20"/>
              </w:rPr>
            </w:pPr>
            <w:r>
              <w:rPr>
                <w:rFonts w:ascii="Arial" w:eastAsia="Calibri" w:hAnsi="Arial" w:cs="Arial"/>
                <w:sz w:val="16"/>
                <w:szCs w:val="20"/>
              </w:rPr>
              <w:t>Vyhodnocovanie</w:t>
            </w:r>
          </w:p>
        </w:tc>
        <w:tc>
          <w:tcPr>
            <w:tcW w:w="2693" w:type="dxa"/>
          </w:tcPr>
          <w:p w14:paraId="3BEA68E2"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pravidelné automatizované</w:t>
            </w:r>
          </w:p>
        </w:tc>
        <w:tc>
          <w:tcPr>
            <w:tcW w:w="1702" w:type="dxa"/>
          </w:tcPr>
          <w:p w14:paraId="2AC68051"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priebežné automatizované</w:t>
            </w:r>
          </w:p>
        </w:tc>
        <w:tc>
          <w:tcPr>
            <w:tcW w:w="2985" w:type="dxa"/>
          </w:tcPr>
          <w:p w14:paraId="1C357194"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nepretržité 24/7 alebo ekvivalentný schválený režim</w:t>
            </w:r>
          </w:p>
        </w:tc>
      </w:tr>
      <w:tr w:rsidR="00517431" w14:paraId="26826BCB" w14:textId="77777777" w:rsidTr="00B61DEF">
        <w:trPr>
          <w:cantSplit/>
          <w:jc w:val="center"/>
        </w:trPr>
        <w:tc>
          <w:tcPr>
            <w:tcW w:w="3256" w:type="dxa"/>
          </w:tcPr>
          <w:p w14:paraId="10229453" w14:textId="77777777" w:rsidR="00517431" w:rsidRDefault="00150791">
            <w:pPr>
              <w:spacing w:after="0" w:line="240" w:lineRule="auto"/>
              <w:rPr>
                <w:rFonts w:ascii="Arial" w:hAnsi="Arial" w:cs="Arial"/>
                <w:sz w:val="20"/>
                <w:szCs w:val="20"/>
              </w:rPr>
            </w:pPr>
            <w:r>
              <w:rPr>
                <w:rFonts w:ascii="Arial" w:eastAsia="Calibri" w:hAnsi="Arial" w:cs="Arial"/>
                <w:sz w:val="16"/>
                <w:szCs w:val="20"/>
              </w:rPr>
              <w:t>Kontrola integrity</w:t>
            </w:r>
          </w:p>
        </w:tc>
        <w:tc>
          <w:tcPr>
            <w:tcW w:w="2693" w:type="dxa"/>
          </w:tcPr>
          <w:p w14:paraId="19A0EE4D" w14:textId="77777777" w:rsidR="00517431" w:rsidRDefault="00150791" w:rsidP="00B61DEF">
            <w:pPr>
              <w:spacing w:after="0" w:line="240" w:lineRule="auto"/>
              <w:jc w:val="center"/>
              <w:rPr>
                <w:rFonts w:ascii="Calibri" w:eastAsia="Calibri" w:hAnsi="Calibri"/>
              </w:rPr>
            </w:pPr>
            <w:r>
              <w:rPr>
                <w:rFonts w:ascii="Arial" w:eastAsia="Calibri" w:hAnsi="Arial"/>
                <w:sz w:val="16"/>
              </w:rPr>
              <w:t>áno; rozsah a mechanizmus podľa rizika</w:t>
            </w:r>
          </w:p>
        </w:tc>
        <w:tc>
          <w:tcPr>
            <w:tcW w:w="1702" w:type="dxa"/>
          </w:tcPr>
          <w:p w14:paraId="4DE2B1A6" w14:textId="77777777" w:rsidR="00517431" w:rsidRDefault="00150791" w:rsidP="00B61DEF">
            <w:pPr>
              <w:spacing w:after="0" w:line="240" w:lineRule="auto"/>
              <w:jc w:val="center"/>
              <w:rPr>
                <w:rFonts w:ascii="Calibri" w:eastAsia="Calibri" w:hAnsi="Calibri"/>
              </w:rPr>
            </w:pPr>
            <w:r>
              <w:rPr>
                <w:rFonts w:ascii="Arial" w:eastAsia="Calibri" w:hAnsi="Arial"/>
                <w:sz w:val="16"/>
              </w:rPr>
              <w:t>áno</w:t>
            </w:r>
          </w:p>
        </w:tc>
        <w:tc>
          <w:tcPr>
            <w:tcW w:w="2985" w:type="dxa"/>
          </w:tcPr>
          <w:p w14:paraId="0CC6178E" w14:textId="77777777" w:rsidR="00517431" w:rsidRDefault="00150791" w:rsidP="00B61DEF">
            <w:pPr>
              <w:spacing w:after="0" w:line="240" w:lineRule="auto"/>
              <w:jc w:val="center"/>
              <w:rPr>
                <w:rFonts w:ascii="Calibri" w:eastAsia="Calibri" w:hAnsi="Calibri"/>
              </w:rPr>
            </w:pPr>
            <w:r>
              <w:rPr>
                <w:rFonts w:ascii="Arial" w:eastAsia="Calibri" w:hAnsi="Arial"/>
                <w:sz w:val="16"/>
              </w:rPr>
              <w:t>áno; nemenný režim alebo WORM</w:t>
            </w:r>
          </w:p>
        </w:tc>
      </w:tr>
      <w:tr w:rsidR="00517431" w14:paraId="3C379693" w14:textId="77777777" w:rsidTr="00B61DEF">
        <w:trPr>
          <w:cantSplit/>
          <w:jc w:val="center"/>
        </w:trPr>
        <w:tc>
          <w:tcPr>
            <w:tcW w:w="3256" w:type="dxa"/>
          </w:tcPr>
          <w:p w14:paraId="746E0FFA" w14:textId="77777777" w:rsidR="00517431" w:rsidRDefault="00150791">
            <w:pPr>
              <w:spacing w:after="0" w:line="240" w:lineRule="auto"/>
              <w:rPr>
                <w:rFonts w:ascii="Arial" w:hAnsi="Arial" w:cs="Arial"/>
                <w:sz w:val="20"/>
                <w:szCs w:val="20"/>
              </w:rPr>
            </w:pPr>
            <w:r>
              <w:rPr>
                <w:rFonts w:ascii="Arial" w:eastAsia="Calibri" w:hAnsi="Arial" w:cs="Arial"/>
                <w:sz w:val="16"/>
                <w:szCs w:val="20"/>
              </w:rPr>
              <w:t>Šifrovanie pri prenose</w:t>
            </w:r>
          </w:p>
        </w:tc>
        <w:tc>
          <w:tcPr>
            <w:tcW w:w="2693" w:type="dxa"/>
          </w:tcPr>
          <w:p w14:paraId="3D67E3BB"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áno</w:t>
            </w:r>
          </w:p>
        </w:tc>
        <w:tc>
          <w:tcPr>
            <w:tcW w:w="1702" w:type="dxa"/>
          </w:tcPr>
          <w:p w14:paraId="559844CA"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áno</w:t>
            </w:r>
          </w:p>
        </w:tc>
        <w:tc>
          <w:tcPr>
            <w:tcW w:w="2985" w:type="dxa"/>
          </w:tcPr>
          <w:p w14:paraId="4D93DAA4"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áno; vzájomná autentifikácia podľa rizika</w:t>
            </w:r>
          </w:p>
        </w:tc>
      </w:tr>
      <w:tr w:rsidR="00517431" w14:paraId="1C84481B" w14:textId="77777777" w:rsidTr="00B61DEF">
        <w:trPr>
          <w:cantSplit/>
          <w:jc w:val="center"/>
        </w:trPr>
        <w:tc>
          <w:tcPr>
            <w:tcW w:w="3256" w:type="dxa"/>
          </w:tcPr>
          <w:p w14:paraId="3B986CCE" w14:textId="77777777" w:rsidR="00517431" w:rsidRDefault="00150791">
            <w:pPr>
              <w:spacing w:after="0" w:line="240" w:lineRule="auto"/>
              <w:rPr>
                <w:rFonts w:ascii="Arial" w:hAnsi="Arial" w:cs="Arial"/>
                <w:sz w:val="20"/>
                <w:szCs w:val="20"/>
              </w:rPr>
            </w:pPr>
            <w:r>
              <w:rPr>
                <w:rFonts w:ascii="Arial" w:eastAsia="Calibri" w:hAnsi="Arial" w:cs="Arial"/>
                <w:sz w:val="16"/>
                <w:szCs w:val="20"/>
              </w:rPr>
              <w:t>Šifrovanie pri uložení</w:t>
            </w:r>
          </w:p>
        </w:tc>
        <w:tc>
          <w:tcPr>
            <w:tcW w:w="2693" w:type="dxa"/>
          </w:tcPr>
          <w:p w14:paraId="6192E7C9"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podľa klasifikácie</w:t>
            </w:r>
          </w:p>
        </w:tc>
        <w:tc>
          <w:tcPr>
            <w:tcW w:w="1702" w:type="dxa"/>
          </w:tcPr>
          <w:p w14:paraId="5BD2F8C3"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áno pre chránené informácie</w:t>
            </w:r>
          </w:p>
        </w:tc>
        <w:tc>
          <w:tcPr>
            <w:tcW w:w="2985" w:type="dxa"/>
          </w:tcPr>
          <w:p w14:paraId="479E3C83"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áno pre chránené a prísne chránené informácie</w:t>
            </w:r>
          </w:p>
        </w:tc>
      </w:tr>
      <w:tr w:rsidR="00517431" w14:paraId="6EA337FF" w14:textId="77777777" w:rsidTr="00B61DEF">
        <w:trPr>
          <w:cantSplit/>
          <w:jc w:val="center"/>
        </w:trPr>
        <w:tc>
          <w:tcPr>
            <w:tcW w:w="3256" w:type="dxa"/>
          </w:tcPr>
          <w:p w14:paraId="19CEF779" w14:textId="77777777" w:rsidR="00517431" w:rsidRDefault="00150791">
            <w:pPr>
              <w:spacing w:after="0" w:line="240" w:lineRule="auto"/>
              <w:rPr>
                <w:rFonts w:ascii="Arial" w:hAnsi="Arial" w:cs="Arial"/>
                <w:sz w:val="20"/>
                <w:szCs w:val="20"/>
              </w:rPr>
            </w:pPr>
            <w:r>
              <w:rPr>
                <w:rFonts w:ascii="Arial" w:eastAsia="Calibri" w:hAnsi="Arial" w:cs="Arial"/>
                <w:sz w:val="16"/>
                <w:szCs w:val="20"/>
              </w:rPr>
              <w:t>Zálohovanie a obnova</w:t>
            </w:r>
          </w:p>
        </w:tc>
        <w:tc>
          <w:tcPr>
            <w:tcW w:w="2693" w:type="dxa"/>
          </w:tcPr>
          <w:p w14:paraId="33F89142"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podľa klasifikácie, rizika, aplikovateľnej zmluvnej dokumentácie a schváleného logovacieho profilu</w:t>
            </w:r>
          </w:p>
        </w:tc>
        <w:tc>
          <w:tcPr>
            <w:tcW w:w="1702" w:type="dxa"/>
          </w:tcPr>
          <w:p w14:paraId="61E96292"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pravidelne testované</w:t>
            </w:r>
          </w:p>
        </w:tc>
        <w:tc>
          <w:tcPr>
            <w:tcW w:w="2985" w:type="dxa"/>
          </w:tcPr>
          <w:p w14:paraId="517773D3" w14:textId="77777777" w:rsidR="00517431" w:rsidRDefault="00150791" w:rsidP="00B61DEF">
            <w:pPr>
              <w:spacing w:after="0" w:line="240" w:lineRule="auto"/>
              <w:jc w:val="center"/>
              <w:rPr>
                <w:rFonts w:ascii="Arial" w:hAnsi="Arial" w:cs="Arial"/>
                <w:sz w:val="20"/>
                <w:szCs w:val="20"/>
              </w:rPr>
            </w:pPr>
            <w:r>
              <w:rPr>
                <w:rFonts w:ascii="Arial" w:eastAsia="Calibri" w:hAnsi="Arial" w:cs="Arial"/>
                <w:sz w:val="16"/>
                <w:szCs w:val="20"/>
              </w:rPr>
              <w:t>pravidelne testované, oddelené a chránené proti neoprávnenej zmene</w:t>
            </w:r>
          </w:p>
        </w:tc>
      </w:tr>
    </w:tbl>
    <w:p w14:paraId="06A82362" w14:textId="77777777" w:rsidR="00517431" w:rsidRDefault="00517431">
      <w:pPr>
        <w:spacing w:after="0"/>
        <w:rPr>
          <w:rFonts w:ascii="Arial" w:hAnsi="Arial" w:cs="Arial"/>
          <w:sz w:val="20"/>
          <w:szCs w:val="20"/>
        </w:rPr>
      </w:pPr>
    </w:p>
    <w:p w14:paraId="7B620FE2" w14:textId="77777777" w:rsidR="00517431" w:rsidRDefault="00150791">
      <w:pPr>
        <w:spacing w:after="0"/>
        <w:rPr>
          <w:rFonts w:ascii="Arial" w:hAnsi="Arial" w:cs="Arial"/>
          <w:sz w:val="20"/>
          <w:szCs w:val="20"/>
        </w:rPr>
      </w:pPr>
      <w:r>
        <w:t>Tabuľka 4 určuje minimálne parametre podľa rizika a kritickosti. Dvanásťmesačné minimum sa vzťahuje na relevantné prevádzkové a bezpečnostné logy podľa aplikovateľných právnych predpisov; dvadsaťštyrimesačná retencia je prísnejšou zmluvnou požiadavkou pre kritické a forenzné logy podľa Kyberzmluvy a Prílohy č. 2. Pri rozpore sa uplatní prísnejšia požiadavka z Kyberzmluvy, aplikovateľnej zmluvnej dokumentácie, právneho predpisu alebo registratúrneho plánu.</w:t>
      </w:r>
    </w:p>
    <w:p w14:paraId="7C085486" w14:textId="77777777" w:rsidR="00517431" w:rsidRDefault="00517431">
      <w:pPr>
        <w:spacing w:after="0"/>
        <w:rPr>
          <w:rFonts w:ascii="Arial" w:hAnsi="Arial" w:cs="Arial"/>
          <w:sz w:val="20"/>
          <w:szCs w:val="20"/>
        </w:rPr>
      </w:pPr>
    </w:p>
    <w:p w14:paraId="669F8998" w14:textId="77777777" w:rsidR="00517431" w:rsidRDefault="00150791">
      <w:pPr>
        <w:pStyle w:val="Nadpis1"/>
        <w:spacing w:before="0"/>
        <w:rPr>
          <w:rFonts w:ascii="Arial" w:hAnsi="Arial" w:cs="Arial"/>
          <w:b/>
          <w:bCs/>
          <w:sz w:val="20"/>
          <w:szCs w:val="20"/>
        </w:rPr>
      </w:pPr>
      <w:bookmarkStart w:id="44" w:name="__RefHeading___Toc6253_3891905039"/>
      <w:bookmarkStart w:id="45" w:name="_Toc235216546"/>
      <w:bookmarkEnd w:id="44"/>
      <w:r>
        <w:rPr>
          <w:rFonts w:ascii="Arial" w:hAnsi="Arial" w:cs="Arial"/>
          <w:b/>
          <w:bCs/>
          <w:sz w:val="20"/>
          <w:szCs w:val="20"/>
        </w:rPr>
        <w:t>4. Výklad záväznosti a doplňujúce pravidlá</w:t>
      </w:r>
      <w:bookmarkEnd w:id="45"/>
    </w:p>
    <w:p w14:paraId="116E823C" w14:textId="77777777" w:rsidR="00517431" w:rsidRDefault="00150791">
      <w:pPr>
        <w:pStyle w:val="Nadpis2"/>
        <w:spacing w:before="0"/>
        <w:rPr>
          <w:rFonts w:ascii="Arial" w:hAnsi="Arial" w:cs="Arial"/>
          <w:b/>
          <w:bCs/>
          <w:sz w:val="20"/>
          <w:szCs w:val="20"/>
        </w:rPr>
      </w:pPr>
      <w:bookmarkStart w:id="46" w:name="__RefHeading___Toc1457_3859580398"/>
      <w:bookmarkEnd w:id="46"/>
      <w:r>
        <w:t xml:space="preserve">4.1 Metóda </w:t>
      </w:r>
      <w:proofErr w:type="spellStart"/>
      <w:r>
        <w:t>MoSCoW</w:t>
      </w:r>
      <w:proofErr w:type="spellEnd"/>
      <w:r>
        <w:t xml:space="preserve"> a záväznosť požiadaviek</w:t>
      </w:r>
    </w:p>
    <w:p w14:paraId="5786EE7E" w14:textId="77777777" w:rsidR="00517431" w:rsidRDefault="00150791">
      <w:pPr>
        <w:numPr>
          <w:ilvl w:val="0"/>
          <w:numId w:val="5"/>
        </w:numPr>
        <w:spacing w:after="0" w:line="240" w:lineRule="auto"/>
        <w:ind w:left="153" w:firstLine="0"/>
        <w:rPr>
          <w:rFonts w:ascii="Arial" w:hAnsi="Arial" w:cs="Arial"/>
          <w:sz w:val="20"/>
          <w:szCs w:val="20"/>
        </w:rPr>
      </w:pPr>
      <w:r>
        <w:rPr>
          <w:b/>
          <w:bCs/>
          <w:color w:val="EE0000"/>
        </w:rPr>
        <w:t>M – MUSÍ BYŤ (Must have) – povinná požiadavka. Odchýlka je možná iba v režime schválenej výnimky podľa Kyberzmluvy, ak právny predpis, Kyberzmluva , aplikovateľná zmluvná dokumentácia alebo schválený logovací profil výnimku nevylučuje.</w:t>
      </w:r>
    </w:p>
    <w:p w14:paraId="6E78488A" w14:textId="77777777" w:rsidR="00517431" w:rsidRDefault="00150791">
      <w:pPr>
        <w:numPr>
          <w:ilvl w:val="0"/>
          <w:numId w:val="5"/>
        </w:numPr>
        <w:spacing w:after="0" w:line="240" w:lineRule="auto"/>
        <w:ind w:left="153" w:firstLine="0"/>
        <w:rPr>
          <w:rFonts w:ascii="Arial" w:hAnsi="Arial" w:cs="Arial"/>
          <w:sz w:val="20"/>
          <w:szCs w:val="20"/>
        </w:rPr>
      </w:pPr>
      <w:r w:rsidRPr="00B61DEF">
        <w:rPr>
          <w:b/>
          <w:bCs/>
          <w:color w:val="FFC000" w:themeColor="accent4"/>
        </w:rPr>
        <w:t>S – MALO BY BYŤ</w:t>
      </w:r>
      <w:r w:rsidRPr="00B61DEF">
        <w:rPr>
          <w:color w:val="FFC000" w:themeColor="accent4"/>
        </w:rPr>
        <w:t xml:space="preserve"> </w:t>
      </w:r>
      <w:r>
        <w:t>(</w:t>
      </w:r>
      <w:proofErr w:type="spellStart"/>
      <w:r w:rsidRPr="00B61DEF">
        <w:rPr>
          <w:b/>
          <w:bCs/>
          <w:color w:val="FFC000" w:themeColor="accent4"/>
        </w:rPr>
        <w:t>Should</w:t>
      </w:r>
      <w:proofErr w:type="spellEnd"/>
      <w:r w:rsidRPr="00B61DEF">
        <w:rPr>
          <w:b/>
          <w:bCs/>
          <w:color w:val="FFC000" w:themeColor="accent4"/>
        </w:rPr>
        <w:t xml:space="preserve"> </w:t>
      </w:r>
      <w:proofErr w:type="spellStart"/>
      <w:r w:rsidRPr="00B61DEF">
        <w:rPr>
          <w:b/>
          <w:bCs/>
          <w:color w:val="FFC000" w:themeColor="accent4"/>
        </w:rPr>
        <w:t>have</w:t>
      </w:r>
      <w:proofErr w:type="spellEnd"/>
      <w:r>
        <w:t>) – predvolená požiadavka, ktorá sa uplatní, ak dodávateľ nepreukáže závažný technický alebo rizikový dôvod jej neuplatnenia. Dôvod, analýza rizík, kompenzačné opatrenie a doba trvania musia byť zdokumentované a vopred schválené.</w:t>
      </w:r>
    </w:p>
    <w:p w14:paraId="1783BE23" w14:textId="77777777" w:rsidR="00517431" w:rsidRDefault="00150791">
      <w:pPr>
        <w:spacing w:after="0"/>
        <w:ind w:right="8" w:firstLine="153"/>
        <w:rPr>
          <w:rFonts w:ascii="Arial" w:hAnsi="Arial" w:cs="Arial"/>
          <w:sz w:val="20"/>
          <w:szCs w:val="20"/>
        </w:rPr>
      </w:pPr>
      <w:r>
        <w:rPr>
          <w:b/>
          <w:bCs/>
          <w:color w:val="70AD47" w:themeColor="accent6"/>
        </w:rPr>
        <w:lastRenderedPageBreak/>
        <w:t>C – MOHLO BY BYŤ (Could have) – odporúčané opatrenie, ktoré sa uplatní podľa rizika, technickej primeranosti a prínosu. Zmluva na výkon činností, jej príloha, technická špecifikácia alebo schválený logovací profil ho môže určiť ako povinné.</w:t>
      </w:r>
    </w:p>
    <w:p w14:paraId="3421FCB0" w14:textId="77777777" w:rsidR="00517431" w:rsidRDefault="00150791">
      <w:pPr>
        <w:spacing w:after="0"/>
        <w:ind w:left="153" w:right="8"/>
        <w:rPr>
          <w:rFonts w:ascii="Arial" w:hAnsi="Arial" w:cs="Arial"/>
          <w:sz w:val="20"/>
          <w:szCs w:val="20"/>
        </w:rPr>
      </w:pPr>
      <w:r>
        <w:rPr>
          <w:b/>
          <w:bCs/>
          <w:color w:val="4472C4" w:themeColor="accent5"/>
        </w:rPr>
        <w:t>W – NATERAZ SA NEUPLATNÍ (Won't have this time) – požiadavka sa na konkrétne plnenie alebo verziu neuplatní iba vtedy, ak je tak výslovne uvedené a odôvodnené v zmluve na výkon činností, jej prílohe, technickej špecifikácii, schválenom logovacom profile alebo písomne schválenej výnimke; označenie W nepredstavuje trvalú výnimku.</w:t>
      </w:r>
    </w:p>
    <w:p w14:paraId="16E7B9B7" w14:textId="77777777" w:rsidR="00517431" w:rsidRPr="00553E23" w:rsidRDefault="00150791">
      <w:pPr>
        <w:spacing w:after="0"/>
        <w:ind w:right="8" w:firstLine="153"/>
        <w:rPr>
          <w:rFonts w:ascii="Arial" w:hAnsi="Arial" w:cs="Arial"/>
          <w:b/>
          <w:bCs/>
          <w:sz w:val="20"/>
          <w:szCs w:val="20"/>
        </w:rPr>
      </w:pPr>
      <w:r w:rsidRPr="00553E23">
        <w:rPr>
          <w:b/>
          <w:bCs/>
        </w:rPr>
        <w:t xml:space="preserve">Metóda </w:t>
      </w:r>
      <w:proofErr w:type="spellStart"/>
      <w:r w:rsidRPr="00553E23">
        <w:rPr>
          <w:b/>
          <w:bCs/>
        </w:rPr>
        <w:t>MoSCoW</w:t>
      </w:r>
      <w:proofErr w:type="spellEnd"/>
      <w:r w:rsidRPr="00553E23">
        <w:rPr>
          <w:b/>
          <w:bCs/>
        </w:rPr>
        <w:t xml:space="preserve"> v tomto štandarde neurčuje závažnosť zraniteľnosti ani kritickosť systému; určuje záväznosť a prioritu implementácie požiadavky v rámci konkrétneho plnenia.</w:t>
      </w:r>
    </w:p>
    <w:p w14:paraId="52CC69C9" w14:textId="77777777" w:rsidR="00517431" w:rsidRDefault="00150791">
      <w:pPr>
        <w:spacing w:after="80"/>
      </w:pPr>
      <w:r>
        <w:t>V základných sumárnych tabuľkách sa označenie W nepoužíva, pretože štandard ustanovuje minimálny spoločný rozsah požiadaviek. Označenie W možno použiť iba pre konkrétne plnenie po zdokumentovanom posúdení aplikovateľnosti a schválení v zmluve na výkon činností, jej prílohe, technickej špecifikácii, schválenom logovacom profile alebo písomne schválenej výnimke.</w:t>
      </w:r>
    </w:p>
    <w:p w14:paraId="070328BA" w14:textId="77777777" w:rsidR="00517431" w:rsidRDefault="00150791">
      <w:pPr>
        <w:numPr>
          <w:ilvl w:val="0"/>
          <w:numId w:val="5"/>
        </w:numPr>
        <w:spacing w:after="0" w:line="240" w:lineRule="auto"/>
        <w:ind w:left="153" w:firstLine="0"/>
        <w:rPr>
          <w:rFonts w:ascii="Arial" w:hAnsi="Arial" w:cs="Arial"/>
          <w:sz w:val="20"/>
          <w:szCs w:val="20"/>
        </w:rPr>
      </w:pPr>
      <w:r>
        <w:t>Požiadavka právneho predpisu, Kyberzmluvy , aplikovateľnej zmluvnej dokumentácie alebo schváleného logovacieho profilu sa nemôže znížiť označením S, C alebo W v sumárnej tabuľke.</w:t>
      </w:r>
    </w:p>
    <w:p w14:paraId="1F3E1FD8" w14:textId="77777777" w:rsidR="00517431" w:rsidRPr="00553E23" w:rsidRDefault="00150791">
      <w:pPr>
        <w:numPr>
          <w:ilvl w:val="0"/>
          <w:numId w:val="5"/>
        </w:numPr>
        <w:spacing w:after="0" w:line="240" w:lineRule="auto"/>
        <w:ind w:left="153" w:firstLine="0"/>
        <w:rPr>
          <w:rFonts w:ascii="Arial" w:hAnsi="Arial" w:cs="Arial"/>
          <w:sz w:val="20"/>
          <w:szCs w:val="20"/>
        </w:rPr>
      </w:pPr>
      <w:r>
        <w:t>Výnimky sa evidujú, časovo obmedzujú, pravidelne prehodnocujú a uzatvárajú po odstránení dôvodu. Schválenie reziduálneho rizika nezbavuje dodávateľa zodpovednosti za riadne plnenie povinností.</w:t>
      </w:r>
    </w:p>
    <w:p w14:paraId="0E1F9653" w14:textId="77777777" w:rsidR="00553E23" w:rsidRDefault="00553E23" w:rsidP="00553E23">
      <w:pPr>
        <w:spacing w:after="0" w:line="240" w:lineRule="auto"/>
        <w:ind w:left="153"/>
        <w:rPr>
          <w:rFonts w:ascii="Arial" w:hAnsi="Arial" w:cs="Arial"/>
          <w:sz w:val="20"/>
          <w:szCs w:val="20"/>
        </w:rPr>
      </w:pPr>
    </w:p>
    <w:p w14:paraId="2D5864C1" w14:textId="77777777" w:rsidR="00517431" w:rsidRDefault="00150791">
      <w:pPr>
        <w:pStyle w:val="Nadpis1"/>
        <w:spacing w:before="0"/>
        <w:rPr>
          <w:rFonts w:ascii="Arial" w:hAnsi="Arial" w:cs="Arial"/>
          <w:b/>
          <w:bCs/>
          <w:sz w:val="20"/>
          <w:szCs w:val="20"/>
        </w:rPr>
      </w:pPr>
      <w:bookmarkStart w:id="47" w:name="__RefHeading___Toc6257_3891905039"/>
      <w:bookmarkStart w:id="48" w:name="_Toc235216548"/>
      <w:bookmarkEnd w:id="47"/>
      <w:r>
        <w:rPr>
          <w:rFonts w:ascii="Arial" w:hAnsi="Arial" w:cs="Arial"/>
          <w:b/>
          <w:bCs/>
          <w:sz w:val="20"/>
          <w:szCs w:val="20"/>
        </w:rPr>
        <w:t>5. Právne, technické a interné východiská</w:t>
      </w:r>
      <w:bookmarkEnd w:id="48"/>
    </w:p>
    <w:p w14:paraId="331E1E4D" w14:textId="77777777" w:rsidR="00517431" w:rsidRDefault="00150791">
      <w:pPr>
        <w:pStyle w:val="Nadpis2"/>
        <w:spacing w:before="0"/>
        <w:rPr>
          <w:rFonts w:ascii="Arial" w:hAnsi="Arial" w:cs="Arial"/>
          <w:b/>
          <w:bCs/>
          <w:sz w:val="20"/>
          <w:szCs w:val="20"/>
        </w:rPr>
      </w:pPr>
      <w:bookmarkStart w:id="49" w:name="__RefHeading___Toc6259_3891905039"/>
      <w:bookmarkStart w:id="50" w:name="_Toc235216549"/>
      <w:bookmarkEnd w:id="49"/>
      <w:r>
        <w:rPr>
          <w:rFonts w:ascii="Arial" w:hAnsi="Arial" w:cs="Arial"/>
          <w:b/>
          <w:bCs/>
          <w:sz w:val="20"/>
          <w:szCs w:val="20"/>
        </w:rPr>
        <w:t>5.1 Zdroje a legislatívne východiská</w:t>
      </w:r>
      <w:bookmarkEnd w:id="50"/>
    </w:p>
    <w:p w14:paraId="257D2FD0" w14:textId="77777777" w:rsidR="00517431" w:rsidRDefault="00517431">
      <w:pPr>
        <w:spacing w:after="0"/>
        <w:rPr>
          <w:rFonts w:ascii="Arial" w:hAnsi="Arial" w:cs="Arial"/>
          <w:sz w:val="20"/>
          <w:szCs w:val="20"/>
          <w:u w:val="single"/>
        </w:rPr>
      </w:pPr>
    </w:p>
    <w:p w14:paraId="4EA00F1C"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Slov-Lex – aktuálne znenia právnych predpisov Slovenskej republiky.</w:t>
      </w:r>
    </w:p>
    <w:p w14:paraId="6D708920"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EUR-Lex – aktuálne znenia právnych aktov Európskej únie.</w:t>
      </w:r>
    </w:p>
    <w:p w14:paraId="1149764E"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Národný bezpečnostný úrad a príslušné jednotky CSIRT.</w:t>
      </w:r>
    </w:p>
    <w:p w14:paraId="4A4C548B"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Ministerstvo investícií, regionálneho rozvoja a informatizácie Slovenskej republiky.</w:t>
      </w:r>
    </w:p>
    <w:p w14:paraId="6D5439E7"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ENISA, NIST, OWASP, IETF a relevantné RFC.</w:t>
      </w:r>
    </w:p>
    <w:p w14:paraId="533E31DA"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Interné normy a detekčné scenáre Sociálnej poisťovne.</w:t>
      </w:r>
    </w:p>
    <w:p w14:paraId="140B576F"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 xml:space="preserve">NIST SP 800-92 – </w:t>
      </w:r>
      <w:proofErr w:type="spellStart"/>
      <w:r>
        <w:rPr>
          <w:rFonts w:ascii="Arial" w:hAnsi="Arial" w:cs="Arial"/>
          <w:sz w:val="20"/>
          <w:szCs w:val="20"/>
        </w:rPr>
        <w:t>Guide</w:t>
      </w:r>
      <w:proofErr w:type="spellEnd"/>
      <w:r>
        <w:rPr>
          <w:rFonts w:ascii="Arial" w:hAnsi="Arial" w:cs="Arial"/>
          <w:sz w:val="20"/>
          <w:szCs w:val="20"/>
        </w:rPr>
        <w:t xml:space="preserve"> to </w:t>
      </w:r>
      <w:proofErr w:type="spellStart"/>
      <w:r>
        <w:rPr>
          <w:rFonts w:ascii="Arial" w:hAnsi="Arial" w:cs="Arial"/>
          <w:sz w:val="20"/>
          <w:szCs w:val="20"/>
        </w:rPr>
        <w:t>Computer</w:t>
      </w:r>
      <w:proofErr w:type="spellEnd"/>
      <w:r>
        <w:rPr>
          <w:rFonts w:ascii="Arial" w:hAnsi="Arial" w:cs="Arial"/>
          <w:sz w:val="20"/>
          <w:szCs w:val="20"/>
        </w:rPr>
        <w:t xml:space="preserve"> </w:t>
      </w:r>
      <w:proofErr w:type="spellStart"/>
      <w:r>
        <w:rPr>
          <w:rFonts w:ascii="Arial" w:hAnsi="Arial" w:cs="Arial"/>
          <w:sz w:val="20"/>
          <w:szCs w:val="20"/>
        </w:rPr>
        <w:t>Security</w:t>
      </w:r>
      <w:proofErr w:type="spellEnd"/>
      <w:r>
        <w:rPr>
          <w:rFonts w:ascii="Arial" w:hAnsi="Arial" w:cs="Arial"/>
          <w:sz w:val="20"/>
          <w:szCs w:val="20"/>
        </w:rPr>
        <w:t xml:space="preserve"> Log Management.</w:t>
      </w:r>
    </w:p>
    <w:p w14:paraId="1225EBA2" w14:textId="77777777" w:rsidR="00517431" w:rsidRDefault="00150791">
      <w:pPr>
        <w:pStyle w:val="Odsekzoznamu"/>
        <w:numPr>
          <w:ilvl w:val="0"/>
          <w:numId w:val="1"/>
        </w:numPr>
        <w:spacing w:after="0" w:line="240" w:lineRule="auto"/>
        <w:rPr>
          <w:rFonts w:ascii="Arial" w:hAnsi="Arial" w:cs="Arial"/>
          <w:sz w:val="20"/>
          <w:szCs w:val="20"/>
        </w:rPr>
      </w:pPr>
      <w:r>
        <w:t xml:space="preserve">NIST SP 800-61 Rev. 3 – Incident </w:t>
      </w:r>
      <w:proofErr w:type="spellStart"/>
      <w:r>
        <w:t>Response</w:t>
      </w:r>
      <w:proofErr w:type="spellEnd"/>
      <w:r>
        <w:t xml:space="preserve"> </w:t>
      </w:r>
      <w:proofErr w:type="spellStart"/>
      <w:r>
        <w:t>Recommendations</w:t>
      </w:r>
      <w:proofErr w:type="spellEnd"/>
      <w:r>
        <w:t xml:space="preserve"> and </w:t>
      </w:r>
      <w:proofErr w:type="spellStart"/>
      <w:r>
        <w:t>Considerations</w:t>
      </w:r>
      <w:proofErr w:type="spellEnd"/>
      <w:r>
        <w:t xml:space="preserve"> </w:t>
      </w:r>
      <w:proofErr w:type="spellStart"/>
      <w:r>
        <w:t>for</w:t>
      </w:r>
      <w:proofErr w:type="spellEnd"/>
      <w:r>
        <w:t xml:space="preserve"> </w:t>
      </w:r>
      <w:proofErr w:type="spellStart"/>
      <w:r>
        <w:t>Cybersecurity</w:t>
      </w:r>
      <w:proofErr w:type="spellEnd"/>
      <w:r>
        <w:t xml:space="preserve"> Risk Management: A CSF 2.0 </w:t>
      </w:r>
      <w:proofErr w:type="spellStart"/>
      <w:r>
        <w:t>Community</w:t>
      </w:r>
      <w:proofErr w:type="spellEnd"/>
      <w:r>
        <w:t xml:space="preserve"> Profile.</w:t>
      </w:r>
    </w:p>
    <w:p w14:paraId="53CD6311"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 xml:space="preserve">OWASP </w:t>
      </w:r>
      <w:proofErr w:type="spellStart"/>
      <w:r>
        <w:rPr>
          <w:rFonts w:ascii="Arial" w:hAnsi="Arial" w:cs="Arial"/>
          <w:sz w:val="20"/>
          <w:szCs w:val="20"/>
        </w:rPr>
        <w:t>Logging</w:t>
      </w:r>
      <w:proofErr w:type="spellEnd"/>
      <w:r>
        <w:rPr>
          <w:rFonts w:ascii="Arial" w:hAnsi="Arial" w:cs="Arial"/>
          <w:sz w:val="20"/>
          <w:szCs w:val="20"/>
        </w:rPr>
        <w:t xml:space="preserve"> </w:t>
      </w:r>
      <w:proofErr w:type="spellStart"/>
      <w:r>
        <w:rPr>
          <w:rFonts w:ascii="Arial" w:hAnsi="Arial" w:cs="Arial"/>
          <w:sz w:val="20"/>
          <w:szCs w:val="20"/>
        </w:rPr>
        <w:t>Cheat</w:t>
      </w:r>
      <w:proofErr w:type="spellEnd"/>
      <w:r>
        <w:rPr>
          <w:rFonts w:ascii="Arial" w:hAnsi="Arial" w:cs="Arial"/>
          <w:sz w:val="20"/>
          <w:szCs w:val="20"/>
        </w:rPr>
        <w:t xml:space="preserve"> </w:t>
      </w:r>
      <w:proofErr w:type="spellStart"/>
      <w:r>
        <w:rPr>
          <w:rFonts w:ascii="Arial" w:hAnsi="Arial" w:cs="Arial"/>
          <w:sz w:val="20"/>
          <w:szCs w:val="20"/>
        </w:rPr>
        <w:t>Sheet</w:t>
      </w:r>
      <w:proofErr w:type="spellEnd"/>
      <w:r>
        <w:rPr>
          <w:rFonts w:ascii="Arial" w:hAnsi="Arial" w:cs="Arial"/>
          <w:sz w:val="20"/>
          <w:szCs w:val="20"/>
        </w:rPr>
        <w:t xml:space="preserve"> a OWASP </w:t>
      </w:r>
      <w:proofErr w:type="spellStart"/>
      <w:r>
        <w:rPr>
          <w:rFonts w:ascii="Arial" w:hAnsi="Arial" w:cs="Arial"/>
          <w:sz w:val="20"/>
          <w:szCs w:val="20"/>
        </w:rPr>
        <w:t>Application</w:t>
      </w:r>
      <w:proofErr w:type="spellEnd"/>
      <w:r>
        <w:rPr>
          <w:rFonts w:ascii="Arial" w:hAnsi="Arial" w:cs="Arial"/>
          <w:sz w:val="20"/>
          <w:szCs w:val="20"/>
        </w:rPr>
        <w:t xml:space="preserve"> </w:t>
      </w:r>
      <w:proofErr w:type="spellStart"/>
      <w:r>
        <w:rPr>
          <w:rFonts w:ascii="Arial" w:hAnsi="Arial" w:cs="Arial"/>
          <w:sz w:val="20"/>
          <w:szCs w:val="20"/>
        </w:rPr>
        <w:t>Security</w:t>
      </w:r>
      <w:proofErr w:type="spellEnd"/>
      <w:r>
        <w:rPr>
          <w:rFonts w:ascii="Arial" w:hAnsi="Arial" w:cs="Arial"/>
          <w:sz w:val="20"/>
          <w:szCs w:val="20"/>
        </w:rPr>
        <w:t xml:space="preserve"> </w:t>
      </w:r>
      <w:proofErr w:type="spellStart"/>
      <w:r>
        <w:rPr>
          <w:rFonts w:ascii="Arial" w:hAnsi="Arial" w:cs="Arial"/>
          <w:sz w:val="20"/>
          <w:szCs w:val="20"/>
        </w:rPr>
        <w:t>Verification</w:t>
      </w:r>
      <w:proofErr w:type="spellEnd"/>
      <w:r>
        <w:rPr>
          <w:rFonts w:ascii="Arial" w:hAnsi="Arial" w:cs="Arial"/>
          <w:sz w:val="20"/>
          <w:szCs w:val="20"/>
        </w:rPr>
        <w:t xml:space="preserve"> Standard.</w:t>
      </w:r>
    </w:p>
    <w:p w14:paraId="095E6C61"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 xml:space="preserve">RFC 5424 –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Syslog</w:t>
      </w:r>
      <w:proofErr w:type="spellEnd"/>
      <w:r>
        <w:rPr>
          <w:rFonts w:ascii="Arial" w:hAnsi="Arial" w:cs="Arial"/>
          <w:sz w:val="20"/>
          <w:szCs w:val="20"/>
        </w:rPr>
        <w:t xml:space="preserve"> </w:t>
      </w:r>
      <w:proofErr w:type="spellStart"/>
      <w:r>
        <w:rPr>
          <w:rFonts w:ascii="Arial" w:hAnsi="Arial" w:cs="Arial"/>
          <w:sz w:val="20"/>
          <w:szCs w:val="20"/>
        </w:rPr>
        <w:t>Protocol</w:t>
      </w:r>
      <w:proofErr w:type="spellEnd"/>
      <w:r>
        <w:rPr>
          <w:rFonts w:ascii="Arial" w:hAnsi="Arial" w:cs="Arial"/>
          <w:sz w:val="20"/>
          <w:szCs w:val="20"/>
        </w:rPr>
        <w:t>.</w:t>
      </w:r>
    </w:p>
    <w:p w14:paraId="0670799E"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 xml:space="preserve">RFC 5425 – Transport </w:t>
      </w:r>
      <w:proofErr w:type="spellStart"/>
      <w:r>
        <w:rPr>
          <w:rFonts w:ascii="Arial" w:hAnsi="Arial" w:cs="Arial"/>
          <w:sz w:val="20"/>
          <w:szCs w:val="20"/>
        </w:rPr>
        <w:t>Layer</w:t>
      </w:r>
      <w:proofErr w:type="spellEnd"/>
      <w:r>
        <w:rPr>
          <w:rFonts w:ascii="Arial" w:hAnsi="Arial" w:cs="Arial"/>
          <w:sz w:val="20"/>
          <w:szCs w:val="20"/>
        </w:rPr>
        <w:t xml:space="preserve"> </w:t>
      </w:r>
      <w:proofErr w:type="spellStart"/>
      <w:r>
        <w:rPr>
          <w:rFonts w:ascii="Arial" w:hAnsi="Arial" w:cs="Arial"/>
          <w:sz w:val="20"/>
          <w:szCs w:val="20"/>
        </w:rPr>
        <w:t>Security</w:t>
      </w:r>
      <w:proofErr w:type="spellEnd"/>
      <w:r>
        <w:rPr>
          <w:rFonts w:ascii="Arial" w:hAnsi="Arial" w:cs="Arial"/>
          <w:sz w:val="20"/>
          <w:szCs w:val="20"/>
        </w:rPr>
        <w:t xml:space="preserve"> (TLS) Transport </w:t>
      </w:r>
      <w:proofErr w:type="spellStart"/>
      <w:r>
        <w:rPr>
          <w:rFonts w:ascii="Arial" w:hAnsi="Arial" w:cs="Arial"/>
          <w:sz w:val="20"/>
          <w:szCs w:val="20"/>
        </w:rPr>
        <w:t>Mapping</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Syslog</w:t>
      </w:r>
      <w:proofErr w:type="spellEnd"/>
      <w:r>
        <w:rPr>
          <w:rFonts w:ascii="Arial" w:hAnsi="Arial" w:cs="Arial"/>
          <w:sz w:val="20"/>
          <w:szCs w:val="20"/>
        </w:rPr>
        <w:t>.</w:t>
      </w:r>
    </w:p>
    <w:p w14:paraId="23F6549A"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Odporúčania ENISA pre logovanie, monitorovanie a reakciu na incidenty.</w:t>
      </w:r>
    </w:p>
    <w:p w14:paraId="3C18663F"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Technické a prevádzkové štandardy, architektonické pravidlá a detekčné scenáre SOC prevádzkovateľa.</w:t>
      </w:r>
    </w:p>
    <w:p w14:paraId="0F17519C"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Schválený logovací profil konkrétneho systému alebo služby a aplikovateľná zmluvná alebo technická dokumentácia.</w:t>
      </w:r>
    </w:p>
    <w:p w14:paraId="0CA29588"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Príloha č. 1 – Bezpečnostné politiky prevádzkovateľa.</w:t>
      </w:r>
    </w:p>
    <w:p w14:paraId="544F3D4D"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 xml:space="preserve">Príloha č. 2 – </w:t>
      </w:r>
      <w:proofErr w:type="spellStart"/>
      <w:r>
        <w:rPr>
          <w:rFonts w:ascii="Arial" w:hAnsi="Arial" w:cs="Arial"/>
          <w:sz w:val="20"/>
          <w:szCs w:val="20"/>
        </w:rPr>
        <w:t>Kyberbezpečnostný</w:t>
      </w:r>
      <w:proofErr w:type="spellEnd"/>
      <w:r>
        <w:rPr>
          <w:rFonts w:ascii="Arial" w:hAnsi="Arial" w:cs="Arial"/>
          <w:sz w:val="20"/>
          <w:szCs w:val="20"/>
        </w:rPr>
        <w:t xml:space="preserve"> štandard.</w:t>
      </w:r>
    </w:p>
    <w:p w14:paraId="7EEF83F7" w14:textId="77777777" w:rsidR="00517431" w:rsidRDefault="00150791">
      <w:pPr>
        <w:pStyle w:val="Odsekzoznamu"/>
        <w:numPr>
          <w:ilvl w:val="0"/>
          <w:numId w:val="1"/>
        </w:numPr>
        <w:spacing w:after="0" w:line="240" w:lineRule="auto"/>
        <w:rPr>
          <w:rFonts w:ascii="Arial" w:hAnsi="Arial" w:cs="Arial"/>
          <w:sz w:val="20"/>
          <w:szCs w:val="20"/>
        </w:rPr>
      </w:pPr>
      <w:proofErr w:type="spellStart"/>
      <w:r>
        <w:rPr>
          <w:rFonts w:ascii="Arial" w:hAnsi="Arial" w:cs="Arial"/>
          <w:sz w:val="20"/>
          <w:szCs w:val="20"/>
        </w:rPr>
        <w:t>Kyberzmluva</w:t>
      </w:r>
      <w:proofErr w:type="spellEnd"/>
      <w:r>
        <w:rPr>
          <w:rFonts w:ascii="Arial" w:hAnsi="Arial" w:cs="Arial"/>
          <w:sz w:val="20"/>
          <w:szCs w:val="20"/>
        </w:rPr>
        <w:t>.</w:t>
      </w:r>
    </w:p>
    <w:p w14:paraId="45A6A87F" w14:textId="77777777" w:rsidR="00517431" w:rsidRDefault="00150791">
      <w:pPr>
        <w:pStyle w:val="Odsekzoznamu"/>
        <w:numPr>
          <w:ilvl w:val="0"/>
          <w:numId w:val="1"/>
        </w:numPr>
        <w:spacing w:after="0" w:line="240" w:lineRule="auto"/>
        <w:rPr>
          <w:rFonts w:ascii="Arial" w:hAnsi="Arial" w:cs="Arial"/>
          <w:sz w:val="20"/>
          <w:szCs w:val="20"/>
        </w:rPr>
      </w:pPr>
      <w:r>
        <w:rPr>
          <w:rFonts w:ascii="Arial" w:hAnsi="Arial" w:cs="Arial"/>
          <w:sz w:val="20"/>
          <w:szCs w:val="20"/>
        </w:rPr>
        <w:t>Ďalšie dôveryhodné zdroje určené prevádzkovateľom podľa technológie a rizika.</w:t>
      </w:r>
    </w:p>
    <w:p w14:paraId="259ADD17"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395/2002 Z. z. o archívoch a registratúrach a o doplnení niektorých zákonov v znení neskorších predpisov.</w:t>
      </w:r>
    </w:p>
    <w:p w14:paraId="412083BD"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461/2003 Z. z. o sociálnom poistení v znení neskorších predpisov.</w:t>
      </w:r>
    </w:p>
    <w:p w14:paraId="176AAEF9"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215/2004 Z. z. o ochrane utajovaných skutočností a o zmene a doplnení niektorých zákonov v znení neskorších predpisov, podľa aplikovateľnosti.</w:t>
      </w:r>
    </w:p>
    <w:p w14:paraId="72C73A9B"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300/2005 Z. z. Trestný zákon v znení neskorších predpisov.</w:t>
      </w:r>
    </w:p>
    <w:p w14:paraId="60203655" w14:textId="77777777" w:rsidR="00517431" w:rsidRDefault="00150791">
      <w:pPr>
        <w:pStyle w:val="Odsekzoznamu"/>
        <w:numPr>
          <w:ilvl w:val="0"/>
          <w:numId w:val="6"/>
        </w:numPr>
        <w:spacing w:after="0" w:line="240" w:lineRule="auto"/>
        <w:jc w:val="both"/>
        <w:rPr>
          <w:rFonts w:ascii="Arial" w:hAnsi="Arial" w:cs="Arial"/>
          <w:sz w:val="20"/>
          <w:szCs w:val="20"/>
        </w:rPr>
      </w:pPr>
      <w:r>
        <w:t>Zákon č. 301/2005 Z. z. Trestný poriadok v znení neskorších predpisov, podľa aplikovateľnosti.</w:t>
      </w:r>
    </w:p>
    <w:p w14:paraId="4ED1359E" w14:textId="77777777" w:rsidR="00517431" w:rsidRDefault="00150791">
      <w:pPr>
        <w:pStyle w:val="Odsekzoznamu"/>
        <w:numPr>
          <w:ilvl w:val="0"/>
          <w:numId w:val="6"/>
        </w:numPr>
        <w:spacing w:after="0" w:line="240" w:lineRule="auto"/>
        <w:jc w:val="both"/>
        <w:rPr>
          <w:rFonts w:ascii="Arial" w:hAnsi="Arial" w:cs="Arial"/>
          <w:bCs/>
          <w:sz w:val="20"/>
          <w:szCs w:val="20"/>
        </w:rPr>
      </w:pPr>
      <w:r>
        <w:rPr>
          <w:rFonts w:ascii="Arial" w:hAnsi="Arial" w:cs="Arial"/>
          <w:bCs/>
          <w:sz w:val="20"/>
          <w:szCs w:val="20"/>
        </w:rPr>
        <w:t>Zákon č. 367/2024 Z. z. o kritickej infraštruktúre a o zmene a doplnení niektorých zákonov v znení neskorších predpisov.</w:t>
      </w:r>
    </w:p>
    <w:p w14:paraId="4B02C6F7"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305/2013 Z. z. o elektronickej podobe výkonu pôsobnosti orgánov verejnej moci (zákon o e-</w:t>
      </w:r>
      <w:proofErr w:type="spellStart"/>
      <w:r>
        <w:rPr>
          <w:rFonts w:ascii="Arial" w:hAnsi="Arial" w:cs="Arial"/>
          <w:sz w:val="20"/>
          <w:szCs w:val="20"/>
        </w:rPr>
        <w:t>Governmente</w:t>
      </w:r>
      <w:proofErr w:type="spellEnd"/>
      <w:r>
        <w:rPr>
          <w:rFonts w:ascii="Arial" w:hAnsi="Arial" w:cs="Arial"/>
          <w:sz w:val="20"/>
          <w:szCs w:val="20"/>
        </w:rPr>
        <w:t>) v znení neskorších predpisov.</w:t>
      </w:r>
    </w:p>
    <w:p w14:paraId="4497C008"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lastRenderedPageBreak/>
        <w:t>Zákon č. 272/2016 Z. z. o dôveryhodných službách pre elektronické transakcie na vnútornom trhu v znení neskorších predpisov.</w:t>
      </w:r>
    </w:p>
    <w:p w14:paraId="0CAEC5A1"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18/2018 Z. z. o ochrane osobných údajov a o zmene a doplnení niektorých zákonov v znení neskorších predpisov.</w:t>
      </w:r>
    </w:p>
    <w:p w14:paraId="27E07959"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69/2018 Z. z. o kybernetickej bezpečnosti v znení neskorších predpisov.</w:t>
      </w:r>
    </w:p>
    <w:p w14:paraId="699C0639"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95/2019 Z. z. o informačných technológiách vo verejnej správe v znení neskorších predpisov.</w:t>
      </w:r>
    </w:p>
    <w:p w14:paraId="21A7B012" w14:textId="77777777" w:rsidR="00517431" w:rsidRDefault="00150791">
      <w:pPr>
        <w:pStyle w:val="Odsekzoznamu"/>
        <w:numPr>
          <w:ilvl w:val="0"/>
          <w:numId w:val="6"/>
        </w:numPr>
        <w:spacing w:after="0" w:line="240" w:lineRule="auto"/>
        <w:jc w:val="both"/>
        <w:rPr>
          <w:rFonts w:ascii="Arial" w:hAnsi="Arial" w:cs="Arial"/>
          <w:sz w:val="20"/>
          <w:szCs w:val="20"/>
        </w:rPr>
      </w:pPr>
      <w:r>
        <w:rPr>
          <w:rFonts w:ascii="Arial" w:hAnsi="Arial" w:cs="Arial"/>
          <w:sz w:val="20"/>
          <w:szCs w:val="20"/>
        </w:rPr>
        <w:t>Zákon č. 452/2021 Z. z. o elektronických komunikáciách v znení neskorších predpisov, podľa aplikovateľnosti.</w:t>
      </w:r>
    </w:p>
    <w:p w14:paraId="391A6394"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Ministerstva investícií, regionálneho rozvoja a informatizácie Slovenskej republiky č. 401/2023 Z. z. o riadení projektov a zmenových požiadaviek v prevádzke informačných technológií verejnej správy.</w:t>
      </w:r>
    </w:p>
    <w:p w14:paraId="446AF1B8"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č. 179/2020 Z. z. sa uplatňuje počas jej účinnosti a vyhláška č. 184/2026 Z. z. odo dňa nadobudnutia jej účinnosti.</w:t>
      </w:r>
    </w:p>
    <w:p w14:paraId="55C7E839"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č. 78/2020 Z. z. o štandardoch pre informačné technológie verejnej správy v účinnom znení.</w:t>
      </w:r>
    </w:p>
    <w:p w14:paraId="7124BE60"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č. 85/2018 Z. z., ktorou sa ustanovujú podrobnosti o spôsobe vyhotovenia a náležitostiach listinného rovnopisu elektronického úradného dokumentu, podľa aplikovateľnosti.</w:t>
      </w:r>
    </w:p>
    <w:p w14:paraId="29A869C1"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Ministerstva investícií, regionálneho rozvoja a informatizácie Slovenskej republiky č. 335/2023 Z. z., ktorou sa vykonávajú niektoré ustanovenia zákona o e-</w:t>
      </w:r>
      <w:proofErr w:type="spellStart"/>
      <w:r>
        <w:rPr>
          <w:rFonts w:ascii="Arial" w:hAnsi="Arial" w:cs="Arial"/>
          <w:sz w:val="20"/>
          <w:szCs w:val="20"/>
        </w:rPr>
        <w:t>Governmente</w:t>
      </w:r>
      <w:proofErr w:type="spellEnd"/>
      <w:r>
        <w:rPr>
          <w:rFonts w:ascii="Arial" w:hAnsi="Arial" w:cs="Arial"/>
          <w:sz w:val="20"/>
          <w:szCs w:val="20"/>
        </w:rPr>
        <w:t>.</w:t>
      </w:r>
    </w:p>
    <w:p w14:paraId="3CEDD4C6"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č. 70/2021 Z. z. o zaručenej konverzii v znení neskorších predpisov, podľa aplikovateľnosti.</w:t>
      </w:r>
    </w:p>
    <w:p w14:paraId="0B088A99"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č. 547/2021 Z. z. o elektronizácii agendy verejnej správy, podľa aplikovateľnosti.</w:t>
      </w:r>
    </w:p>
    <w:p w14:paraId="61B9BAD0"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Národného bezpečnostného úradu č. 164/2018 Z. z., ktorou sa určujú identifikačné kritériá prevádzkovanej služby, v účinnom znení a podľa aplikovateľnosti.</w:t>
      </w:r>
    </w:p>
    <w:p w14:paraId="2D40B659"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Národného bezpečnostného úradu č. 166/2018 Z. z. o podrobnostiach o technickom, technologickom a personálnom vybavení jednotky pre riešenie kybernetických bezpečnostných incidentov, podľa aplikovateľnosti.</w:t>
      </w:r>
    </w:p>
    <w:p w14:paraId="26A046AE" w14:textId="77777777" w:rsidR="00517431" w:rsidRDefault="00150791">
      <w:pPr>
        <w:pStyle w:val="Odsekzoznamu"/>
        <w:numPr>
          <w:ilvl w:val="0"/>
          <w:numId w:val="1"/>
        </w:numPr>
        <w:spacing w:after="0" w:line="240" w:lineRule="auto"/>
        <w:jc w:val="both"/>
        <w:rPr>
          <w:rFonts w:ascii="Arial" w:hAnsi="Arial" w:cs="Arial"/>
          <w:bCs/>
          <w:sz w:val="20"/>
          <w:szCs w:val="20"/>
        </w:rPr>
      </w:pPr>
      <w:r>
        <w:rPr>
          <w:rFonts w:ascii="Arial" w:hAnsi="Arial" w:cs="Arial"/>
          <w:bCs/>
          <w:sz w:val="20"/>
          <w:szCs w:val="20"/>
        </w:rPr>
        <w:t>Vyhláška Národného bezpečnostného úradu č. 226/2025 Z. z., ktorou sa ustanovujú podrobnosti o hláseniach, v účinnom znení.</w:t>
      </w:r>
    </w:p>
    <w:p w14:paraId="6DC44C96"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Národného bezpečnostného úradu č. 227/2025 Z. z. o bezpečnostných opatreniach a vyhláška č. 493/2022 Z. z. o audite kybernetickej bezpečnosti, v účinnom znení.</w:t>
      </w:r>
    </w:p>
    <w:p w14:paraId="1EBB0C5B"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Vyhláška Národného bezpečnostného úradu č. 48/2019 Z. z. o administratívnej bezpečnosti utajovaných skutočností, podľa aplikovateľnosti.</w:t>
      </w:r>
    </w:p>
    <w:p w14:paraId="08D5CE43"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Nariadenie Európskeho parlamentu a Rady (EÚ) 2016/679 (GDPR).</w:t>
      </w:r>
    </w:p>
    <w:p w14:paraId="0D569398"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 xml:space="preserve">Nariadenie (EÚ) 2024/1689 (AI </w:t>
      </w:r>
      <w:proofErr w:type="spellStart"/>
      <w:r>
        <w:rPr>
          <w:rFonts w:ascii="Arial" w:hAnsi="Arial" w:cs="Arial"/>
          <w:sz w:val="20"/>
          <w:szCs w:val="20"/>
        </w:rPr>
        <w:t>Act</w:t>
      </w:r>
      <w:proofErr w:type="spellEnd"/>
      <w:r>
        <w:rPr>
          <w:rFonts w:ascii="Arial" w:hAnsi="Arial" w:cs="Arial"/>
          <w:sz w:val="20"/>
          <w:szCs w:val="20"/>
        </w:rPr>
        <w:t>), nariadenie (EÚ) 2023/2854 (</w:t>
      </w:r>
      <w:proofErr w:type="spellStart"/>
      <w:r>
        <w:rPr>
          <w:rFonts w:ascii="Arial" w:hAnsi="Arial" w:cs="Arial"/>
          <w:sz w:val="20"/>
          <w:szCs w:val="20"/>
        </w:rPr>
        <w:t>Data</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 nariadenie (EÚ) 2024/2847 (</w:t>
      </w:r>
      <w:proofErr w:type="spellStart"/>
      <w:r>
        <w:rPr>
          <w:rFonts w:ascii="Arial" w:hAnsi="Arial" w:cs="Arial"/>
          <w:sz w:val="20"/>
          <w:szCs w:val="20"/>
        </w:rPr>
        <w:t>Cyber</w:t>
      </w:r>
      <w:proofErr w:type="spellEnd"/>
      <w:r>
        <w:rPr>
          <w:rFonts w:ascii="Arial" w:hAnsi="Arial" w:cs="Arial"/>
          <w:sz w:val="20"/>
          <w:szCs w:val="20"/>
        </w:rPr>
        <w:t xml:space="preserve"> </w:t>
      </w:r>
      <w:proofErr w:type="spellStart"/>
      <w:r>
        <w:rPr>
          <w:rFonts w:ascii="Arial" w:hAnsi="Arial" w:cs="Arial"/>
          <w:sz w:val="20"/>
          <w:szCs w:val="20"/>
        </w:rPr>
        <w:t>Resilience</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 a nariadenie (EÚ) 2022/868 (</w:t>
      </w:r>
      <w:proofErr w:type="spellStart"/>
      <w:r>
        <w:rPr>
          <w:rFonts w:ascii="Arial" w:hAnsi="Arial" w:cs="Arial"/>
          <w:sz w:val="20"/>
          <w:szCs w:val="20"/>
        </w:rPr>
        <w:t>Data</w:t>
      </w:r>
      <w:proofErr w:type="spellEnd"/>
      <w:r>
        <w:rPr>
          <w:rFonts w:ascii="Arial" w:hAnsi="Arial" w:cs="Arial"/>
          <w:sz w:val="20"/>
          <w:szCs w:val="20"/>
        </w:rPr>
        <w:t xml:space="preserve"> </w:t>
      </w:r>
      <w:proofErr w:type="spellStart"/>
      <w:r>
        <w:rPr>
          <w:rFonts w:ascii="Arial" w:hAnsi="Arial" w:cs="Arial"/>
          <w:sz w:val="20"/>
          <w:szCs w:val="20"/>
        </w:rPr>
        <w:t>Governance</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 podľa aplikovateľnosti.</w:t>
      </w:r>
    </w:p>
    <w:p w14:paraId="4D68EAFC" w14:textId="77777777" w:rsidR="00517431" w:rsidRDefault="00150791">
      <w:pPr>
        <w:pStyle w:val="Odsekzoznamu"/>
        <w:numPr>
          <w:ilvl w:val="0"/>
          <w:numId w:val="1"/>
        </w:numPr>
        <w:spacing w:after="0" w:line="240" w:lineRule="auto"/>
        <w:jc w:val="both"/>
        <w:rPr>
          <w:rFonts w:ascii="Arial" w:hAnsi="Arial" w:cs="Arial"/>
          <w:sz w:val="20"/>
          <w:szCs w:val="20"/>
        </w:rPr>
      </w:pPr>
      <w:r>
        <w:t xml:space="preserve">NIST SP 800-92, NIST SP 800-61 Rev. 3, aktuálne odporúčania ENISA, OWASP </w:t>
      </w:r>
      <w:proofErr w:type="spellStart"/>
      <w:r>
        <w:t>Logging</w:t>
      </w:r>
      <w:proofErr w:type="spellEnd"/>
      <w:r>
        <w:t xml:space="preserve"> </w:t>
      </w:r>
      <w:proofErr w:type="spellStart"/>
      <w:r>
        <w:t>Cheat</w:t>
      </w:r>
      <w:proofErr w:type="spellEnd"/>
      <w:r>
        <w:t xml:space="preserve"> </w:t>
      </w:r>
      <w:proofErr w:type="spellStart"/>
      <w:r>
        <w:t>Sheet</w:t>
      </w:r>
      <w:proofErr w:type="spellEnd"/>
      <w:r>
        <w:t xml:space="preserve"> a relevantné IETF/RFC štandardy sa používajú ako technické východiská.</w:t>
      </w:r>
    </w:p>
    <w:p w14:paraId="4D0BAB4D"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Nariadenie (EÚ) č. 910/2014 (</w:t>
      </w:r>
      <w:proofErr w:type="spellStart"/>
      <w:r>
        <w:rPr>
          <w:rFonts w:ascii="Arial" w:hAnsi="Arial" w:cs="Arial"/>
          <w:sz w:val="20"/>
          <w:szCs w:val="20"/>
        </w:rPr>
        <w:t>eIDAS</w:t>
      </w:r>
      <w:proofErr w:type="spellEnd"/>
      <w:r>
        <w:rPr>
          <w:rFonts w:ascii="Arial" w:hAnsi="Arial" w:cs="Arial"/>
          <w:sz w:val="20"/>
          <w:szCs w:val="20"/>
        </w:rPr>
        <w:t>) v znení nariadenia (EÚ) 2024/1183, podľa aplikovateľnosti.</w:t>
      </w:r>
    </w:p>
    <w:p w14:paraId="53B77613"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Nariadenie Európskeho parlamentu a Rady (EÚ) 2019/881 (akt o kybernetickej bezpečnosti), podľa aplikovateľnosti.</w:t>
      </w:r>
    </w:p>
    <w:p w14:paraId="40398D38"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Smernica Európskeho parlamentu a Rady (EÚ) 2022/2555 (NIS2), zohľadňovaná prostredníctvom zákona o kybernetickej bezpečnosti a jeho vykonávacích predpisov.</w:t>
      </w:r>
    </w:p>
    <w:p w14:paraId="7AEB80C5" w14:textId="77777777" w:rsidR="00517431" w:rsidRDefault="00150791">
      <w:pPr>
        <w:pStyle w:val="Odsekzoznamu"/>
        <w:numPr>
          <w:ilvl w:val="0"/>
          <w:numId w:val="1"/>
        </w:numPr>
        <w:spacing w:after="0" w:line="240" w:lineRule="auto"/>
        <w:ind w:right="101"/>
        <w:jc w:val="both"/>
        <w:rPr>
          <w:rFonts w:ascii="Arial" w:hAnsi="Arial" w:cs="Arial"/>
          <w:sz w:val="20"/>
          <w:szCs w:val="20"/>
        </w:rPr>
      </w:pPr>
      <w:r>
        <w:rPr>
          <w:rFonts w:ascii="Arial" w:hAnsi="Arial" w:cs="Arial"/>
          <w:sz w:val="20"/>
          <w:szCs w:val="20"/>
        </w:rPr>
        <w:t>Smernica Európskeho parlamentu a Rady (EÚ) 2016/2102 o prístupnosti webových sídel a mobilných aplikácií subjektov verejného sektora, podľa aplikovateľnosti.</w:t>
      </w:r>
    </w:p>
    <w:p w14:paraId="37B80731" w14:textId="77777777" w:rsidR="00517431" w:rsidRDefault="00150791">
      <w:pPr>
        <w:pStyle w:val="Odsekzoznamu"/>
        <w:numPr>
          <w:ilvl w:val="0"/>
          <w:numId w:val="1"/>
        </w:numPr>
        <w:spacing w:after="0" w:line="240" w:lineRule="auto"/>
        <w:ind w:right="101"/>
        <w:jc w:val="both"/>
        <w:rPr>
          <w:rFonts w:ascii="Arial" w:hAnsi="Arial" w:cs="Arial"/>
          <w:sz w:val="20"/>
          <w:szCs w:val="20"/>
        </w:rPr>
      </w:pPr>
      <w:r>
        <w:rPr>
          <w:rFonts w:ascii="Arial" w:hAnsi="Arial" w:cs="Arial"/>
          <w:sz w:val="20"/>
          <w:szCs w:val="20"/>
        </w:rPr>
        <w:t>Smernica Európskeho parlamentu a Rady (EÚ) 2019/1024 o otvorených dátach a opakovanom použití informácií verejného sektora, podľa aplikovateľnosti.</w:t>
      </w:r>
    </w:p>
    <w:p w14:paraId="29F8C5EF"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Aktuálne postupy a metodické usmernenia CSIRT.SK pre riešenie kybernetických bezpečnostných incidentov.</w:t>
      </w:r>
    </w:p>
    <w:p w14:paraId="47CE2137" w14:textId="77777777" w:rsidR="00517431" w:rsidRDefault="00150791">
      <w:pPr>
        <w:pStyle w:val="Odsekzoznamu"/>
        <w:numPr>
          <w:ilvl w:val="0"/>
          <w:numId w:val="1"/>
        </w:numPr>
        <w:spacing w:after="0" w:line="240" w:lineRule="auto"/>
        <w:ind w:right="101"/>
        <w:jc w:val="both"/>
        <w:rPr>
          <w:rFonts w:ascii="Arial" w:hAnsi="Arial" w:cs="Arial"/>
          <w:sz w:val="20"/>
          <w:szCs w:val="20"/>
        </w:rPr>
      </w:pPr>
      <w:r>
        <w:rPr>
          <w:rFonts w:ascii="Arial" w:hAnsi="Arial" w:cs="Arial"/>
          <w:sz w:val="20"/>
          <w:szCs w:val="20"/>
        </w:rPr>
        <w:t>Metodika systematického zabezpečenia organizácií verejnej správy v oblasti informačnej bezpečnosti, v aktuálnom znení.</w:t>
      </w:r>
    </w:p>
    <w:p w14:paraId="49DD0815" w14:textId="77777777" w:rsidR="00517431" w:rsidRDefault="00150791">
      <w:pPr>
        <w:pStyle w:val="Odsekzoznamu"/>
        <w:numPr>
          <w:ilvl w:val="0"/>
          <w:numId w:val="1"/>
        </w:numPr>
        <w:spacing w:after="0" w:line="240" w:lineRule="auto"/>
        <w:ind w:right="101"/>
        <w:jc w:val="both"/>
        <w:rPr>
          <w:rFonts w:ascii="Arial" w:hAnsi="Arial" w:cs="Arial"/>
          <w:sz w:val="20"/>
          <w:szCs w:val="20"/>
        </w:rPr>
      </w:pPr>
      <w:r>
        <w:rPr>
          <w:rFonts w:ascii="Arial" w:hAnsi="Arial" w:cs="Arial"/>
          <w:sz w:val="20"/>
          <w:szCs w:val="20"/>
        </w:rPr>
        <w:t>Metodiky riadenia kvality a projektov informačných technológií verejnej správy podľa aktuálnych pravidiel orgánu vedenia, podľa aplikovateľnosti.</w:t>
      </w:r>
    </w:p>
    <w:p w14:paraId="3F8BE3F2" w14:textId="77777777" w:rsidR="00517431" w:rsidRDefault="00150791">
      <w:pPr>
        <w:pStyle w:val="Odsekzoznamu"/>
        <w:numPr>
          <w:ilvl w:val="0"/>
          <w:numId w:val="1"/>
        </w:numPr>
        <w:spacing w:after="0" w:line="240" w:lineRule="auto"/>
        <w:ind w:right="101"/>
        <w:jc w:val="both"/>
        <w:rPr>
          <w:rFonts w:ascii="Arial" w:hAnsi="Arial" w:cs="Arial"/>
          <w:sz w:val="20"/>
          <w:szCs w:val="20"/>
        </w:rPr>
      </w:pPr>
      <w:r>
        <w:rPr>
          <w:rFonts w:ascii="Arial" w:hAnsi="Arial" w:cs="Arial"/>
          <w:sz w:val="20"/>
          <w:szCs w:val="20"/>
        </w:rPr>
        <w:t>Metodika QAMPR a súvisiace aktuálne metodické usmernenia MIRRI, podľa aplikovateľnosti.</w:t>
      </w:r>
    </w:p>
    <w:p w14:paraId="74B49E57" w14:textId="77777777" w:rsidR="00517431" w:rsidRDefault="00150791">
      <w:pPr>
        <w:pStyle w:val="Odsekzoznamu"/>
        <w:spacing w:after="0"/>
        <w:ind w:left="709"/>
        <w:rPr>
          <w:rFonts w:ascii="Arial" w:hAnsi="Arial" w:cs="Arial"/>
          <w:sz w:val="20"/>
          <w:szCs w:val="20"/>
        </w:rPr>
      </w:pPr>
      <w:r>
        <w:rPr>
          <w:rFonts w:ascii="Arial" w:hAnsi="Arial" w:cs="Arial"/>
          <w:sz w:val="20"/>
          <w:szCs w:val="20"/>
        </w:rPr>
        <w:t>Jednotný dizajn manuál elektronických služieb verejnej správy, podľa aplikovateľnosti.</w:t>
      </w:r>
    </w:p>
    <w:p w14:paraId="502B713B" w14:textId="77777777" w:rsidR="00517431" w:rsidRDefault="00150791">
      <w:pPr>
        <w:pStyle w:val="Odsekzoznamu"/>
        <w:numPr>
          <w:ilvl w:val="0"/>
          <w:numId w:val="1"/>
        </w:numPr>
        <w:spacing w:after="0" w:line="240" w:lineRule="auto"/>
        <w:ind w:right="101"/>
        <w:jc w:val="both"/>
        <w:rPr>
          <w:rFonts w:ascii="Arial" w:hAnsi="Arial" w:cs="Arial"/>
          <w:sz w:val="20"/>
          <w:szCs w:val="20"/>
        </w:rPr>
      </w:pPr>
      <w:r>
        <w:rPr>
          <w:rFonts w:ascii="Arial" w:hAnsi="Arial" w:cs="Arial"/>
          <w:sz w:val="20"/>
          <w:szCs w:val="20"/>
        </w:rPr>
        <w:lastRenderedPageBreak/>
        <w:t>Bezpečnostné odporúčania výrobcov a dôveryhodných koordinátorov zraniteľností podľa použitých technológií.</w:t>
      </w:r>
    </w:p>
    <w:p w14:paraId="2DA3C791"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Metodické usmernenia k ochrane osobných údajov a minimalizácii obsahu logov podľa aplikovateľnosti.</w:t>
      </w:r>
    </w:p>
    <w:p w14:paraId="7F2BC510" w14:textId="77777777" w:rsidR="00517431" w:rsidRDefault="00150791">
      <w:pPr>
        <w:pStyle w:val="Odsekzoznamu"/>
        <w:numPr>
          <w:ilvl w:val="0"/>
          <w:numId w:val="1"/>
        </w:numPr>
        <w:spacing w:after="0" w:line="240" w:lineRule="auto"/>
        <w:jc w:val="both"/>
        <w:rPr>
          <w:rFonts w:ascii="Arial" w:hAnsi="Arial" w:cs="Arial"/>
          <w:sz w:val="20"/>
          <w:szCs w:val="20"/>
        </w:rPr>
      </w:pPr>
      <w:r>
        <w:rPr>
          <w:rFonts w:ascii="Arial" w:hAnsi="Arial" w:cs="Arial"/>
          <w:sz w:val="20"/>
          <w:szCs w:val="20"/>
        </w:rPr>
        <w:t>Technické metodiky CSIRT.SK, ENISA, NIST, OWASP a IETF relevantné pre logovanie, monitorovanie a forenzné zaistenie.</w:t>
      </w:r>
    </w:p>
    <w:p w14:paraId="4D33EA47" w14:textId="77777777" w:rsidR="00517431" w:rsidRDefault="00150791">
      <w:pPr>
        <w:pStyle w:val="Odsek"/>
        <w:numPr>
          <w:ilvl w:val="0"/>
          <w:numId w:val="1"/>
        </w:numPr>
        <w:shd w:val="clear" w:color="auto" w:fill="FFFFFF"/>
        <w:spacing w:before="0" w:after="0"/>
        <w:rPr>
          <w:rFonts w:ascii="Arial" w:hAnsi="Arial" w:cs="Arial"/>
          <w:sz w:val="20"/>
        </w:rPr>
      </w:pPr>
      <w:r>
        <w:rPr>
          <w:rFonts w:ascii="Arial" w:hAnsi="Arial" w:cs="Arial"/>
          <w:sz w:val="20"/>
        </w:rPr>
        <w:t>Ďalšie metodiky, štandardy a záväzné pokyny prevádzkovateľa uvedené v aplikovateľnej zmluvnej alebo technickej dokumentácii alebo preukázateľne doručené dodávateľovi.</w:t>
      </w:r>
    </w:p>
    <w:p w14:paraId="5BAF7C2F" w14:textId="77777777" w:rsidR="00517431" w:rsidRDefault="00150791">
      <w:pPr>
        <w:pStyle w:val="Odsek"/>
        <w:numPr>
          <w:ilvl w:val="0"/>
          <w:numId w:val="1"/>
        </w:numPr>
        <w:shd w:val="clear" w:color="auto" w:fill="FFFFFF"/>
        <w:spacing w:before="0" w:after="0"/>
        <w:rPr>
          <w:rFonts w:ascii="Arial" w:hAnsi="Arial" w:cs="Arial"/>
          <w:sz w:val="20"/>
        </w:rPr>
      </w:pPr>
      <w:r>
        <w:rPr>
          <w:rFonts w:ascii="Arial" w:hAnsi="Arial" w:cs="Arial"/>
          <w:sz w:val="20"/>
        </w:rPr>
        <w:t>Aktuálne vnútorné predpisy Sociálnej poisťovne v oblasti kybernetickej a informačnej bezpečnosti, najmä PGR č. 20/2025 až 35/2025 podľa vecnej pôsobnosti.</w:t>
      </w:r>
    </w:p>
    <w:p w14:paraId="763C0178" w14:textId="77777777" w:rsidR="00517431" w:rsidRDefault="00150791">
      <w:pPr>
        <w:pStyle w:val="Odsek"/>
        <w:numPr>
          <w:ilvl w:val="0"/>
          <w:numId w:val="1"/>
        </w:numPr>
        <w:shd w:val="clear" w:color="auto" w:fill="FFFFFF"/>
        <w:spacing w:before="0" w:after="0"/>
        <w:rPr>
          <w:rFonts w:ascii="Arial" w:hAnsi="Arial" w:cs="Arial"/>
          <w:sz w:val="20"/>
        </w:rPr>
      </w:pPr>
      <w:r>
        <w:rPr>
          <w:rFonts w:ascii="Arial" w:hAnsi="Arial" w:cs="Arial"/>
          <w:sz w:val="20"/>
        </w:rPr>
        <w:t>PGR č. 29/2024 Programové, projektové a zmenové riadenie v podmienkach Sociálnej poisťovne.</w:t>
      </w:r>
    </w:p>
    <w:p w14:paraId="77115618" w14:textId="77777777" w:rsidR="00517431" w:rsidRDefault="00150791">
      <w:pPr>
        <w:pStyle w:val="Odsek"/>
        <w:numPr>
          <w:ilvl w:val="0"/>
          <w:numId w:val="1"/>
        </w:numPr>
        <w:shd w:val="clear" w:color="auto" w:fill="FFFFFF"/>
        <w:spacing w:before="0" w:after="0"/>
        <w:rPr>
          <w:rFonts w:ascii="Arial" w:hAnsi="Arial" w:cs="Arial"/>
          <w:sz w:val="20"/>
        </w:rPr>
      </w:pPr>
      <w:r>
        <w:rPr>
          <w:rFonts w:ascii="Arial" w:hAnsi="Arial" w:cs="Arial"/>
          <w:sz w:val="20"/>
        </w:rPr>
        <w:t>PGR č. 46/2025 a ďalšie vnútorné predpisy upravujúce povinnosti gestora zmluvy a riadenie dodávateľov.</w:t>
      </w:r>
    </w:p>
    <w:p w14:paraId="6F20E082" w14:textId="77777777" w:rsidR="00517431" w:rsidRDefault="00150791">
      <w:pPr>
        <w:pStyle w:val="Odsek"/>
        <w:numPr>
          <w:ilvl w:val="0"/>
          <w:numId w:val="1"/>
        </w:numPr>
        <w:shd w:val="clear" w:color="auto" w:fill="FFFFFF"/>
        <w:spacing w:before="0" w:after="0"/>
        <w:rPr>
          <w:rFonts w:ascii="Arial" w:hAnsi="Arial" w:cs="Arial"/>
          <w:sz w:val="20"/>
        </w:rPr>
      </w:pPr>
      <w:r>
        <w:rPr>
          <w:rFonts w:ascii="Arial" w:hAnsi="Arial" w:cs="Arial"/>
          <w:sz w:val="20"/>
        </w:rPr>
        <w:t>PGR č. 11/2026 a ďalšie aktuálne riadiace akty upravujúce tvorbu, schvaľovanie a evidenciu vnútorných predpisov.</w:t>
      </w:r>
    </w:p>
    <w:p w14:paraId="5B51DCED" w14:textId="77777777" w:rsidR="00517431" w:rsidRDefault="00150791">
      <w:pPr>
        <w:pStyle w:val="Odsek"/>
        <w:numPr>
          <w:ilvl w:val="0"/>
          <w:numId w:val="1"/>
        </w:numPr>
        <w:shd w:val="clear" w:color="auto" w:fill="FFFFFF"/>
        <w:spacing w:before="0" w:after="0"/>
        <w:rPr>
          <w:rFonts w:ascii="Arial" w:hAnsi="Arial" w:cs="Arial"/>
          <w:sz w:val="20"/>
        </w:rPr>
      </w:pPr>
      <w:r>
        <w:rPr>
          <w:rFonts w:ascii="Arial" w:hAnsi="Arial" w:cs="Arial"/>
          <w:sz w:val="20"/>
        </w:rPr>
        <w:t>Ďalšie vnútorné predpisy, metodické usmernenia a technické štandardy uvedené v aplikovateľnej zmluvnej alebo technickej dokumentácii alebo preukázateľne sprístupnené dodávateľovi.</w:t>
      </w:r>
    </w:p>
    <w:p w14:paraId="6E955A1E" w14:textId="77777777" w:rsidR="00517431" w:rsidRDefault="00517431">
      <w:pPr>
        <w:pStyle w:val="Odsek"/>
        <w:numPr>
          <w:ilvl w:val="0"/>
          <w:numId w:val="0"/>
        </w:numPr>
        <w:shd w:val="clear" w:color="auto" w:fill="FFFFFF"/>
        <w:spacing w:before="0" w:after="0"/>
        <w:ind w:left="720"/>
        <w:rPr>
          <w:rFonts w:ascii="Arial" w:eastAsiaTheme="minorHAnsi" w:hAnsi="Arial" w:cs="Arial"/>
          <w:color w:val="auto"/>
          <w:sz w:val="20"/>
          <w:shd w:val="clear" w:color="auto" w:fill="auto"/>
          <w:lang w:eastAsia="en-US"/>
        </w:rPr>
      </w:pPr>
    </w:p>
    <w:p w14:paraId="72AF31EC" w14:textId="77777777" w:rsidR="00517431" w:rsidRDefault="00517431">
      <w:pPr>
        <w:spacing w:after="0" w:line="240" w:lineRule="auto"/>
        <w:rPr>
          <w:rFonts w:ascii="Arial" w:hAnsi="Arial" w:cs="Arial"/>
          <w:sz w:val="20"/>
          <w:szCs w:val="20"/>
        </w:rPr>
      </w:pPr>
    </w:p>
    <w:p w14:paraId="461B22D8" w14:textId="77777777" w:rsidR="00517431" w:rsidRDefault="00150791">
      <w:pPr>
        <w:pStyle w:val="Nadpis2"/>
        <w:spacing w:before="0"/>
        <w:rPr>
          <w:rFonts w:ascii="Arial" w:hAnsi="Arial" w:cs="Arial"/>
          <w:b/>
          <w:bCs/>
          <w:sz w:val="20"/>
          <w:szCs w:val="20"/>
        </w:rPr>
      </w:pPr>
      <w:bookmarkStart w:id="51" w:name="__RefHeading___Toc6261_3891905039"/>
      <w:bookmarkStart w:id="52" w:name="_Toc99359003"/>
      <w:bookmarkStart w:id="53" w:name="_Toc235216550"/>
      <w:bookmarkEnd w:id="51"/>
      <w:r>
        <w:rPr>
          <w:rFonts w:ascii="Arial" w:hAnsi="Arial" w:cs="Arial"/>
          <w:b/>
          <w:bCs/>
          <w:sz w:val="20"/>
          <w:szCs w:val="20"/>
        </w:rPr>
        <w:t>5.2 Klasifikačné stupne informačných aktív</w:t>
      </w:r>
      <w:bookmarkEnd w:id="52"/>
      <w:bookmarkEnd w:id="53"/>
    </w:p>
    <w:p w14:paraId="1A1498E7" w14:textId="77777777" w:rsidR="00517431" w:rsidRDefault="00517431">
      <w:pPr>
        <w:spacing w:after="0" w:line="252" w:lineRule="auto"/>
        <w:rPr>
          <w:rFonts w:ascii="Arial" w:hAnsi="Arial" w:cs="Arial"/>
          <w:sz w:val="20"/>
          <w:szCs w:val="20"/>
        </w:rPr>
      </w:pPr>
    </w:p>
    <w:p w14:paraId="233AA6FE" w14:textId="77777777" w:rsidR="00517431" w:rsidRDefault="00150791">
      <w:pPr>
        <w:spacing w:after="0" w:line="252" w:lineRule="auto"/>
        <w:jc w:val="both"/>
        <w:rPr>
          <w:rFonts w:ascii="Arial" w:hAnsi="Arial" w:cs="Arial"/>
          <w:sz w:val="20"/>
          <w:szCs w:val="20"/>
        </w:rPr>
      </w:pPr>
      <w:r>
        <w:rPr>
          <w:rFonts w:ascii="Arial" w:hAnsi="Arial" w:cs="Arial"/>
          <w:sz w:val="20"/>
          <w:szCs w:val="20"/>
        </w:rPr>
        <w:t xml:space="preserve">Klasifikácia informácií a informačných aktív sa riadi Prílohou č. 1 – Bezpečnostné politiky prevádzkovateľa a vnútornými predpismi prevádzkovateľa. Nasledujúce zhrnutie sa používa na určenie rozsahu logovania, prístupov, ochrany a </w:t>
      </w:r>
      <w:proofErr w:type="spellStart"/>
      <w:r>
        <w:rPr>
          <w:rFonts w:ascii="Arial" w:hAnsi="Arial" w:cs="Arial"/>
          <w:sz w:val="20"/>
          <w:szCs w:val="20"/>
        </w:rPr>
        <w:t>retencie</w:t>
      </w:r>
      <w:proofErr w:type="spellEnd"/>
      <w:r>
        <w:rPr>
          <w:rFonts w:ascii="Arial" w:hAnsi="Arial" w:cs="Arial"/>
          <w:sz w:val="20"/>
          <w:szCs w:val="20"/>
        </w:rPr>
        <w:t>.</w:t>
      </w:r>
    </w:p>
    <w:p w14:paraId="1C252648" w14:textId="77777777" w:rsidR="00517431" w:rsidRDefault="00150791">
      <w:pPr>
        <w:pStyle w:val="Nadpis3"/>
        <w:spacing w:before="0" w:line="252" w:lineRule="auto"/>
        <w:rPr>
          <w:rFonts w:ascii="Arial" w:hAnsi="Arial" w:cs="Arial"/>
          <w:sz w:val="20"/>
          <w:szCs w:val="20"/>
        </w:rPr>
      </w:pPr>
      <w:bookmarkStart w:id="54" w:name="__RefHeading___Toc6263_3891905039"/>
      <w:bookmarkEnd w:id="54"/>
      <w:r>
        <w:rPr>
          <w:rFonts w:ascii="Arial" w:hAnsi="Arial" w:cs="Arial"/>
          <w:b/>
          <w:sz w:val="20"/>
          <w:szCs w:val="20"/>
          <w:u w:val="single"/>
        </w:rPr>
        <w:t>Dôvernosť</w:t>
      </w:r>
    </w:p>
    <w:p w14:paraId="583A60FC" w14:textId="77777777" w:rsidR="00517431" w:rsidRDefault="00150791">
      <w:pPr>
        <w:spacing w:after="0" w:line="252" w:lineRule="auto"/>
        <w:rPr>
          <w:rFonts w:ascii="Arial" w:hAnsi="Arial" w:cs="Arial"/>
          <w:sz w:val="20"/>
          <w:szCs w:val="20"/>
        </w:rPr>
      </w:pPr>
      <w:r>
        <w:rPr>
          <w:rFonts w:ascii="Arial" w:hAnsi="Arial" w:cs="Arial"/>
          <w:sz w:val="20"/>
          <w:szCs w:val="20"/>
        </w:rPr>
        <w:t>Z hľadiska dôvernosti sa používajú tieto stupne:</w:t>
      </w:r>
    </w:p>
    <w:p w14:paraId="52A792AA" w14:textId="77777777" w:rsidR="00517431" w:rsidRDefault="00150791">
      <w:pPr>
        <w:pStyle w:val="Odsekzoznamu"/>
        <w:numPr>
          <w:ilvl w:val="0"/>
          <w:numId w:val="15"/>
        </w:numPr>
        <w:spacing w:after="0" w:line="252" w:lineRule="auto"/>
        <w:rPr>
          <w:rFonts w:ascii="Arial" w:hAnsi="Arial" w:cs="Arial"/>
          <w:sz w:val="20"/>
          <w:szCs w:val="20"/>
        </w:rPr>
      </w:pPr>
      <w:r>
        <w:rPr>
          <w:rFonts w:ascii="Arial" w:hAnsi="Arial" w:cs="Arial"/>
          <w:b/>
          <w:bCs/>
          <w:sz w:val="20"/>
          <w:szCs w:val="20"/>
        </w:rPr>
        <w:t>verejné</w:t>
      </w:r>
      <w:r>
        <w:rPr>
          <w:rFonts w:ascii="Arial" w:hAnsi="Arial" w:cs="Arial"/>
          <w:sz w:val="20"/>
          <w:szCs w:val="20"/>
        </w:rPr>
        <w:t xml:space="preserve"> – informácie preukázateľne zverejnené alebo určené na zverejnenie oprávneným vlastníkom aktíva v súlade s právnymi a vnútornými predpismi,</w:t>
      </w:r>
    </w:p>
    <w:p w14:paraId="01B26BEA" w14:textId="77777777" w:rsidR="00517431" w:rsidRDefault="00150791">
      <w:pPr>
        <w:pStyle w:val="Odsekzoznamu"/>
        <w:numPr>
          <w:ilvl w:val="0"/>
          <w:numId w:val="15"/>
        </w:numPr>
        <w:spacing w:after="0" w:line="252" w:lineRule="auto"/>
        <w:rPr>
          <w:rFonts w:ascii="Arial" w:hAnsi="Arial" w:cs="Arial"/>
          <w:sz w:val="20"/>
          <w:szCs w:val="20"/>
        </w:rPr>
      </w:pPr>
      <w:r>
        <w:rPr>
          <w:rFonts w:ascii="Arial" w:hAnsi="Arial" w:cs="Arial"/>
          <w:b/>
          <w:bCs/>
          <w:sz w:val="20"/>
          <w:szCs w:val="20"/>
        </w:rPr>
        <w:t>interné</w:t>
      </w:r>
      <w:r>
        <w:rPr>
          <w:rFonts w:ascii="Arial" w:hAnsi="Arial" w:cs="Arial"/>
          <w:sz w:val="20"/>
          <w:szCs w:val="20"/>
        </w:rPr>
        <w:t xml:space="preserve"> – informácie určené na používanie v rámci prevádzkovateľa alebo schváleného dodávateľského vzťahu, ktoré nie sú verejné a ktorých neoprávnené sprístupnenie, zmena, strata alebo nedostupnosť môže mať nízky alebo stredný negatívny dopad,</w:t>
      </w:r>
    </w:p>
    <w:p w14:paraId="34E28F8E" w14:textId="77777777" w:rsidR="00517431" w:rsidRDefault="00150791">
      <w:pPr>
        <w:pStyle w:val="Odsekzoznamu"/>
        <w:numPr>
          <w:ilvl w:val="0"/>
          <w:numId w:val="15"/>
        </w:numPr>
        <w:spacing w:after="0" w:line="252" w:lineRule="auto"/>
        <w:rPr>
          <w:rFonts w:ascii="Arial" w:hAnsi="Arial" w:cs="Arial"/>
          <w:sz w:val="20"/>
          <w:szCs w:val="20"/>
        </w:rPr>
      </w:pPr>
      <w:r>
        <w:rPr>
          <w:rFonts w:ascii="Arial" w:hAnsi="Arial" w:cs="Arial"/>
          <w:b/>
          <w:bCs/>
          <w:sz w:val="20"/>
          <w:szCs w:val="20"/>
        </w:rPr>
        <w:t>chránené</w:t>
      </w:r>
      <w:r>
        <w:rPr>
          <w:rFonts w:ascii="Arial" w:hAnsi="Arial" w:cs="Arial"/>
          <w:sz w:val="20"/>
          <w:szCs w:val="20"/>
        </w:rPr>
        <w:t xml:space="preserve"> – informácie, ktorých neoprávnené sprístupnenie, zmena, strata alebo nedostupnosť môže mať významný dopad; prístup sa riadi zásadou potreby poznať a minimálnych oprávnení,</w:t>
      </w:r>
    </w:p>
    <w:p w14:paraId="72AA001E" w14:textId="77777777" w:rsidR="00517431" w:rsidRDefault="00150791">
      <w:pPr>
        <w:pStyle w:val="Odsekzoznamu"/>
        <w:numPr>
          <w:ilvl w:val="0"/>
          <w:numId w:val="15"/>
        </w:numPr>
        <w:spacing w:after="0" w:line="252" w:lineRule="auto"/>
        <w:rPr>
          <w:rFonts w:ascii="Arial" w:hAnsi="Arial" w:cs="Arial"/>
          <w:sz w:val="20"/>
          <w:szCs w:val="20"/>
        </w:rPr>
      </w:pPr>
      <w:r>
        <w:rPr>
          <w:rFonts w:ascii="Arial" w:hAnsi="Arial" w:cs="Arial"/>
          <w:b/>
          <w:bCs/>
          <w:sz w:val="20"/>
          <w:szCs w:val="20"/>
        </w:rPr>
        <w:t>prísne chránené</w:t>
      </w:r>
      <w:r>
        <w:rPr>
          <w:rFonts w:ascii="Arial" w:hAnsi="Arial" w:cs="Arial"/>
          <w:sz w:val="20"/>
          <w:szCs w:val="20"/>
        </w:rPr>
        <w:t xml:space="preserve"> – informácie, ktorých neoprávnené sprístupnenie, zmena, strata alebo nedostupnosť môže mať kritický dopad; prístup je obmedzený na menovite určené osoby a výnimočné schválené prípady.</w:t>
      </w:r>
    </w:p>
    <w:p w14:paraId="7ED38551" w14:textId="77777777" w:rsidR="00517431" w:rsidRDefault="00150791">
      <w:pPr>
        <w:spacing w:after="0" w:line="252" w:lineRule="auto"/>
        <w:rPr>
          <w:rFonts w:ascii="Arial" w:hAnsi="Arial" w:cs="Arial"/>
          <w:b/>
          <w:bCs/>
          <w:sz w:val="20"/>
          <w:szCs w:val="20"/>
        </w:rPr>
      </w:pPr>
      <w:r>
        <w:rPr>
          <w:rFonts w:ascii="Arial" w:hAnsi="Arial" w:cs="Arial"/>
          <w:b/>
          <w:bCs/>
          <w:sz w:val="20"/>
          <w:szCs w:val="20"/>
        </w:rPr>
        <w:t>Ak informačné aktívum nie je explicitne klasifikované, považuje sa za interné.</w:t>
      </w:r>
    </w:p>
    <w:p w14:paraId="13AE6F89" w14:textId="77777777" w:rsidR="00517431" w:rsidRDefault="00150791">
      <w:pPr>
        <w:pStyle w:val="Nadpis3"/>
        <w:spacing w:before="0" w:line="252" w:lineRule="auto"/>
        <w:rPr>
          <w:rFonts w:ascii="Arial" w:hAnsi="Arial" w:cs="Arial"/>
          <w:b/>
          <w:sz w:val="20"/>
          <w:szCs w:val="20"/>
          <w:u w:val="single"/>
        </w:rPr>
      </w:pPr>
      <w:bookmarkStart w:id="55" w:name="__RefHeading___Toc6265_3891905039"/>
      <w:bookmarkEnd w:id="55"/>
      <w:r>
        <w:rPr>
          <w:rFonts w:ascii="Arial" w:hAnsi="Arial" w:cs="Arial"/>
          <w:b/>
          <w:sz w:val="20"/>
          <w:szCs w:val="20"/>
          <w:u w:val="single"/>
        </w:rPr>
        <w:t>Integrita</w:t>
      </w:r>
    </w:p>
    <w:p w14:paraId="25F99F08" w14:textId="77777777" w:rsidR="00517431" w:rsidRDefault="00150791">
      <w:pPr>
        <w:spacing w:after="0" w:line="252" w:lineRule="auto"/>
        <w:rPr>
          <w:rFonts w:ascii="Arial" w:hAnsi="Arial" w:cs="Arial"/>
          <w:sz w:val="20"/>
          <w:szCs w:val="20"/>
        </w:rPr>
      </w:pPr>
      <w:r>
        <w:rPr>
          <w:rFonts w:ascii="Arial" w:hAnsi="Arial" w:cs="Arial"/>
          <w:sz w:val="20"/>
          <w:szCs w:val="20"/>
        </w:rPr>
        <w:t>Z hľadiska integrity sa používa nízka, stredná alebo vysoká úroveň podľa možného dopadu neoprávnenej zmeny alebo nepresnosti na základnú službu, procesy, práva osôb a regulačný súlad.</w:t>
      </w:r>
    </w:p>
    <w:p w14:paraId="7456BB96" w14:textId="77777777" w:rsidR="00517431" w:rsidRDefault="00150791">
      <w:pPr>
        <w:spacing w:after="0" w:line="252" w:lineRule="auto"/>
        <w:rPr>
          <w:rFonts w:ascii="Arial" w:hAnsi="Arial" w:cs="Arial"/>
          <w:sz w:val="20"/>
          <w:szCs w:val="20"/>
        </w:rPr>
      </w:pPr>
      <w:r>
        <w:rPr>
          <w:rFonts w:ascii="Arial" w:hAnsi="Arial" w:cs="Arial"/>
          <w:sz w:val="20"/>
          <w:szCs w:val="20"/>
        </w:rPr>
        <w:t>nízka – chyba alebo nepresnosť nemá významný vplyv na poskytovanie služby a je jednoducho odhaliteľná a opraviteľná,</w:t>
      </w:r>
    </w:p>
    <w:p w14:paraId="3E6766D9" w14:textId="77777777" w:rsidR="00517431" w:rsidRDefault="00150791">
      <w:pPr>
        <w:spacing w:after="0" w:line="252" w:lineRule="auto"/>
        <w:rPr>
          <w:rFonts w:ascii="Arial" w:hAnsi="Arial" w:cs="Arial"/>
          <w:sz w:val="20"/>
          <w:szCs w:val="20"/>
        </w:rPr>
      </w:pPr>
      <w:r>
        <w:rPr>
          <w:rFonts w:ascii="Arial" w:hAnsi="Arial" w:cs="Arial"/>
          <w:sz w:val="20"/>
          <w:szCs w:val="20"/>
        </w:rPr>
        <w:t xml:space="preserve">stredná – chyba alebo nepresnosť môže spôsobiť významný prevádzkový, finančný, právny alebo </w:t>
      </w:r>
      <w:proofErr w:type="spellStart"/>
      <w:r>
        <w:rPr>
          <w:rFonts w:ascii="Arial" w:hAnsi="Arial" w:cs="Arial"/>
          <w:sz w:val="20"/>
          <w:szCs w:val="20"/>
        </w:rPr>
        <w:t>reputačný</w:t>
      </w:r>
      <w:proofErr w:type="spellEnd"/>
      <w:r>
        <w:rPr>
          <w:rFonts w:ascii="Arial" w:hAnsi="Arial" w:cs="Arial"/>
          <w:sz w:val="20"/>
          <w:szCs w:val="20"/>
        </w:rPr>
        <w:t xml:space="preserve"> dopad alebo narušiť kontinuitu,</w:t>
      </w:r>
    </w:p>
    <w:p w14:paraId="1FE16854" w14:textId="77777777" w:rsidR="00517431" w:rsidRDefault="00150791">
      <w:pPr>
        <w:spacing w:after="0" w:line="252" w:lineRule="auto"/>
        <w:rPr>
          <w:rFonts w:ascii="Arial" w:hAnsi="Arial" w:cs="Arial"/>
          <w:sz w:val="20"/>
          <w:szCs w:val="20"/>
        </w:rPr>
      </w:pPr>
      <w:r>
        <w:rPr>
          <w:rFonts w:ascii="Arial" w:hAnsi="Arial" w:cs="Arial"/>
          <w:sz w:val="20"/>
          <w:szCs w:val="20"/>
        </w:rPr>
        <w:t>vysoká – chyba, nepresnosť alebo neoprávnená zmena môže bezprostredne ohroziť kritickú základnú službu, rozhodovanie, práva osôb alebo dôveryhodnosť dôkazov.</w:t>
      </w:r>
    </w:p>
    <w:p w14:paraId="256C1BA9" w14:textId="77777777" w:rsidR="00517431" w:rsidRDefault="00150791">
      <w:pPr>
        <w:pStyle w:val="Nadpis3"/>
        <w:spacing w:before="0" w:line="252" w:lineRule="auto"/>
        <w:rPr>
          <w:rFonts w:ascii="Arial" w:hAnsi="Arial" w:cs="Arial"/>
          <w:sz w:val="20"/>
          <w:szCs w:val="20"/>
        </w:rPr>
      </w:pPr>
      <w:bookmarkStart w:id="56" w:name="__RefHeading___Toc6267_3891905039"/>
      <w:bookmarkEnd w:id="56"/>
      <w:r>
        <w:rPr>
          <w:rFonts w:ascii="Arial" w:hAnsi="Arial" w:cs="Arial"/>
          <w:b/>
          <w:sz w:val="20"/>
          <w:szCs w:val="20"/>
          <w:u w:val="single"/>
        </w:rPr>
        <w:t>Dostupnosť</w:t>
      </w:r>
    </w:p>
    <w:p w14:paraId="3F6DDE43" w14:textId="77777777" w:rsidR="00517431" w:rsidRDefault="00150791">
      <w:pPr>
        <w:spacing w:after="0" w:line="252" w:lineRule="auto"/>
        <w:rPr>
          <w:rFonts w:ascii="Arial" w:hAnsi="Arial" w:cs="Arial"/>
          <w:sz w:val="20"/>
          <w:szCs w:val="20"/>
        </w:rPr>
      </w:pPr>
      <w:r>
        <w:rPr>
          <w:rFonts w:ascii="Arial" w:hAnsi="Arial" w:cs="Arial"/>
          <w:sz w:val="20"/>
          <w:szCs w:val="20"/>
        </w:rPr>
        <w:t>Z hľadiska dostupnosti sa používa nízka, stredná alebo vysoká úroveň podľa maximálne prípustného času nedostupnosti, existencie náhradného postupu a dopadu na základnú službu.</w:t>
      </w:r>
    </w:p>
    <w:p w14:paraId="74F48F32" w14:textId="77777777" w:rsidR="00517431" w:rsidRDefault="00150791">
      <w:pPr>
        <w:spacing w:after="0" w:line="252" w:lineRule="auto"/>
        <w:rPr>
          <w:rFonts w:ascii="Arial" w:hAnsi="Arial" w:cs="Arial"/>
          <w:sz w:val="20"/>
          <w:szCs w:val="20"/>
        </w:rPr>
      </w:pPr>
      <w:r>
        <w:rPr>
          <w:rFonts w:ascii="Arial" w:hAnsi="Arial" w:cs="Arial"/>
          <w:sz w:val="20"/>
          <w:szCs w:val="20"/>
        </w:rPr>
        <w:t>nízka – krátkodobý výpadok významne neohrozí poskytovanie služby alebo je dostupný primeraný náhradný postup,</w:t>
      </w:r>
    </w:p>
    <w:p w14:paraId="65266FB7" w14:textId="77777777" w:rsidR="00517431" w:rsidRDefault="00150791">
      <w:pPr>
        <w:spacing w:after="0" w:line="252" w:lineRule="auto"/>
        <w:rPr>
          <w:rFonts w:ascii="Arial" w:hAnsi="Arial" w:cs="Arial"/>
          <w:sz w:val="20"/>
          <w:szCs w:val="20"/>
        </w:rPr>
      </w:pPr>
      <w:r>
        <w:rPr>
          <w:rFonts w:ascii="Arial" w:hAnsi="Arial" w:cs="Arial"/>
          <w:sz w:val="20"/>
          <w:szCs w:val="20"/>
        </w:rPr>
        <w:t>stredná – výpadok môže narušiť kontinuitu, splnenie zákonných lehôt alebo významné procesy prevádzkovateľa,</w:t>
      </w:r>
    </w:p>
    <w:p w14:paraId="0E98B7BE" w14:textId="77777777" w:rsidR="00517431" w:rsidRDefault="00150791">
      <w:pPr>
        <w:spacing w:after="0" w:line="252" w:lineRule="auto"/>
        <w:rPr>
          <w:rFonts w:ascii="Arial" w:hAnsi="Arial" w:cs="Arial"/>
          <w:sz w:val="20"/>
          <w:szCs w:val="20"/>
        </w:rPr>
      </w:pPr>
      <w:r>
        <w:rPr>
          <w:rFonts w:ascii="Arial" w:hAnsi="Arial" w:cs="Arial"/>
          <w:sz w:val="20"/>
          <w:szCs w:val="20"/>
        </w:rPr>
        <w:t>vysoká – výpadok bezprostredne ohrozuje kritickú základnú službu, práva osôb, bezpečnosť alebo plnenie zákonných povinností.</w:t>
      </w:r>
    </w:p>
    <w:p w14:paraId="13CDBBF5" w14:textId="77777777" w:rsidR="00517431" w:rsidRDefault="00150791">
      <w:pPr>
        <w:pStyle w:val="Nadpis3"/>
        <w:spacing w:before="0"/>
        <w:rPr>
          <w:rFonts w:ascii="Arial" w:hAnsi="Arial" w:cs="Arial"/>
          <w:b/>
          <w:bCs/>
          <w:sz w:val="20"/>
          <w:szCs w:val="20"/>
          <w:u w:val="single"/>
        </w:rPr>
      </w:pPr>
      <w:bookmarkStart w:id="57" w:name="__RefHeading___Toc6269_3891905039"/>
      <w:bookmarkEnd w:id="57"/>
      <w:r>
        <w:rPr>
          <w:rFonts w:ascii="Arial" w:hAnsi="Arial" w:cs="Arial"/>
          <w:b/>
          <w:bCs/>
          <w:sz w:val="20"/>
          <w:szCs w:val="20"/>
          <w:u w:val="single"/>
        </w:rPr>
        <w:lastRenderedPageBreak/>
        <w:t>Autenticita</w:t>
      </w:r>
    </w:p>
    <w:p w14:paraId="56B067DD" w14:textId="77777777" w:rsidR="00517431" w:rsidRDefault="00150791">
      <w:pPr>
        <w:spacing w:after="0"/>
        <w:rPr>
          <w:rFonts w:ascii="Arial" w:hAnsi="Arial" w:cs="Arial"/>
          <w:sz w:val="20"/>
          <w:szCs w:val="20"/>
        </w:rPr>
      </w:pPr>
      <w:r>
        <w:rPr>
          <w:rFonts w:ascii="Arial" w:hAnsi="Arial" w:cs="Arial"/>
          <w:sz w:val="20"/>
          <w:szCs w:val="20"/>
        </w:rPr>
        <w:t xml:space="preserve">Z hľadiska autenticity sa posudzuje schopnosť spoľahlivo preukázať pôvodcu, zdroj, čas a </w:t>
      </w:r>
      <w:proofErr w:type="spellStart"/>
      <w:r>
        <w:rPr>
          <w:rFonts w:ascii="Arial" w:hAnsi="Arial" w:cs="Arial"/>
          <w:sz w:val="20"/>
          <w:szCs w:val="20"/>
        </w:rPr>
        <w:t>nezmenenosť</w:t>
      </w:r>
      <w:proofErr w:type="spellEnd"/>
      <w:r>
        <w:rPr>
          <w:rFonts w:ascii="Arial" w:hAnsi="Arial" w:cs="Arial"/>
          <w:sz w:val="20"/>
          <w:szCs w:val="20"/>
        </w:rPr>
        <w:t xml:space="preserve"> logu. Pri logoch používaných na vyšetrovanie, audit alebo dokazovanie sa vyžaduje vysoká úroveň autenticity, podporená riadením identít, časovou synchronizáciou, kontrolou integrity a reťazcom nakladania s dôkazmi.</w:t>
      </w:r>
    </w:p>
    <w:p w14:paraId="488D7C86" w14:textId="77777777" w:rsidR="00517431" w:rsidRDefault="00517431">
      <w:pPr>
        <w:spacing w:after="0"/>
        <w:rPr>
          <w:rFonts w:ascii="Arial" w:hAnsi="Arial" w:cs="Arial"/>
          <w:sz w:val="20"/>
          <w:szCs w:val="20"/>
        </w:rPr>
      </w:pPr>
    </w:p>
    <w:p w14:paraId="76EF0874" w14:textId="77777777" w:rsidR="00517431" w:rsidRDefault="00517431">
      <w:pPr>
        <w:spacing w:after="0"/>
        <w:rPr>
          <w:rFonts w:ascii="Arial" w:hAnsi="Arial" w:cs="Arial"/>
          <w:sz w:val="20"/>
          <w:szCs w:val="20"/>
        </w:rPr>
      </w:pPr>
    </w:p>
    <w:p w14:paraId="4B2439EF" w14:textId="77777777" w:rsidR="00517431" w:rsidRDefault="00517431">
      <w:pPr>
        <w:spacing w:after="0"/>
        <w:rPr>
          <w:rFonts w:ascii="Arial" w:hAnsi="Arial" w:cs="Arial"/>
          <w:sz w:val="20"/>
          <w:szCs w:val="20"/>
        </w:rPr>
      </w:pPr>
    </w:p>
    <w:sectPr w:rsidR="0051743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241A9" w14:textId="77777777" w:rsidR="00150791" w:rsidRDefault="00150791">
      <w:pPr>
        <w:spacing w:after="0" w:line="240" w:lineRule="auto"/>
      </w:pPr>
      <w:r>
        <w:separator/>
      </w:r>
    </w:p>
  </w:endnote>
  <w:endnote w:type="continuationSeparator" w:id="0">
    <w:p w14:paraId="1B26995D" w14:textId="77777777" w:rsidR="00150791" w:rsidRDefault="00150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6F133" w14:textId="77777777" w:rsidR="00517431" w:rsidRDefault="0051743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689682"/>
      <w:docPartObj>
        <w:docPartGallery w:val="Page Numbers (Bottom of Page)"/>
        <w:docPartUnique/>
      </w:docPartObj>
    </w:sdtPr>
    <w:sdtEndPr/>
    <w:sdtContent>
      <w:p w14:paraId="0DE619A2" w14:textId="326C6E7F" w:rsidR="00517431" w:rsidRDefault="00150791">
        <w:pPr>
          <w:pStyle w:val="Pta"/>
          <w:jc w:val="right"/>
        </w:pPr>
        <w:r>
          <w:fldChar w:fldCharType="begin"/>
        </w:r>
        <w:r>
          <w:instrText xml:space="preserve"> PAGE </w:instrText>
        </w:r>
        <w:r>
          <w:fldChar w:fldCharType="separate"/>
        </w:r>
        <w:r w:rsidR="00B2643C">
          <w:rPr>
            <w:noProof/>
          </w:rPr>
          <w:t>14</w:t>
        </w:r>
        <w:r>
          <w:fldChar w:fldCharType="end"/>
        </w:r>
      </w:p>
    </w:sdtContent>
  </w:sdt>
  <w:p w14:paraId="4F721087" w14:textId="77777777" w:rsidR="00517431" w:rsidRDefault="0051743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142E" w14:textId="77777777" w:rsidR="00517431" w:rsidRDefault="005174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D6A77" w14:textId="77777777" w:rsidR="00150791" w:rsidRDefault="00150791">
      <w:pPr>
        <w:spacing w:after="0" w:line="240" w:lineRule="auto"/>
      </w:pPr>
      <w:r>
        <w:separator/>
      </w:r>
    </w:p>
  </w:footnote>
  <w:footnote w:type="continuationSeparator" w:id="0">
    <w:p w14:paraId="35FDC580" w14:textId="77777777" w:rsidR="00150791" w:rsidRDefault="00150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EECBE" w14:textId="77777777" w:rsidR="00517431" w:rsidRDefault="0051743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9CFFE" w14:textId="77777777" w:rsidR="00517431" w:rsidRDefault="00150791">
    <w:pPr>
      <w:pStyle w:val="Hlavika"/>
      <w:rPr>
        <w:lang w:val="en-GB"/>
      </w:rPr>
    </w:pPr>
    <w:r>
      <w:rPr>
        <w:noProof/>
        <w:lang w:eastAsia="sk-SK"/>
      </w:rPr>
      <w:drawing>
        <wp:anchor distT="0" distB="0" distL="114300" distR="114300" simplePos="0" relativeHeight="14" behindDoc="1" locked="0" layoutInCell="0" allowOverlap="1" wp14:anchorId="60012A24" wp14:editId="27BA84E4">
          <wp:simplePos x="0" y="0"/>
          <wp:positionH relativeFrom="margin">
            <wp:posOffset>-229235</wp:posOffset>
          </wp:positionH>
          <wp:positionV relativeFrom="margin">
            <wp:posOffset>-681990</wp:posOffset>
          </wp:positionV>
          <wp:extent cx="2462530" cy="556260"/>
          <wp:effectExtent l="0" t="0" r="0" b="0"/>
          <wp:wrapSquare wrapText="bothSides"/>
          <wp:docPr id="1" name="Obrázok 2" descr="\\data\Data\AktyRiadenia\SpLogoty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data\Data\AktyRiadenia\SpLogotyp1.jpg"/>
                  <pic:cNvPicPr>
                    <a:picLocks noChangeAspect="1" noChangeArrowheads="1"/>
                  </pic:cNvPicPr>
                </pic:nvPicPr>
                <pic:blipFill>
                  <a:blip r:embed="rId1"/>
                  <a:stretch>
                    <a:fillRect/>
                  </a:stretch>
                </pic:blipFill>
                <pic:spPr bwMode="auto">
                  <a:xfrm>
                    <a:off x="0" y="0"/>
                    <a:ext cx="2462530" cy="556260"/>
                  </a:xfrm>
                  <a:prstGeom prst="rect">
                    <a:avLst/>
                  </a:prstGeom>
                  <a:noFill/>
                </pic:spPr>
              </pic:pic>
            </a:graphicData>
          </a:graphic>
        </wp:anchor>
      </w:drawing>
    </w:r>
  </w:p>
  <w:p w14:paraId="19CCF2EE" w14:textId="77777777" w:rsidR="00517431" w:rsidRDefault="00150791">
    <w:pPr>
      <w:pStyle w:val="Hlavika"/>
      <w:rPr>
        <w:lang w:val="en-GB"/>
      </w:rPr>
    </w:pPr>
    <w:r>
      <w:rPr>
        <w:lang w:val="en-GB"/>
      </w:rPr>
      <w:tab/>
    </w:r>
    <w:r>
      <w:rPr>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63813" w14:textId="77777777" w:rsidR="00517431" w:rsidRDefault="00150791">
    <w:pPr>
      <w:pStyle w:val="Hlavika"/>
    </w:pPr>
    <w:r>
      <w:rPr>
        <w:noProof/>
        <w:lang w:eastAsia="sk-SK"/>
      </w:rPr>
      <w:drawing>
        <wp:anchor distT="0" distB="0" distL="0" distR="114300" simplePos="0" relativeHeight="15" behindDoc="1" locked="0" layoutInCell="0" allowOverlap="1" wp14:anchorId="3988E230" wp14:editId="535A3097">
          <wp:simplePos x="0" y="0"/>
          <wp:positionH relativeFrom="margin">
            <wp:align>left</wp:align>
          </wp:positionH>
          <wp:positionV relativeFrom="margin">
            <wp:posOffset>-717550</wp:posOffset>
          </wp:positionV>
          <wp:extent cx="2462530" cy="556260"/>
          <wp:effectExtent l="0" t="0" r="0" b="0"/>
          <wp:wrapSquare wrapText="bothSides"/>
          <wp:docPr id="2" name="Obrázok 3" descr="\\data\Data\AktyRiadenia\SpLogoty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data\Data\AktyRiadenia\SpLogotyp1.jpg"/>
                  <pic:cNvPicPr>
                    <a:picLocks noChangeAspect="1" noChangeArrowheads="1"/>
                  </pic:cNvPicPr>
                </pic:nvPicPr>
                <pic:blipFill>
                  <a:blip r:embed="rId1"/>
                  <a:stretch>
                    <a:fillRect/>
                  </a:stretch>
                </pic:blipFill>
                <pic:spPr bwMode="auto">
                  <a:xfrm>
                    <a:off x="0" y="0"/>
                    <a:ext cx="2462530" cy="5562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D1A"/>
    <w:multiLevelType w:val="multilevel"/>
    <w:tmpl w:val="04E41B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30755A"/>
    <w:multiLevelType w:val="hybridMultilevel"/>
    <w:tmpl w:val="95FC7FA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664A8A"/>
    <w:multiLevelType w:val="multilevel"/>
    <w:tmpl w:val="A1F6CDC2"/>
    <w:lvl w:ilvl="0">
      <w:start w:val="1"/>
      <w:numFmt w:val="bullet"/>
      <w:lvlText w:val=""/>
      <w:lvlJc w:val="left"/>
      <w:pPr>
        <w:tabs>
          <w:tab w:val="num" w:pos="0"/>
        </w:tabs>
        <w:ind w:left="715" w:hanging="360"/>
      </w:pPr>
      <w:rPr>
        <w:rFonts w:ascii="Symbol" w:hAnsi="Symbol" w:cs="Symbol" w:hint="default"/>
      </w:rPr>
    </w:lvl>
    <w:lvl w:ilvl="1">
      <w:start w:val="1"/>
      <w:numFmt w:val="bullet"/>
      <w:lvlText w:val="o"/>
      <w:lvlJc w:val="left"/>
      <w:pPr>
        <w:tabs>
          <w:tab w:val="num" w:pos="0"/>
        </w:tabs>
        <w:ind w:left="1435" w:hanging="360"/>
      </w:pPr>
      <w:rPr>
        <w:rFonts w:ascii="Courier New" w:hAnsi="Courier New" w:cs="Courier New" w:hint="default"/>
      </w:rPr>
    </w:lvl>
    <w:lvl w:ilvl="2">
      <w:start w:val="1"/>
      <w:numFmt w:val="bullet"/>
      <w:lvlText w:val=""/>
      <w:lvlJc w:val="left"/>
      <w:pPr>
        <w:tabs>
          <w:tab w:val="num" w:pos="0"/>
        </w:tabs>
        <w:ind w:left="2155" w:hanging="360"/>
      </w:pPr>
      <w:rPr>
        <w:rFonts w:ascii="Wingdings" w:hAnsi="Wingdings" w:cs="Wingdings" w:hint="default"/>
      </w:rPr>
    </w:lvl>
    <w:lvl w:ilvl="3">
      <w:start w:val="1"/>
      <w:numFmt w:val="bullet"/>
      <w:lvlText w:val=""/>
      <w:lvlJc w:val="left"/>
      <w:pPr>
        <w:tabs>
          <w:tab w:val="num" w:pos="0"/>
        </w:tabs>
        <w:ind w:left="2875" w:hanging="360"/>
      </w:pPr>
      <w:rPr>
        <w:rFonts w:ascii="Symbol" w:hAnsi="Symbol" w:cs="Symbol" w:hint="default"/>
      </w:rPr>
    </w:lvl>
    <w:lvl w:ilvl="4">
      <w:start w:val="1"/>
      <w:numFmt w:val="bullet"/>
      <w:lvlText w:val="o"/>
      <w:lvlJc w:val="left"/>
      <w:pPr>
        <w:tabs>
          <w:tab w:val="num" w:pos="0"/>
        </w:tabs>
        <w:ind w:left="3595" w:hanging="360"/>
      </w:pPr>
      <w:rPr>
        <w:rFonts w:ascii="Courier New" w:hAnsi="Courier New" w:cs="Courier New" w:hint="default"/>
      </w:rPr>
    </w:lvl>
    <w:lvl w:ilvl="5">
      <w:start w:val="1"/>
      <w:numFmt w:val="bullet"/>
      <w:lvlText w:val=""/>
      <w:lvlJc w:val="left"/>
      <w:pPr>
        <w:tabs>
          <w:tab w:val="num" w:pos="0"/>
        </w:tabs>
        <w:ind w:left="4315" w:hanging="360"/>
      </w:pPr>
      <w:rPr>
        <w:rFonts w:ascii="Wingdings" w:hAnsi="Wingdings" w:cs="Wingdings" w:hint="default"/>
      </w:rPr>
    </w:lvl>
    <w:lvl w:ilvl="6">
      <w:start w:val="1"/>
      <w:numFmt w:val="bullet"/>
      <w:lvlText w:val=""/>
      <w:lvlJc w:val="left"/>
      <w:pPr>
        <w:tabs>
          <w:tab w:val="num" w:pos="0"/>
        </w:tabs>
        <w:ind w:left="5035" w:hanging="360"/>
      </w:pPr>
      <w:rPr>
        <w:rFonts w:ascii="Symbol" w:hAnsi="Symbol" w:cs="Symbol" w:hint="default"/>
      </w:rPr>
    </w:lvl>
    <w:lvl w:ilvl="7">
      <w:start w:val="1"/>
      <w:numFmt w:val="bullet"/>
      <w:lvlText w:val="o"/>
      <w:lvlJc w:val="left"/>
      <w:pPr>
        <w:tabs>
          <w:tab w:val="num" w:pos="0"/>
        </w:tabs>
        <w:ind w:left="5755" w:hanging="360"/>
      </w:pPr>
      <w:rPr>
        <w:rFonts w:ascii="Courier New" w:hAnsi="Courier New" w:cs="Courier New" w:hint="default"/>
      </w:rPr>
    </w:lvl>
    <w:lvl w:ilvl="8">
      <w:start w:val="1"/>
      <w:numFmt w:val="bullet"/>
      <w:lvlText w:val=""/>
      <w:lvlJc w:val="left"/>
      <w:pPr>
        <w:tabs>
          <w:tab w:val="num" w:pos="0"/>
        </w:tabs>
        <w:ind w:left="6475" w:hanging="360"/>
      </w:pPr>
      <w:rPr>
        <w:rFonts w:ascii="Wingdings" w:hAnsi="Wingdings" w:cs="Wingdings" w:hint="default"/>
      </w:rPr>
    </w:lvl>
  </w:abstractNum>
  <w:abstractNum w:abstractNumId="3" w15:restartNumberingAfterBreak="0">
    <w:nsid w:val="1DAF6753"/>
    <w:multiLevelType w:val="multilevel"/>
    <w:tmpl w:val="694E51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FBC7267"/>
    <w:multiLevelType w:val="multilevel"/>
    <w:tmpl w:val="662AEE9A"/>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 w15:restartNumberingAfterBreak="0">
    <w:nsid w:val="30207E49"/>
    <w:multiLevelType w:val="multilevel"/>
    <w:tmpl w:val="2CFAF9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57C0E35"/>
    <w:multiLevelType w:val="multilevel"/>
    <w:tmpl w:val="832A62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15:restartNumberingAfterBreak="0">
    <w:nsid w:val="35DA3991"/>
    <w:multiLevelType w:val="multilevel"/>
    <w:tmpl w:val="6E38D1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53541A4"/>
    <w:multiLevelType w:val="multilevel"/>
    <w:tmpl w:val="CB88C7EC"/>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4C40695B"/>
    <w:multiLevelType w:val="multilevel"/>
    <w:tmpl w:val="2B886D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1F62064"/>
    <w:multiLevelType w:val="multilevel"/>
    <w:tmpl w:val="84064C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513062A"/>
    <w:multiLevelType w:val="multilevel"/>
    <w:tmpl w:val="50B0CC32"/>
    <w:lvl w:ilvl="0">
      <w:start w:val="1"/>
      <w:numFmt w:val="decimal"/>
      <w:lvlText w:val="%1."/>
      <w:lvlJc w:val="left"/>
      <w:pPr>
        <w:tabs>
          <w:tab w:val="num" w:pos="0"/>
        </w:tabs>
        <w:ind w:left="1068" w:firstLine="0"/>
      </w:pPr>
      <w:rPr>
        <w:rFonts w:asciiTheme="minorHAnsi" w:eastAsiaTheme="minorHAnsi" w:hAnsiTheme="minorHAnsi" w:cstheme="minorBidi"/>
        <w:b w:val="0"/>
        <w:i w:val="0"/>
        <w:strike w:val="0"/>
        <w:dstrike w:val="0"/>
        <w:color w:val="00000A"/>
        <w:position w:val="0"/>
        <w:sz w:val="22"/>
        <w:szCs w:val="22"/>
        <w:u w:val="none" w:color="000000"/>
        <w:shd w:val="clear" w:color="auto" w:fill="auto"/>
        <w:vertAlign w:val="baseline"/>
      </w:rPr>
    </w:lvl>
    <w:lvl w:ilvl="1">
      <w:start w:val="1"/>
      <w:numFmt w:val="lowerLetter"/>
      <w:lvlText w:val="%2"/>
      <w:lvlJc w:val="left"/>
      <w:pPr>
        <w:tabs>
          <w:tab w:val="num" w:pos="0"/>
        </w:tabs>
        <w:ind w:left="178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2">
      <w:start w:val="1"/>
      <w:numFmt w:val="lowerRoman"/>
      <w:lvlText w:val="%3"/>
      <w:lvlJc w:val="left"/>
      <w:pPr>
        <w:tabs>
          <w:tab w:val="num" w:pos="0"/>
        </w:tabs>
        <w:ind w:left="250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3">
      <w:start w:val="1"/>
      <w:numFmt w:val="decimal"/>
      <w:lvlText w:val="%4"/>
      <w:lvlJc w:val="left"/>
      <w:pPr>
        <w:tabs>
          <w:tab w:val="num" w:pos="0"/>
        </w:tabs>
        <w:ind w:left="322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4">
      <w:start w:val="1"/>
      <w:numFmt w:val="lowerLetter"/>
      <w:lvlText w:val="%5"/>
      <w:lvlJc w:val="left"/>
      <w:pPr>
        <w:tabs>
          <w:tab w:val="num" w:pos="0"/>
        </w:tabs>
        <w:ind w:left="394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5">
      <w:start w:val="1"/>
      <w:numFmt w:val="lowerRoman"/>
      <w:lvlText w:val="%6"/>
      <w:lvlJc w:val="left"/>
      <w:pPr>
        <w:tabs>
          <w:tab w:val="num" w:pos="0"/>
        </w:tabs>
        <w:ind w:left="466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6">
      <w:start w:val="1"/>
      <w:numFmt w:val="decimal"/>
      <w:lvlText w:val="%7"/>
      <w:lvlJc w:val="left"/>
      <w:pPr>
        <w:tabs>
          <w:tab w:val="num" w:pos="0"/>
        </w:tabs>
        <w:ind w:left="538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7">
      <w:start w:val="1"/>
      <w:numFmt w:val="lowerLetter"/>
      <w:lvlText w:val="%8"/>
      <w:lvlJc w:val="left"/>
      <w:pPr>
        <w:tabs>
          <w:tab w:val="num" w:pos="0"/>
        </w:tabs>
        <w:ind w:left="610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lvl w:ilvl="8">
      <w:start w:val="1"/>
      <w:numFmt w:val="lowerRoman"/>
      <w:lvlText w:val="%9"/>
      <w:lvlJc w:val="left"/>
      <w:pPr>
        <w:tabs>
          <w:tab w:val="num" w:pos="0"/>
        </w:tabs>
        <w:ind w:left="6828" w:firstLine="0"/>
      </w:pPr>
      <w:rPr>
        <w:rFonts w:ascii="Calibri" w:eastAsia="Calibri" w:hAnsi="Calibri" w:cs="Calibri"/>
        <w:b w:val="0"/>
        <w:i w:val="0"/>
        <w:strike w:val="0"/>
        <w:dstrike w:val="0"/>
        <w:color w:val="00000A"/>
        <w:position w:val="0"/>
        <w:sz w:val="22"/>
        <w:szCs w:val="22"/>
        <w:u w:val="none" w:color="000000"/>
        <w:shd w:val="clear" w:color="auto" w:fill="auto"/>
        <w:vertAlign w:val="baseline"/>
      </w:rPr>
    </w:lvl>
  </w:abstractNum>
  <w:abstractNum w:abstractNumId="12" w15:restartNumberingAfterBreak="0">
    <w:nsid w:val="59403D97"/>
    <w:multiLevelType w:val="multilevel"/>
    <w:tmpl w:val="308CE7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88F7F2A"/>
    <w:multiLevelType w:val="multilevel"/>
    <w:tmpl w:val="78B2B49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D064709"/>
    <w:multiLevelType w:val="multilevel"/>
    <w:tmpl w:val="BD087538"/>
    <w:lvl w:ilvl="0">
      <w:start w:val="1"/>
      <w:numFmt w:val="bullet"/>
      <w:pStyle w:val="Odsek"/>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D8145AC"/>
    <w:multiLevelType w:val="multilevel"/>
    <w:tmpl w:val="4F4EDA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A6832BD"/>
    <w:multiLevelType w:val="multilevel"/>
    <w:tmpl w:val="70C481A6"/>
    <w:lvl w:ilvl="0">
      <w:start w:val="1"/>
      <w:numFmt w:val="decimal"/>
      <w:lvlText w:val="%1"/>
      <w:lvlJc w:val="left"/>
      <w:pPr>
        <w:tabs>
          <w:tab w:val="num" w:pos="0"/>
        </w:tabs>
        <w:ind w:left="36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1">
      <w:start w:val="1"/>
      <w:numFmt w:val="lowerLetter"/>
      <w:lvlText w:val="%2."/>
      <w:lvlJc w:val="left"/>
      <w:pPr>
        <w:tabs>
          <w:tab w:val="num" w:pos="0"/>
        </w:tabs>
        <w:ind w:left="578"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2">
      <w:start w:val="1"/>
      <w:numFmt w:val="lowerRoman"/>
      <w:lvlText w:val="%3"/>
      <w:lvlJc w:val="left"/>
      <w:pPr>
        <w:tabs>
          <w:tab w:val="num" w:pos="0"/>
        </w:tabs>
        <w:ind w:left="144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3">
      <w:start w:val="1"/>
      <w:numFmt w:val="decimal"/>
      <w:lvlText w:val="%4"/>
      <w:lvlJc w:val="left"/>
      <w:pPr>
        <w:tabs>
          <w:tab w:val="num" w:pos="0"/>
        </w:tabs>
        <w:ind w:left="216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4">
      <w:start w:val="1"/>
      <w:numFmt w:val="lowerLetter"/>
      <w:lvlText w:val="%5"/>
      <w:lvlJc w:val="left"/>
      <w:pPr>
        <w:tabs>
          <w:tab w:val="num" w:pos="0"/>
        </w:tabs>
        <w:ind w:left="288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5">
      <w:start w:val="1"/>
      <w:numFmt w:val="lowerRoman"/>
      <w:lvlText w:val="%6"/>
      <w:lvlJc w:val="left"/>
      <w:pPr>
        <w:tabs>
          <w:tab w:val="num" w:pos="0"/>
        </w:tabs>
        <w:ind w:left="360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6">
      <w:start w:val="1"/>
      <w:numFmt w:val="decimal"/>
      <w:lvlText w:val="%7"/>
      <w:lvlJc w:val="left"/>
      <w:pPr>
        <w:tabs>
          <w:tab w:val="num" w:pos="0"/>
        </w:tabs>
        <w:ind w:left="432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7">
      <w:start w:val="1"/>
      <w:numFmt w:val="lowerLetter"/>
      <w:lvlText w:val="%8"/>
      <w:lvlJc w:val="left"/>
      <w:pPr>
        <w:tabs>
          <w:tab w:val="num" w:pos="0"/>
        </w:tabs>
        <w:ind w:left="504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lvl w:ilvl="8">
      <w:start w:val="1"/>
      <w:numFmt w:val="lowerRoman"/>
      <w:lvlText w:val="%9"/>
      <w:lvlJc w:val="left"/>
      <w:pPr>
        <w:tabs>
          <w:tab w:val="num" w:pos="0"/>
        </w:tabs>
        <w:ind w:left="5760" w:firstLine="0"/>
      </w:pPr>
      <w:rPr>
        <w:rFonts w:ascii="Calibri" w:eastAsia="Calibri" w:hAnsi="Calibri" w:cs="Calibri"/>
        <w:b w:val="0"/>
        <w:i/>
        <w:iCs/>
        <w:strike w:val="0"/>
        <w:dstrike w:val="0"/>
        <w:color w:val="00000A"/>
        <w:position w:val="0"/>
        <w:sz w:val="18"/>
        <w:szCs w:val="18"/>
        <w:u w:val="none" w:color="000000"/>
        <w:shd w:val="clear" w:color="auto" w:fill="auto"/>
        <w:vertAlign w:val="baseline"/>
      </w:rPr>
    </w:lvl>
  </w:abstractNum>
  <w:num w:numId="1">
    <w:abstractNumId w:val="9"/>
  </w:num>
  <w:num w:numId="2">
    <w:abstractNumId w:val="11"/>
  </w:num>
  <w:num w:numId="3">
    <w:abstractNumId w:val="4"/>
  </w:num>
  <w:num w:numId="4">
    <w:abstractNumId w:val="16"/>
  </w:num>
  <w:num w:numId="5">
    <w:abstractNumId w:val="6"/>
  </w:num>
  <w:num w:numId="6">
    <w:abstractNumId w:val="10"/>
  </w:num>
  <w:num w:numId="7">
    <w:abstractNumId w:val="14"/>
  </w:num>
  <w:num w:numId="8">
    <w:abstractNumId w:val="2"/>
  </w:num>
  <w:num w:numId="9">
    <w:abstractNumId w:val="5"/>
  </w:num>
  <w:num w:numId="10">
    <w:abstractNumId w:val="8"/>
  </w:num>
  <w:num w:numId="11">
    <w:abstractNumId w:val="12"/>
  </w:num>
  <w:num w:numId="12">
    <w:abstractNumId w:val="15"/>
  </w:num>
  <w:num w:numId="13">
    <w:abstractNumId w:val="13"/>
  </w:num>
  <w:num w:numId="14">
    <w:abstractNumId w:val="7"/>
  </w:num>
  <w:num w:numId="15">
    <w:abstractNumId w:val="3"/>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431"/>
    <w:rsid w:val="00150791"/>
    <w:rsid w:val="00517431"/>
    <w:rsid w:val="00553E23"/>
    <w:rsid w:val="0074045D"/>
    <w:rsid w:val="00AA6327"/>
    <w:rsid w:val="00B2643C"/>
    <w:rsid w:val="00B61DEF"/>
    <w:rsid w:val="0D5689BD"/>
    <w:rsid w:val="1CB63E00"/>
    <w:rsid w:val="23F24859"/>
    <w:rsid w:val="7523265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B21D"/>
  <w15:docId w15:val="{1511FE93-ACE8-4690-B087-E38C342D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style>
  <w:style w:type="paragraph" w:styleId="Nadpis1">
    <w:name w:val="heading 1"/>
    <w:basedOn w:val="Normlny"/>
    <w:next w:val="Normlny"/>
    <w:link w:val="Nadpis1Char"/>
    <w:uiPriority w:val="9"/>
    <w:qFormat/>
    <w:rsid w:val="00FB2B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E738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612F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y"/>
    <w:next w:val="Normlny"/>
    <w:link w:val="Nadpis6Char"/>
    <w:uiPriority w:val="9"/>
    <w:unhideWhenUsed/>
    <w:qFormat/>
    <w:rsid w:val="00757E05"/>
    <w:pPr>
      <w:keepNext/>
      <w:keepLines/>
      <w:spacing w:before="40" w:after="0" w:line="262" w:lineRule="auto"/>
      <w:ind w:left="293" w:hanging="293"/>
      <w:jc w:val="both"/>
      <w:outlineLvl w:val="5"/>
    </w:pPr>
    <w:rPr>
      <w:rFonts w:asciiTheme="majorHAnsi" w:eastAsiaTheme="majorEastAsia" w:hAnsiTheme="majorHAnsi" w:cstheme="majorBidi"/>
      <w:color w:val="1F4D78" w:themeColor="accent1" w:themeShade="7F"/>
      <w:sz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qFormat/>
    <w:rsid w:val="00FB2BFE"/>
    <w:rPr>
      <w:sz w:val="16"/>
      <w:szCs w:val="16"/>
    </w:rPr>
  </w:style>
  <w:style w:type="character" w:customStyle="1" w:styleId="TextkomentraChar">
    <w:name w:val="Text komentára Char"/>
    <w:basedOn w:val="Predvolenpsmoodseku"/>
    <w:link w:val="Textkomentra"/>
    <w:uiPriority w:val="99"/>
    <w:semiHidden/>
    <w:qFormat/>
    <w:rsid w:val="00FB2BFE"/>
    <w:rPr>
      <w:sz w:val="20"/>
      <w:szCs w:val="20"/>
    </w:rPr>
  </w:style>
  <w:style w:type="character" w:customStyle="1" w:styleId="PredmetkomentraChar">
    <w:name w:val="Predmet komentára Char"/>
    <w:basedOn w:val="TextkomentraChar"/>
    <w:link w:val="Predmetkomentra"/>
    <w:uiPriority w:val="99"/>
    <w:semiHidden/>
    <w:qFormat/>
    <w:rsid w:val="00FB2BFE"/>
    <w:rPr>
      <w:b/>
      <w:bCs/>
      <w:sz w:val="20"/>
      <w:szCs w:val="20"/>
    </w:rPr>
  </w:style>
  <w:style w:type="character" w:customStyle="1" w:styleId="TextbublinyChar">
    <w:name w:val="Text bubliny Char"/>
    <w:basedOn w:val="Predvolenpsmoodseku"/>
    <w:link w:val="Textbubliny"/>
    <w:uiPriority w:val="99"/>
    <w:semiHidden/>
    <w:qFormat/>
    <w:rsid w:val="00FB2BFE"/>
    <w:rPr>
      <w:rFonts w:ascii="Segoe UI" w:hAnsi="Segoe UI" w:cs="Segoe UI"/>
      <w:sz w:val="18"/>
      <w:szCs w:val="18"/>
    </w:rPr>
  </w:style>
  <w:style w:type="character" w:customStyle="1" w:styleId="Nadpis1Char">
    <w:name w:val="Nadpis 1 Char"/>
    <w:basedOn w:val="Predvolenpsmoodseku"/>
    <w:link w:val="Nadpis1"/>
    <w:uiPriority w:val="9"/>
    <w:qFormat/>
    <w:rsid w:val="00FB2BFE"/>
    <w:rPr>
      <w:rFonts w:asciiTheme="majorHAnsi" w:eastAsiaTheme="majorEastAsia" w:hAnsiTheme="majorHAnsi" w:cstheme="majorBidi"/>
      <w:color w:val="2E74B5" w:themeColor="accent1" w:themeShade="BF"/>
      <w:sz w:val="32"/>
      <w:szCs w:val="32"/>
    </w:rPr>
  </w:style>
  <w:style w:type="character" w:styleId="Hypertextovprepojenie">
    <w:name w:val="Hyperlink"/>
    <w:basedOn w:val="Predvolenpsmoodseku"/>
    <w:uiPriority w:val="99"/>
    <w:unhideWhenUsed/>
    <w:rsid w:val="00FB2BFE"/>
    <w:rPr>
      <w:color w:val="0563C1" w:themeColor="hyperlink"/>
      <w:u w:val="single"/>
    </w:rPr>
  </w:style>
  <w:style w:type="character" w:customStyle="1" w:styleId="HlavikaChar">
    <w:name w:val="Hlavička Char"/>
    <w:basedOn w:val="Predvolenpsmoodseku"/>
    <w:link w:val="Hlavika"/>
    <w:uiPriority w:val="99"/>
    <w:qFormat/>
    <w:rsid w:val="009E617E"/>
  </w:style>
  <w:style w:type="character" w:customStyle="1" w:styleId="PtaChar">
    <w:name w:val="Päta Char"/>
    <w:basedOn w:val="Predvolenpsmoodseku"/>
    <w:link w:val="Pta"/>
    <w:uiPriority w:val="99"/>
    <w:qFormat/>
    <w:rsid w:val="009E617E"/>
  </w:style>
  <w:style w:type="character" w:customStyle="1" w:styleId="NzovChar">
    <w:name w:val="Názov Char"/>
    <w:basedOn w:val="Predvolenpsmoodseku"/>
    <w:link w:val="Nzov"/>
    <w:uiPriority w:val="10"/>
    <w:qFormat/>
    <w:rsid w:val="003D664B"/>
    <w:rPr>
      <w:rFonts w:asciiTheme="majorHAnsi" w:eastAsiaTheme="majorEastAsia" w:hAnsiTheme="majorHAnsi" w:cstheme="majorBidi"/>
      <w:spacing w:val="-10"/>
      <w:kern w:val="2"/>
      <w:sz w:val="56"/>
      <w:szCs w:val="56"/>
    </w:rPr>
  </w:style>
  <w:style w:type="character" w:customStyle="1" w:styleId="Nadpis2Char">
    <w:name w:val="Nadpis 2 Char"/>
    <w:basedOn w:val="Predvolenpsmoodseku"/>
    <w:link w:val="Nadpis2"/>
    <w:uiPriority w:val="9"/>
    <w:qFormat/>
    <w:rsid w:val="00E738D9"/>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qFormat/>
    <w:rsid w:val="00612F41"/>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Predvolenpsmoodseku"/>
    <w:link w:val="Nadpis6"/>
    <w:uiPriority w:val="9"/>
    <w:qFormat/>
    <w:rsid w:val="00757E05"/>
    <w:rPr>
      <w:rFonts w:asciiTheme="majorHAnsi" w:eastAsiaTheme="majorEastAsia" w:hAnsiTheme="majorHAnsi" w:cstheme="majorBidi"/>
      <w:color w:val="1F4D78" w:themeColor="accent1" w:themeShade="7F"/>
      <w:sz w:val="20"/>
      <w:lang w:eastAsia="sk-SK"/>
    </w:rPr>
  </w:style>
  <w:style w:type="character" w:customStyle="1" w:styleId="footnotedescriptionChar">
    <w:name w:val="footnote description Char"/>
    <w:link w:val="footnotedescription"/>
    <w:qFormat/>
    <w:rsid w:val="00FB7E34"/>
    <w:rPr>
      <w:rFonts w:ascii="Calibri" w:eastAsia="Calibri" w:hAnsi="Calibri" w:cs="Calibri"/>
      <w:color w:val="00000A"/>
      <w:sz w:val="20"/>
      <w:lang w:eastAsia="sk-SK"/>
    </w:rPr>
  </w:style>
  <w:style w:type="character" w:customStyle="1" w:styleId="footnotemark">
    <w:name w:val="footnote mark"/>
    <w:qFormat/>
    <w:rsid w:val="00FB7E34"/>
    <w:rPr>
      <w:rFonts w:ascii="Calibri" w:eastAsia="Calibri" w:hAnsi="Calibri" w:cs="Calibri"/>
      <w:color w:val="00000A"/>
      <w:sz w:val="20"/>
      <w:vertAlign w:val="superscript"/>
    </w:rPr>
  </w:style>
  <w:style w:type="character" w:styleId="PouitHypertextovPrepojenie">
    <w:name w:val="FollowedHyperlink"/>
    <w:basedOn w:val="Predvolenpsmoodseku"/>
    <w:uiPriority w:val="99"/>
    <w:semiHidden/>
    <w:unhideWhenUsed/>
    <w:rsid w:val="007E73FE"/>
    <w:rPr>
      <w:color w:val="954F72" w:themeColor="followedHyperlink"/>
      <w:u w:val="single"/>
    </w:rPr>
  </w:style>
  <w:style w:type="character" w:customStyle="1" w:styleId="OdsekChar">
    <w:name w:val="Odsek Char"/>
    <w:basedOn w:val="Predvolenpsmoodseku"/>
    <w:link w:val="Odsek"/>
    <w:qFormat/>
    <w:rsid w:val="00A65275"/>
    <w:rPr>
      <w:rFonts w:ascii="Calibri Light" w:eastAsia="Times New Roman" w:hAnsi="Calibri Light" w:cs="Tahoma"/>
      <w:color w:val="000000" w:themeColor="text1"/>
      <w:szCs w:val="20"/>
      <w:lang w:eastAsia="en-GB"/>
    </w:rPr>
  </w:style>
  <w:style w:type="character" w:customStyle="1" w:styleId="q4iawc">
    <w:name w:val="q4iawc"/>
    <w:basedOn w:val="Predvolenpsmoodseku"/>
    <w:qFormat/>
    <w:rsid w:val="000A1774"/>
  </w:style>
  <w:style w:type="character" w:customStyle="1" w:styleId="OdsekzoznamuChar">
    <w:name w:val="Odsek zoznamu Char"/>
    <w:link w:val="Odsekzoznamu"/>
    <w:uiPriority w:val="34"/>
    <w:qFormat/>
    <w:locked/>
    <w:rsid w:val="00F676D7"/>
  </w:style>
  <w:style w:type="character" w:customStyle="1" w:styleId="ZkladntextChar">
    <w:name w:val="Základný text Char"/>
    <w:basedOn w:val="Predvolenpsmoodseku"/>
    <w:link w:val="Zkladntext"/>
    <w:uiPriority w:val="99"/>
    <w:qFormat/>
    <w:rsid w:val="00E82492"/>
    <w:rPr>
      <w:rFonts w:ascii="Times New Roman" w:eastAsia="Times New Roman" w:hAnsi="Times New Roman" w:cs="Times New Roman"/>
      <w:sz w:val="24"/>
      <w:szCs w:val="24"/>
      <w:lang w:eastAsia="sk-SK"/>
    </w:rPr>
  </w:style>
  <w:style w:type="character" w:customStyle="1" w:styleId="IndexLink">
    <w:name w:val="Index Link"/>
    <w:qFormat/>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link w:val="ZkladntextChar"/>
    <w:uiPriority w:val="99"/>
    <w:qFormat/>
    <w:rsid w:val="00E82492"/>
    <w:pPr>
      <w:widowControl w:val="0"/>
      <w:spacing w:after="0" w:line="240" w:lineRule="auto"/>
    </w:pPr>
    <w:rPr>
      <w:rFonts w:ascii="Times New Roman" w:eastAsia="Times New Roman" w:hAnsi="Times New Roman" w:cs="Times New Roman"/>
      <w:sz w:val="24"/>
      <w:szCs w:val="24"/>
      <w:lang w:eastAsia="sk-SK"/>
    </w:rPr>
  </w:style>
  <w:style w:type="paragraph" w:styleId="Zoznam">
    <w:name w:val="List"/>
    <w:basedOn w:val="Zkladntext"/>
    <w:rPr>
      <w:rFonts w:cs="Lohit Devanagari"/>
    </w:rPr>
  </w:style>
  <w:style w:type="paragraph" w:styleId="Popis">
    <w:name w:val="caption"/>
    <w:basedOn w:val="Normlny"/>
    <w:next w:val="Normlny"/>
    <w:uiPriority w:val="35"/>
    <w:unhideWhenUsed/>
    <w:qFormat/>
    <w:rsid w:val="00893843"/>
    <w:pPr>
      <w:spacing w:after="200" w:line="240" w:lineRule="auto"/>
    </w:pPr>
    <w:rPr>
      <w:i/>
      <w:iCs/>
      <w:color w:val="44546A" w:themeColor="text2"/>
      <w:sz w:val="18"/>
      <w:szCs w:val="18"/>
    </w:rPr>
  </w:style>
  <w:style w:type="paragraph" w:customStyle="1" w:styleId="Index">
    <w:name w:val="Index"/>
    <w:basedOn w:val="Normlny"/>
    <w:qFormat/>
    <w:pPr>
      <w:suppressLineNumbers/>
    </w:pPr>
    <w:rPr>
      <w:rFonts w:cs="Lohit Devanagari"/>
    </w:rPr>
  </w:style>
  <w:style w:type="paragraph" w:styleId="Odsekzoznamu">
    <w:name w:val="List Paragraph"/>
    <w:basedOn w:val="Normlny"/>
    <w:link w:val="OdsekzoznamuChar"/>
    <w:uiPriority w:val="34"/>
    <w:qFormat/>
    <w:rsid w:val="00C777D0"/>
    <w:pPr>
      <w:ind w:left="720"/>
      <w:contextualSpacing/>
    </w:pPr>
  </w:style>
  <w:style w:type="paragraph" w:styleId="Textkomentra">
    <w:name w:val="annotation text"/>
    <w:basedOn w:val="Normlny"/>
    <w:link w:val="TextkomentraChar"/>
    <w:uiPriority w:val="99"/>
    <w:semiHidden/>
    <w:unhideWhenUsed/>
    <w:rsid w:val="00FB2BFE"/>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FB2BFE"/>
    <w:rPr>
      <w:b/>
      <w:bCs/>
    </w:rPr>
  </w:style>
  <w:style w:type="paragraph" w:styleId="Textbubliny">
    <w:name w:val="Balloon Text"/>
    <w:basedOn w:val="Normlny"/>
    <w:link w:val="TextbublinyChar"/>
    <w:uiPriority w:val="99"/>
    <w:semiHidden/>
    <w:unhideWhenUsed/>
    <w:qFormat/>
    <w:rsid w:val="00FB2BFE"/>
    <w:pPr>
      <w:spacing w:after="0" w:line="240" w:lineRule="auto"/>
    </w:pPr>
    <w:rPr>
      <w:rFonts w:ascii="Segoe UI" w:hAnsi="Segoe UI" w:cs="Segoe UI"/>
      <w:sz w:val="18"/>
      <w:szCs w:val="18"/>
    </w:rPr>
  </w:style>
  <w:style w:type="paragraph" w:styleId="Nadpisregistra">
    <w:name w:val="index heading"/>
    <w:basedOn w:val="Heading"/>
  </w:style>
  <w:style w:type="paragraph" w:styleId="Hlavikaobsahu">
    <w:name w:val="TOC Heading"/>
    <w:basedOn w:val="Nadpis1"/>
    <w:next w:val="Normlny"/>
    <w:uiPriority w:val="39"/>
    <w:unhideWhenUsed/>
    <w:qFormat/>
    <w:rsid w:val="00FB2BFE"/>
    <w:pPr>
      <w:outlineLvl w:val="9"/>
    </w:pPr>
    <w:rPr>
      <w:lang w:val="en-US"/>
    </w:rPr>
  </w:style>
  <w:style w:type="paragraph" w:styleId="Obsah1">
    <w:name w:val="toc 1"/>
    <w:basedOn w:val="Normlny"/>
    <w:next w:val="Normlny"/>
    <w:autoRedefine/>
    <w:uiPriority w:val="39"/>
    <w:unhideWhenUsed/>
    <w:rsid w:val="00FB2BFE"/>
    <w:pPr>
      <w:spacing w:after="100"/>
    </w:p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9E617E"/>
    <w:pPr>
      <w:tabs>
        <w:tab w:val="center" w:pos="4536"/>
        <w:tab w:val="right" w:pos="9072"/>
      </w:tabs>
      <w:spacing w:after="0" w:line="240" w:lineRule="auto"/>
    </w:pPr>
  </w:style>
  <w:style w:type="paragraph" w:styleId="Pta">
    <w:name w:val="footer"/>
    <w:basedOn w:val="Normlny"/>
    <w:link w:val="PtaChar"/>
    <w:uiPriority w:val="99"/>
    <w:unhideWhenUsed/>
    <w:rsid w:val="009E617E"/>
    <w:pPr>
      <w:tabs>
        <w:tab w:val="center" w:pos="4536"/>
        <w:tab w:val="right" w:pos="9072"/>
      </w:tabs>
      <w:spacing w:after="0" w:line="240" w:lineRule="auto"/>
    </w:pPr>
  </w:style>
  <w:style w:type="paragraph" w:styleId="Nzov">
    <w:name w:val="Title"/>
    <w:basedOn w:val="Normlny"/>
    <w:next w:val="Normlny"/>
    <w:link w:val="NzovChar"/>
    <w:uiPriority w:val="10"/>
    <w:qFormat/>
    <w:rsid w:val="003D664B"/>
    <w:pPr>
      <w:spacing w:after="0" w:line="240" w:lineRule="auto"/>
      <w:contextualSpacing/>
    </w:pPr>
    <w:rPr>
      <w:rFonts w:asciiTheme="majorHAnsi" w:eastAsiaTheme="majorEastAsia" w:hAnsiTheme="majorHAnsi" w:cstheme="majorBidi"/>
      <w:spacing w:val="-10"/>
      <w:kern w:val="2"/>
      <w:sz w:val="56"/>
      <w:szCs w:val="56"/>
    </w:rPr>
  </w:style>
  <w:style w:type="paragraph" w:styleId="Obsah2">
    <w:name w:val="toc 2"/>
    <w:basedOn w:val="Normlny"/>
    <w:next w:val="Normlny"/>
    <w:autoRedefine/>
    <w:uiPriority w:val="39"/>
    <w:unhideWhenUsed/>
    <w:rsid w:val="00E23136"/>
    <w:pPr>
      <w:spacing w:after="100"/>
      <w:ind w:left="220"/>
    </w:pPr>
  </w:style>
  <w:style w:type="paragraph" w:styleId="Obsah3">
    <w:name w:val="toc 3"/>
    <w:basedOn w:val="Normlny"/>
    <w:next w:val="Normlny"/>
    <w:autoRedefine/>
    <w:uiPriority w:val="39"/>
    <w:unhideWhenUsed/>
    <w:rsid w:val="008F3251"/>
    <w:pPr>
      <w:spacing w:after="100"/>
      <w:ind w:left="440"/>
    </w:pPr>
  </w:style>
  <w:style w:type="paragraph" w:customStyle="1" w:styleId="footnotedescription">
    <w:name w:val="footnote description"/>
    <w:next w:val="Normlny"/>
    <w:link w:val="footnotedescriptionChar"/>
    <w:qFormat/>
    <w:rsid w:val="00FB7E34"/>
    <w:pPr>
      <w:spacing w:line="259" w:lineRule="auto"/>
      <w:ind w:left="360"/>
    </w:pPr>
    <w:rPr>
      <w:rFonts w:ascii="Calibri" w:eastAsia="Calibri" w:hAnsi="Calibri" w:cs="Calibri"/>
      <w:color w:val="00000A"/>
      <w:sz w:val="20"/>
      <w:lang w:eastAsia="sk-SK"/>
    </w:rPr>
  </w:style>
  <w:style w:type="paragraph" w:styleId="Normlnywebov">
    <w:name w:val="Normal (Web)"/>
    <w:basedOn w:val="Normlny"/>
    <w:uiPriority w:val="99"/>
    <w:unhideWhenUsed/>
    <w:qFormat/>
    <w:rsid w:val="00D27ADA"/>
    <w:pPr>
      <w:spacing w:beforeAutospacing="1" w:afterAutospacing="1" w:line="240" w:lineRule="auto"/>
    </w:pPr>
    <w:rPr>
      <w:rFonts w:ascii="Times New Roman" w:eastAsia="Times New Roman" w:hAnsi="Times New Roman" w:cs="Times New Roman"/>
      <w:sz w:val="24"/>
      <w:szCs w:val="24"/>
      <w:lang w:eastAsia="sk-SK"/>
    </w:rPr>
  </w:style>
  <w:style w:type="paragraph" w:customStyle="1" w:styleId="Odsek">
    <w:name w:val="Odsek"/>
    <w:basedOn w:val="Normlny"/>
    <w:link w:val="OdsekChar"/>
    <w:autoRedefine/>
    <w:qFormat/>
    <w:rsid w:val="00A65275"/>
    <w:pPr>
      <w:numPr>
        <w:numId w:val="7"/>
      </w:numPr>
      <w:spacing w:before="60" w:after="60" w:line="240" w:lineRule="auto"/>
      <w:jc w:val="both"/>
    </w:pPr>
    <w:rPr>
      <w:rFonts w:ascii="Calibri Light" w:eastAsia="Times New Roman" w:hAnsi="Calibri Light" w:cs="Tahoma"/>
      <w:color w:val="000000" w:themeColor="text1"/>
      <w:szCs w:val="20"/>
      <w:shd w:val="clear" w:color="auto" w:fill="FFFFFF"/>
      <w:lang w:eastAsia="en-GB"/>
    </w:rPr>
  </w:style>
  <w:style w:type="paragraph" w:styleId="Revzia">
    <w:name w:val="Revision"/>
    <w:uiPriority w:val="99"/>
    <w:semiHidden/>
    <w:qFormat/>
    <w:rsid w:val="00E97B1C"/>
  </w:style>
  <w:style w:type="table" w:styleId="Mriekatabuky">
    <w:name w:val="Table Grid"/>
    <w:basedOn w:val="Normlnatabuka"/>
    <w:uiPriority w:val="39"/>
    <w:rsid w:val="00FB2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82B11C49904E4BA0E70078554F0DF7" ma:contentTypeVersion="14" ma:contentTypeDescription="Umožňuje vytvoriť nový dokument." ma:contentTypeScope="" ma:versionID="7ac456b9d51efbab5cd5110fe678ea2f">
  <xsd:schema xmlns:xsd="http://www.w3.org/2001/XMLSchema" xmlns:xs="http://www.w3.org/2001/XMLSchema" xmlns:p="http://schemas.microsoft.com/office/2006/metadata/properties" xmlns:ns2="4c30cecc-21de-4981-b6c6-34ab73f2000d" xmlns:ns3="f2c44717-26b5-4078-9947-902bcc58f5c7" targetNamespace="http://schemas.microsoft.com/office/2006/metadata/properties" ma:root="true" ma:fieldsID="3e6334fb21ec13e08811556af783853a" ns2:_="" ns3:_="">
    <xsd:import namespace="4c30cecc-21de-4981-b6c6-34ab73f2000d"/>
    <xsd:import namespace="f2c44717-26b5-4078-9947-902bcc58f5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0cecc-21de-4981-b6c6-34ab73f20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01711c15-ca50-468e-b133-919b957328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44717-26b5-4078-9947-902bcc58f5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b9dd9e-f19e-4708-9c22-9647cf3c7855}" ma:internalName="TaxCatchAll" ma:showField="CatchAllData" ma:web="f2c44717-26b5-4078-9947-902bcc58f5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c44717-26b5-4078-9947-902bcc58f5c7" xsi:nil="true"/>
    <lcf76f155ced4ddcb4097134ff3c332f xmlns="4c30cecc-21de-4981-b6c6-34ab73f2000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9F545-E533-42ED-8910-54383E9B1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0cecc-21de-4981-b6c6-34ab73f2000d"/>
    <ds:schemaRef ds:uri="f2c44717-26b5-4078-9947-902bcc58f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6D31F-71B6-4153-B0F3-6465C07E8061}">
  <ds:schemaRefs>
    <ds:schemaRef ds:uri="http://schemas.microsoft.com/sharepoint/v3/contenttype/forms"/>
  </ds:schemaRefs>
</ds:datastoreItem>
</file>

<file path=customXml/itemProps3.xml><?xml version="1.0" encoding="utf-8"?>
<ds:datastoreItem xmlns:ds="http://schemas.openxmlformats.org/officeDocument/2006/customXml" ds:itemID="{BD0AA0EE-905F-4C46-BCD0-49E9BD073901}">
  <ds:schemaRefs>
    <ds:schemaRef ds:uri="http://purl.org/dc/elements/1.1/"/>
    <ds:schemaRef ds:uri="http://schemas.microsoft.com/office/2006/metadata/properties"/>
    <ds:schemaRef ds:uri="4c30cecc-21de-4981-b6c6-34ab73f2000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2c44717-26b5-4078-9947-902bcc58f5c7"/>
    <ds:schemaRef ds:uri="http://www.w3.org/XML/1998/namespace"/>
    <ds:schemaRef ds:uri="http://purl.org/dc/dcmitype/"/>
  </ds:schemaRefs>
</ds:datastoreItem>
</file>

<file path=customXml/itemProps4.xml><?xml version="1.0" encoding="utf-8"?>
<ds:datastoreItem xmlns:ds="http://schemas.openxmlformats.org/officeDocument/2006/customXml" ds:itemID="{F72D67FD-A7F6-4B3F-9847-C73E7641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6870</Words>
  <Characters>39162</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Príloha č. 3 ku Kyberzmluve – Kyberbezpečnostný štandard v1.1_Final_20072026</vt:lpstr>
    </vt:vector>
  </TitlesOfParts>
  <Company>Sociálna poisťovňa</Company>
  <LinksUpToDate>false</LinksUpToDate>
  <CharactersWithSpaces>45941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Logovací štandard v1.1_Final_20072026</dc:title>
  <dc:subject>KB zmluva</dc:subject>
  <dc:creator>Rene.Vatter@socpoist.sk</dc:creator>
  <dc:description/>
  <cp:lastModifiedBy>Vatter René</cp:lastModifiedBy>
  <cp:revision>5</cp:revision>
  <cp:lastPrinted>2022-08-23T12:46:00Z</cp:lastPrinted>
  <dcterms:created xsi:type="dcterms:W3CDTF">2026-07-17T22:24:00Z</dcterms:created>
  <dcterms:modified xsi:type="dcterms:W3CDTF">2026-07-21T07:48:00Z</dcterms:modified>
  <cp:category>Interne</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79e3d4-bca5-4e0c-926b-54e78f863a07_ActionId">
    <vt:lpwstr>86e6c89c-5940-4290-a6c2-5860117a36a2</vt:lpwstr>
  </property>
  <property fmtid="{D5CDD505-2E9C-101B-9397-08002B2CF9AE}" pid="3" name="MSIP_Label_5c79e3d4-bca5-4e0c-926b-54e78f863a07_ContentBits">
    <vt:lpwstr>0</vt:lpwstr>
  </property>
  <property fmtid="{D5CDD505-2E9C-101B-9397-08002B2CF9AE}" pid="4" name="MSIP_Label_5c79e3d4-bca5-4e0c-926b-54e78f863a07_Enabled">
    <vt:lpwstr>true</vt:lpwstr>
  </property>
  <property fmtid="{D5CDD505-2E9C-101B-9397-08002B2CF9AE}" pid="5" name="MSIP_Label_5c79e3d4-bca5-4e0c-926b-54e78f863a07_Method">
    <vt:lpwstr>Standard</vt:lpwstr>
  </property>
  <property fmtid="{D5CDD505-2E9C-101B-9397-08002B2CF9AE}" pid="6" name="MSIP_Label_5c79e3d4-bca5-4e0c-926b-54e78f863a07_Name">
    <vt:lpwstr>Interné</vt:lpwstr>
  </property>
  <property fmtid="{D5CDD505-2E9C-101B-9397-08002B2CF9AE}" pid="7" name="MSIP_Label_5c79e3d4-bca5-4e0c-926b-54e78f863a07_SetDate">
    <vt:lpwstr>2026-07-17T19:36:16Z</vt:lpwstr>
  </property>
  <property fmtid="{D5CDD505-2E9C-101B-9397-08002B2CF9AE}" pid="8" name="MSIP_Label_5c79e3d4-bca5-4e0c-926b-54e78f863a07_SiteId">
    <vt:lpwstr>a2836d72-6e15-458b-a053-85f410a2a011</vt:lpwstr>
  </property>
  <property fmtid="{D5CDD505-2E9C-101B-9397-08002B2CF9AE}" pid="9" name="MSIP_Label_5c79e3d4-bca5-4e0c-926b-54e78f863a07_Tag">
    <vt:lpwstr>10, 3, 0, 1</vt:lpwstr>
  </property>
  <property fmtid="{D5CDD505-2E9C-101B-9397-08002B2CF9AE}" pid="10" name="ContentTypeId">
    <vt:lpwstr>0x010100B382B11C49904E4BA0E70078554F0DF7</vt:lpwstr>
  </property>
  <property fmtid="{D5CDD505-2E9C-101B-9397-08002B2CF9AE}" pid="11" name="MediaServiceImageTags">
    <vt:lpwstr/>
  </property>
</Properties>
</file>