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A72DC6" w:rsidRDefault="00A72DC6">
      <w:pPr>
        <w:jc w:val="center"/>
        <w:rPr>
          <w:szCs w:val="20"/>
        </w:rPr>
      </w:pPr>
    </w:p>
    <w:p w14:paraId="2AF96F48" w14:textId="77777777" w:rsidR="00D63D1C" w:rsidRPr="00A72DC6" w:rsidRDefault="00145097">
      <w:pPr>
        <w:jc w:val="center"/>
        <w:rPr>
          <w:b/>
          <w:szCs w:val="20"/>
          <w:u w:val="single"/>
          <w:lang w:eastAsia="sk-SK"/>
        </w:rPr>
      </w:pPr>
      <w:r w:rsidRPr="00A72DC6">
        <w:rPr>
          <w:b/>
          <w:szCs w:val="20"/>
          <w:u w:val="single"/>
          <w:lang w:eastAsia="sk-SK"/>
        </w:rPr>
        <w:t>LOGOVACÍ ŠTANDARD PREVÁDZKOVATEĽA</w:t>
      </w:r>
    </w:p>
    <w:p w14:paraId="0A37501D" w14:textId="77777777" w:rsidR="00D63D1C" w:rsidRPr="00347B16" w:rsidRDefault="00D63D1C">
      <w:pPr>
        <w:rPr>
          <w:szCs w:val="20"/>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302"/>
      </w:tblGrid>
      <w:tr w:rsidR="00D63D1C" w:rsidRPr="00347B16" w14:paraId="4A416105" w14:textId="77777777">
        <w:tc>
          <w:tcPr>
            <w:tcW w:w="10312" w:type="dxa"/>
            <w:shd w:val="clear" w:color="auto" w:fill="EAF3F8"/>
            <w:tcMar>
              <w:top w:w="100" w:type="dxa"/>
              <w:left w:w="115" w:type="dxa"/>
              <w:bottom w:w="100" w:type="dxa"/>
              <w:right w:w="115" w:type="dxa"/>
            </w:tcMar>
          </w:tcPr>
          <w:p w14:paraId="6D0258DD" w14:textId="77777777" w:rsidR="00103A81" w:rsidRPr="00347B16" w:rsidRDefault="00347B16">
            <w:r>
              <w:rPr>
                <w:b/>
                <w:sz w:val="18"/>
              </w:rPr>
              <w:t>Postavenie prílohy</w:t>
            </w:r>
            <w:r>
              <w:rPr>
                <w:b/>
                <w:sz w:val="18"/>
              </w:rPr>
              <w:br/>
              <w:t xml:space="preserve">Táto príloha je autoritatívnym technickým štandardom SP pre návrh, obsah, zber, prenos, ochranu, </w:t>
            </w:r>
            <w:proofErr w:type="spellStart"/>
            <w:r>
              <w:rPr>
                <w:b/>
                <w:sz w:val="18"/>
              </w:rPr>
              <w:t>retenciu</w:t>
            </w:r>
            <w:proofErr w:type="spellEnd"/>
            <w:r>
              <w:rPr>
                <w:b/>
                <w:sz w:val="18"/>
              </w:rPr>
              <w:t xml:space="preserve">, SIEM, detekciu, </w:t>
            </w:r>
            <w:proofErr w:type="spellStart"/>
            <w:r>
              <w:rPr>
                <w:b/>
                <w:sz w:val="18"/>
              </w:rPr>
              <w:t>forenznú</w:t>
            </w:r>
            <w:proofErr w:type="spellEnd"/>
            <w:r>
              <w:rPr>
                <w:b/>
                <w:sz w:val="18"/>
              </w:rPr>
              <w:t xml:space="preserve"> použiteľnosť a export logov. </w:t>
            </w:r>
            <w:proofErr w:type="spellStart"/>
            <w:r>
              <w:rPr>
                <w:b/>
                <w:sz w:val="18"/>
              </w:rPr>
              <w:t>Kyberzmluva</w:t>
            </w:r>
            <w:proofErr w:type="spellEnd"/>
            <w:r>
              <w:rPr>
                <w:b/>
                <w:sz w:val="18"/>
              </w:rPr>
              <w:t xml:space="preserve"> určuje právny záväzok; konkrétne technické a prevádzkové parametre systému alebo služby sa dokumentujú v schválenom logovacom profile v medziach zmluvnej dokumentácie. Pri rozpore má prednosť záväzný právny predpis a osobitnejšia alebo prísnejšia požiadavka podľa Kyberzmluvy.</w:t>
            </w:r>
          </w:p>
        </w:tc>
      </w:tr>
    </w:tbl>
    <w:p w14:paraId="5DAB6C7B" w14:textId="77777777" w:rsidR="00D63D1C" w:rsidRPr="00347B16" w:rsidRDefault="00D63D1C">
      <w:pPr>
        <w:rPr>
          <w:szCs w:val="20"/>
        </w:rPr>
      </w:pPr>
    </w:p>
    <w:p w14:paraId="13C0E6F9" w14:textId="77777777" w:rsidR="00103A81" w:rsidRPr="00347B16" w:rsidRDefault="00347B16" w:rsidP="00FB32AC">
      <w:pPr>
        <w:spacing w:after="120"/>
        <w:jc w:val="both"/>
      </w:pPr>
      <w:r>
        <w:t>Rozlíšenie úrovní požiadaviek: REG = priamo aplikovateľné regulačné minimum; SP = bezpečnostný a prevádzkový štandard Sociálnej poisťovne, ktorý môže byť prísnejší ako právne minimum. Konkrétne parametre pre daný systém alebo službu sa určujú v schválenom logovacom profile v medziach súťažných podkladov, základného zmluvného vzťahu a tejto prílohy. Logovací profil nesmie znížiť aplikovateľné regulačné minimum; odchýlka od štandardu SP je možná iba na základe zdôvodnenej a písomne schválenej výnimky s primeraným kompenzačným opatrením, ak je právne prípustná.</w:t>
      </w:r>
    </w:p>
    <w:p w14:paraId="2D25A15C"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1. </w:t>
      </w:r>
      <w:r w:rsidRPr="002B769B">
        <w:rPr>
          <w:rFonts w:ascii="Arial" w:eastAsia="Arial" w:hAnsi="Arial" w:cs="Arial"/>
          <w:color w:val="1F497D" w:themeColor="text2"/>
          <w:sz w:val="20"/>
          <w:szCs w:val="20"/>
          <w:u w:val="single"/>
        </w:rPr>
        <w:t>Účel, rozsah a aplikovateľnosť</w:t>
      </w:r>
    </w:p>
    <w:p w14:paraId="534C6A2A" w14:textId="77777777" w:rsidR="00D63D1C" w:rsidRPr="00347B16" w:rsidRDefault="00145097" w:rsidP="00FB32AC">
      <w:pPr>
        <w:jc w:val="both"/>
        <w:rPr>
          <w:szCs w:val="20"/>
        </w:rPr>
      </w:pPr>
      <w:r w:rsidRPr="00347B16">
        <w:rPr>
          <w:szCs w:val="20"/>
        </w:rPr>
        <w:t xml:space="preserve">(1) Logy </w:t>
      </w:r>
      <w:r w:rsidRPr="00347B16">
        <w:rPr>
          <w:color w:val="FF0000"/>
          <w:szCs w:val="20"/>
        </w:rPr>
        <w:t>musia</w:t>
      </w:r>
      <w:r w:rsidRPr="00347B16">
        <w:rPr>
          <w:szCs w:val="20"/>
        </w:rPr>
        <w:t xml:space="preserve"> umožniť spätne zrekonštruovať významné činnosti a udalosti, podporiť detekciu, riešenie incidentov, audit, kontrolu, kontinuitu a preukázanie regulačného súladu.</w:t>
      </w:r>
    </w:p>
    <w:p w14:paraId="5EA33119" w14:textId="77777777" w:rsidR="00D63D1C" w:rsidRPr="00347B16" w:rsidRDefault="00145097" w:rsidP="00FB32AC">
      <w:pPr>
        <w:jc w:val="both"/>
        <w:rPr>
          <w:szCs w:val="20"/>
        </w:rPr>
      </w:pPr>
      <w:r w:rsidRPr="00347B16">
        <w:rPr>
          <w:szCs w:val="20"/>
        </w:rPr>
        <w:t xml:space="preserve">(2) Štandard sa uplatňuje na označené zdroje a technológie vrátane bezpečnostných nástrojov, operačných systémov, aplikácií, databáz, API, </w:t>
      </w:r>
      <w:proofErr w:type="spellStart"/>
      <w:r w:rsidRPr="00347B16">
        <w:rPr>
          <w:szCs w:val="20"/>
        </w:rPr>
        <w:t>cloudových</w:t>
      </w:r>
      <w:proofErr w:type="spellEnd"/>
      <w:r w:rsidRPr="00347B16">
        <w:rPr>
          <w:szCs w:val="20"/>
        </w:rPr>
        <w:t xml:space="preserve"> služieb, kontajnerov, orchestrácie, identít, OT a AI.</w:t>
      </w:r>
    </w:p>
    <w:p w14:paraId="46726131" w14:textId="77777777" w:rsidR="00D63D1C" w:rsidRPr="00347B16" w:rsidRDefault="00145097" w:rsidP="00FB32AC">
      <w:pPr>
        <w:jc w:val="both"/>
        <w:rPr>
          <w:szCs w:val="20"/>
        </w:rPr>
      </w:pPr>
      <w:r>
        <w:rPr>
          <w:szCs w:val="20"/>
        </w:rPr>
        <w:t>(3) Konkrétne zdroje, kategórie, udalosti, polia, formáty, cieľová platforma, online dostupnosť, retencia, detekčné scenáre a výnimky sa určia v schválenom logovacom profile. Ak môže niektorý parameter materiálne ovplyvniť cenu, technické riešenie, kapacitu, lehoty, úroveň služby alebo obsah ponuky, jeho základný rozsah musí byť určený už v súťažných podkladoch alebo základnom zmluvnom vzťahu.</w:t>
      </w:r>
    </w:p>
    <w:p w14:paraId="1B8429FB" w14:textId="77777777" w:rsidR="00D63D1C" w:rsidRPr="00347B16" w:rsidRDefault="00145097" w:rsidP="00FB32AC">
      <w:pPr>
        <w:jc w:val="both"/>
        <w:rPr>
          <w:szCs w:val="20"/>
        </w:rPr>
      </w:pPr>
      <w:r w:rsidRPr="00347B16">
        <w:rPr>
          <w:szCs w:val="20"/>
        </w:rPr>
        <w:t xml:space="preserve">(4) Ak zdroj nevie splniť povinnú požiadavku, dodávateľ pred implementáciou predloží analýzu rizika, rovnocenné alebo kompenzačné opatrenie a termín nápravy; výnimka </w:t>
      </w:r>
      <w:r w:rsidRPr="00347B16">
        <w:rPr>
          <w:color w:val="FF0000"/>
          <w:szCs w:val="20"/>
        </w:rPr>
        <w:t>musí</w:t>
      </w:r>
      <w:r w:rsidRPr="00347B16">
        <w:rPr>
          <w:szCs w:val="20"/>
        </w:rPr>
        <w:t xml:space="preserve"> byť schválená a </w:t>
      </w:r>
      <w:r w:rsidRPr="00347B16">
        <w:rPr>
          <w:color w:val="FF0000"/>
          <w:szCs w:val="20"/>
        </w:rPr>
        <w:t>nesmie</w:t>
      </w:r>
      <w:r w:rsidRPr="00347B16">
        <w:rPr>
          <w:szCs w:val="20"/>
        </w:rPr>
        <w:t xml:space="preserve"> nahradiť právne minimum.</w:t>
      </w:r>
    </w:p>
    <w:p w14:paraId="4347160F"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2. </w:t>
      </w:r>
      <w:r w:rsidRPr="002B769B">
        <w:rPr>
          <w:rFonts w:ascii="Arial" w:eastAsia="Arial" w:hAnsi="Arial" w:cs="Arial"/>
          <w:color w:val="1F497D" w:themeColor="text2"/>
          <w:sz w:val="20"/>
          <w:szCs w:val="20"/>
          <w:u w:val="single"/>
        </w:rPr>
        <w:t>Logovací profil a zodpovednosti</w:t>
      </w:r>
    </w:p>
    <w:p w14:paraId="41A3A455" w14:textId="77777777" w:rsidR="00D63D1C" w:rsidRPr="00347B16" w:rsidRDefault="00145097" w:rsidP="00FB32AC">
      <w:pPr>
        <w:jc w:val="both"/>
        <w:rPr>
          <w:szCs w:val="20"/>
        </w:rPr>
      </w:pPr>
      <w:r>
        <w:rPr>
          <w:szCs w:val="20"/>
        </w:rPr>
        <w:t>(1) Každý bezpečnostne relevantný systém alebo služba má pred produkčným nasadením schválený logovací profil. Logovací profil je riadený odborný dokument k systému alebo službe, uložený v určenom riadenom úložisku; konkretizuje technické a prevádzkové parametre v medziach tejto prílohy a zmluvnej dokumentácie a nesmie bez právne prípustného postupu meniť materiálne parametre základného zmluvného vzťahu.</w:t>
      </w:r>
    </w:p>
    <w:p w14:paraId="745847B2" w14:textId="77777777" w:rsidR="00D63D1C" w:rsidRPr="00347B16" w:rsidRDefault="00145097" w:rsidP="00FB32AC">
      <w:pPr>
        <w:jc w:val="both"/>
        <w:rPr>
          <w:szCs w:val="20"/>
        </w:rPr>
      </w:pPr>
      <w:r w:rsidRPr="00347B16">
        <w:rPr>
          <w:szCs w:val="20"/>
        </w:rPr>
        <w:t xml:space="preserve">(2) Logovací profil obsahuje najmenej zdroje a kategórie logov, povinné udalosti a polia, formát a schému, časovú synchronizáciu, korelačné identifikátory, transport, dočasnú vyrovnávaciu pamäť, cieľový SIEM alebo centrálnu platformu, syntaktické analyzátory, detekčné scenáre, lehoty spracovania, prístupové roly, online dostupnosť, </w:t>
      </w:r>
      <w:proofErr w:type="spellStart"/>
      <w:r w:rsidRPr="00347B16">
        <w:rPr>
          <w:szCs w:val="20"/>
        </w:rPr>
        <w:t>retenciu</w:t>
      </w:r>
      <w:proofErr w:type="spellEnd"/>
      <w:r w:rsidRPr="00347B16">
        <w:rPr>
          <w:szCs w:val="20"/>
        </w:rPr>
        <w:t xml:space="preserve">, kapacitu, ochranu integrity, zálohovanie, </w:t>
      </w:r>
      <w:proofErr w:type="spellStart"/>
      <w:r w:rsidRPr="00347B16">
        <w:rPr>
          <w:szCs w:val="20"/>
        </w:rPr>
        <w:t>forenzný</w:t>
      </w:r>
      <w:proofErr w:type="spellEnd"/>
      <w:r w:rsidRPr="00347B16">
        <w:rPr>
          <w:szCs w:val="20"/>
        </w:rPr>
        <w:t xml:space="preserve"> export, pozastavenie výmazu a bezpečný výmaz.</w:t>
      </w:r>
    </w:p>
    <w:p w14:paraId="08C4EDC8" w14:textId="77777777" w:rsidR="00D63D1C" w:rsidRPr="00347B16" w:rsidRDefault="00145097" w:rsidP="00FB32AC">
      <w:pPr>
        <w:jc w:val="both"/>
        <w:rPr>
          <w:szCs w:val="20"/>
        </w:rPr>
      </w:pPr>
      <w:r w:rsidRPr="00347B16">
        <w:rPr>
          <w:szCs w:val="20"/>
        </w:rPr>
        <w:t>(3) Vlastník systému a dodávateľ pripravia profil; SOC alebo OKIB validuje bezpečnostnú časť. Dodávateľ zodpovedá za úplnosť, kvalitu, časovú správnosť a kontinuitu logov vytváraných jeho riešením.</w:t>
      </w:r>
    </w:p>
    <w:p w14:paraId="394B519D" w14:textId="77777777" w:rsidR="00D63D1C" w:rsidRPr="00347B16" w:rsidRDefault="00145097" w:rsidP="00FB32AC">
      <w:pPr>
        <w:jc w:val="both"/>
        <w:rPr>
          <w:szCs w:val="20"/>
        </w:rPr>
      </w:pPr>
      <w:r w:rsidRPr="00347B16">
        <w:rPr>
          <w:szCs w:val="20"/>
        </w:rPr>
        <w:t>(4) Výpadok, zmenu schémy, významný pokles objemu, chybu syntaktického spracovania, stratu integrity alebo kapacity dodávateľ bezodkladne oznamuje a rieši ako bezpečnostnú udalosť alebo incident podľa dopadu.</w:t>
      </w:r>
    </w:p>
    <w:p w14:paraId="045DFAB6"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3. </w:t>
      </w:r>
      <w:r w:rsidRPr="002B769B">
        <w:rPr>
          <w:rFonts w:ascii="Arial" w:eastAsia="Arial" w:hAnsi="Arial" w:cs="Arial"/>
          <w:color w:val="1F497D" w:themeColor="text2"/>
          <w:sz w:val="20"/>
          <w:szCs w:val="20"/>
          <w:u w:val="single"/>
        </w:rPr>
        <w:t>Povinné udalosti a obsah logov</w:t>
      </w:r>
    </w:p>
    <w:p w14:paraId="4DE8A4AD" w14:textId="77777777" w:rsidR="00D63D1C" w:rsidRPr="00347B16" w:rsidRDefault="00145097" w:rsidP="00FB32AC">
      <w:pPr>
        <w:jc w:val="both"/>
        <w:rPr>
          <w:szCs w:val="20"/>
        </w:rPr>
      </w:pPr>
      <w:r w:rsidRPr="00347B16">
        <w:rPr>
          <w:szCs w:val="20"/>
        </w:rPr>
        <w:t>(1) Logujú sa všetky bezpečnostne a prevádzkovo relevantné udalosti potrebné na určenie, kto alebo ktorá služba vykonala akú činnosť, kedy, odkiaľ, voči ktorému aktívu a s akým výsledkom.</w:t>
      </w:r>
    </w:p>
    <w:p w14:paraId="5F77855D" w14:textId="77777777" w:rsidR="00D63D1C" w:rsidRPr="00347B16" w:rsidRDefault="00145097" w:rsidP="00FB32AC">
      <w:pPr>
        <w:jc w:val="both"/>
        <w:rPr>
          <w:szCs w:val="20"/>
        </w:rPr>
      </w:pPr>
      <w:r w:rsidRPr="00347B16">
        <w:rPr>
          <w:szCs w:val="20"/>
        </w:rPr>
        <w:t>(2) Rozsah zahŕňa podľa aplikovateľnosti najmä:</w:t>
      </w:r>
    </w:p>
    <w:p w14:paraId="3CF4E73D" w14:textId="77777777" w:rsidR="00D63D1C" w:rsidRPr="00347B16" w:rsidRDefault="00145097" w:rsidP="00FB32AC">
      <w:pPr>
        <w:pStyle w:val="Odsekzoznamu"/>
        <w:ind w:left="397" w:hanging="255"/>
        <w:jc w:val="both"/>
        <w:rPr>
          <w:szCs w:val="20"/>
        </w:rPr>
      </w:pPr>
      <w:r w:rsidRPr="00347B16">
        <w:rPr>
          <w:szCs w:val="20"/>
        </w:rPr>
        <w:t>a) úspešné a neúspešné autentifikácie, odhlásenia, zablokovania, udalosti MFA, relácie a tokeny;</w:t>
      </w:r>
    </w:p>
    <w:p w14:paraId="251CE8A0" w14:textId="77777777" w:rsidR="00D63D1C" w:rsidRPr="00347B16" w:rsidRDefault="00145097" w:rsidP="00FB32AC">
      <w:pPr>
        <w:pStyle w:val="Odsekzoznamu"/>
        <w:ind w:left="397" w:hanging="255"/>
        <w:jc w:val="both"/>
        <w:rPr>
          <w:szCs w:val="20"/>
        </w:rPr>
      </w:pPr>
      <w:r w:rsidRPr="00347B16">
        <w:rPr>
          <w:szCs w:val="20"/>
        </w:rPr>
        <w:t xml:space="preserve">b) vytvorenie, zmenu, </w:t>
      </w:r>
      <w:proofErr w:type="spellStart"/>
      <w:r w:rsidRPr="00347B16">
        <w:rPr>
          <w:szCs w:val="20"/>
        </w:rPr>
        <w:t>deaktiváciu</w:t>
      </w:r>
      <w:proofErr w:type="spellEnd"/>
      <w:r w:rsidRPr="00347B16">
        <w:rPr>
          <w:szCs w:val="20"/>
        </w:rPr>
        <w:t xml:space="preserve"> a zrušenie identít, účtov, skupín, rolí a oprávnení;</w:t>
      </w:r>
    </w:p>
    <w:p w14:paraId="1A1C9FE5" w14:textId="77777777" w:rsidR="00D63D1C" w:rsidRPr="00347B16" w:rsidRDefault="00145097" w:rsidP="00FB32AC">
      <w:pPr>
        <w:pStyle w:val="Odsekzoznamu"/>
        <w:ind w:left="397" w:hanging="255"/>
        <w:jc w:val="both"/>
        <w:rPr>
          <w:szCs w:val="20"/>
        </w:rPr>
      </w:pPr>
      <w:r w:rsidRPr="00347B16">
        <w:rPr>
          <w:szCs w:val="20"/>
        </w:rPr>
        <w:t>c) prístupy k chráneným informáciám, hromadné čítanie, export, tlač, kopírovanie, sťahovanie, zdieľanie, zmenu a výmaz;</w:t>
      </w:r>
    </w:p>
    <w:p w14:paraId="02EB378F" w14:textId="77777777" w:rsidR="003F5044" w:rsidRDefault="003F5044" w:rsidP="00FB32AC">
      <w:pPr>
        <w:pStyle w:val="Odsekzoznamu"/>
        <w:ind w:left="397" w:hanging="255"/>
        <w:jc w:val="both"/>
        <w:rPr>
          <w:szCs w:val="20"/>
        </w:rPr>
      </w:pPr>
    </w:p>
    <w:p w14:paraId="6A05A809" w14:textId="77777777" w:rsidR="003F5044" w:rsidRDefault="003F5044">
      <w:pPr>
        <w:pStyle w:val="Odsekzoznamu"/>
        <w:ind w:left="397" w:hanging="255"/>
        <w:rPr>
          <w:szCs w:val="20"/>
        </w:rPr>
      </w:pPr>
    </w:p>
    <w:p w14:paraId="43C12DF0" w14:textId="77777777" w:rsidR="00D63D1C" w:rsidRPr="00347B16" w:rsidRDefault="00145097" w:rsidP="00FB32AC">
      <w:pPr>
        <w:pStyle w:val="Odsekzoznamu"/>
        <w:ind w:left="397" w:hanging="255"/>
        <w:jc w:val="both"/>
        <w:rPr>
          <w:szCs w:val="20"/>
        </w:rPr>
      </w:pPr>
      <w:r w:rsidRPr="00347B16">
        <w:rPr>
          <w:szCs w:val="20"/>
        </w:rPr>
        <w:t>d) kritické a privilegované operácie, zmeny konfigurácie, bezpečnostných politík, logovania, kľúčov, certifikátov, záloh a obnovy;</w:t>
      </w:r>
    </w:p>
    <w:p w14:paraId="064A3B92" w14:textId="77777777" w:rsidR="00D63D1C" w:rsidRPr="00347B16" w:rsidRDefault="00145097" w:rsidP="00FB32AC">
      <w:pPr>
        <w:pStyle w:val="Odsekzoznamu"/>
        <w:ind w:left="397" w:hanging="255"/>
        <w:jc w:val="both"/>
        <w:rPr>
          <w:szCs w:val="20"/>
        </w:rPr>
      </w:pPr>
      <w:r w:rsidRPr="00347B16">
        <w:rPr>
          <w:szCs w:val="20"/>
        </w:rPr>
        <w:t>e) spustenie, zastavenie, zlyhanie a reštart procesov, služieb, aplikácií, kontajnerov, úloh a integračných tokov;</w:t>
      </w:r>
    </w:p>
    <w:p w14:paraId="79A2D0EF" w14:textId="77777777" w:rsidR="00D63D1C" w:rsidRPr="00347B16" w:rsidRDefault="00145097" w:rsidP="00FB32AC">
      <w:pPr>
        <w:pStyle w:val="Odsekzoznamu"/>
        <w:ind w:left="397" w:hanging="255"/>
        <w:jc w:val="both"/>
        <w:rPr>
          <w:szCs w:val="20"/>
        </w:rPr>
      </w:pPr>
      <w:r w:rsidRPr="00347B16">
        <w:rPr>
          <w:szCs w:val="20"/>
        </w:rPr>
        <w:t>f) vzdialené a servisné prístupy, začiatok a koniec relácie, zdroj, cieľ, identitu, schválenie, prenosy súborov a privilegované príkazy;</w:t>
      </w:r>
    </w:p>
    <w:p w14:paraId="6860A8E3" w14:textId="77777777" w:rsidR="00D63D1C" w:rsidRPr="00347B16" w:rsidRDefault="00145097" w:rsidP="00FB32AC">
      <w:pPr>
        <w:pStyle w:val="Odsekzoznamu"/>
        <w:ind w:left="397" w:hanging="255"/>
        <w:jc w:val="both"/>
        <w:rPr>
          <w:szCs w:val="20"/>
        </w:rPr>
      </w:pPr>
      <w:r w:rsidRPr="00347B16">
        <w:rPr>
          <w:szCs w:val="20"/>
        </w:rPr>
        <w:t xml:space="preserve">g) API, </w:t>
      </w:r>
      <w:proofErr w:type="spellStart"/>
      <w:r w:rsidRPr="00347B16">
        <w:rPr>
          <w:szCs w:val="20"/>
        </w:rPr>
        <w:t>cloudové</w:t>
      </w:r>
      <w:proofErr w:type="spellEnd"/>
      <w:r w:rsidRPr="00347B16">
        <w:rPr>
          <w:szCs w:val="20"/>
        </w:rPr>
        <w:t xml:space="preserve">, databázové, bezpečnostné, kontajnerové, </w:t>
      </w:r>
      <w:proofErr w:type="spellStart"/>
      <w:r w:rsidRPr="00347B16">
        <w:rPr>
          <w:szCs w:val="20"/>
        </w:rPr>
        <w:t>orchestračné</w:t>
      </w:r>
      <w:proofErr w:type="spellEnd"/>
      <w:r w:rsidRPr="00347B16">
        <w:rPr>
          <w:szCs w:val="20"/>
        </w:rPr>
        <w:t>, integračné a AI udalosti podľa časti 8.</w:t>
      </w:r>
    </w:p>
    <w:p w14:paraId="7ADDA520" w14:textId="77777777" w:rsidR="00D63D1C" w:rsidRPr="00347B16" w:rsidRDefault="00145097" w:rsidP="00FB32AC">
      <w:pPr>
        <w:jc w:val="both"/>
        <w:rPr>
          <w:szCs w:val="20"/>
        </w:rPr>
      </w:pPr>
      <w:r w:rsidRPr="00347B16">
        <w:rPr>
          <w:szCs w:val="20"/>
        </w:rPr>
        <w:t>(3) Každý záznam obsahuje, ak je údaj dostupný a primeraný účelu, čas a časovú zónu, typ udalosti, zdroj a prostredie, používateľskú alebo systémovú identitu, reláciu a korelačný identifikátor, zdrojovú a cieľovú adresu, dotknuté aktívum, akciu, výsledok, dôvod zlyhania, závažnosť a identifikátor transakcie, incidentu alebo zmeny.</w:t>
      </w:r>
    </w:p>
    <w:p w14:paraId="35B740E0" w14:textId="77777777" w:rsidR="00D63D1C" w:rsidRPr="00347B16" w:rsidRDefault="00145097" w:rsidP="00FB32AC">
      <w:pPr>
        <w:jc w:val="both"/>
        <w:rPr>
          <w:szCs w:val="20"/>
        </w:rPr>
      </w:pPr>
      <w:r w:rsidRPr="00347B16">
        <w:rPr>
          <w:szCs w:val="20"/>
        </w:rPr>
        <w:t xml:space="preserve">(4) Logy sa vytvárajú v konzistentnom, zdokumentovanom a strojovo spracovateľnom formáte; podporujú </w:t>
      </w:r>
      <w:proofErr w:type="spellStart"/>
      <w:r w:rsidRPr="00347B16">
        <w:rPr>
          <w:szCs w:val="20"/>
        </w:rPr>
        <w:t>syslog</w:t>
      </w:r>
      <w:proofErr w:type="spellEnd"/>
      <w:r w:rsidRPr="00347B16">
        <w:rPr>
          <w:szCs w:val="20"/>
        </w:rPr>
        <w:t>, CEF, JSON, API alebo iný schválený formát bez zníženia úplnosti, integrity a korelačnej použiteľnosti.</w:t>
      </w:r>
    </w:p>
    <w:p w14:paraId="1FA3A8DC" w14:textId="77777777" w:rsidR="00D63D1C" w:rsidRPr="00347B16" w:rsidRDefault="00145097" w:rsidP="00FB32AC">
      <w:pPr>
        <w:jc w:val="both"/>
        <w:rPr>
          <w:szCs w:val="20"/>
        </w:rPr>
      </w:pPr>
      <w:r w:rsidRPr="00347B16">
        <w:rPr>
          <w:szCs w:val="20"/>
        </w:rPr>
        <w:t xml:space="preserve">(5) Log </w:t>
      </w:r>
      <w:r w:rsidRPr="00347B16">
        <w:rPr>
          <w:color w:val="FF0000"/>
          <w:szCs w:val="20"/>
        </w:rPr>
        <w:t>nesmie</w:t>
      </w:r>
      <w:r w:rsidRPr="00347B16">
        <w:rPr>
          <w:szCs w:val="20"/>
        </w:rPr>
        <w:t xml:space="preserve"> obsahovať heslá, privátne kľúče, obnovovacie kódy, celé tokeny, tajomstvá, nepotrebný obsah správ ani nadbytočné osobné údaje. Používa sa zoznam povolených polí, maskovanie, tokenizácia alebo redakcia a bezpečnostné testovanie únikov do logov.</w:t>
      </w:r>
    </w:p>
    <w:p w14:paraId="0901B97C"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4. </w:t>
      </w:r>
      <w:r w:rsidRPr="002B769B">
        <w:rPr>
          <w:rFonts w:ascii="Arial" w:eastAsia="Arial" w:hAnsi="Arial" w:cs="Arial"/>
          <w:color w:val="1F497D" w:themeColor="text2"/>
          <w:sz w:val="20"/>
          <w:szCs w:val="20"/>
          <w:u w:val="single"/>
        </w:rPr>
        <w:t>Zber, prenos a zdravie logovacieho reťazca</w:t>
      </w:r>
    </w:p>
    <w:p w14:paraId="346D23BE" w14:textId="77777777" w:rsidR="00D63D1C" w:rsidRPr="00347B16" w:rsidRDefault="00145097" w:rsidP="00FB32AC">
      <w:pPr>
        <w:jc w:val="both"/>
        <w:rPr>
          <w:szCs w:val="20"/>
        </w:rPr>
      </w:pPr>
      <w:r>
        <w:t>(1) Ako štandard SP sa kritické zdroje odosielajú do centrálnej platformy takmer v reálnom čase, cieľovo najneskôr do piatich minút, ak právny predpis, súťažné podklady alebo základný zmluvný vzťah neurčia prísnejšiu požiadavku. Pre stredné a nízke riziko sa používa cieľová lehota 15 alebo 60 minút podľa tabuľky v časti 10; nejde o univerzálnu zákonnú číselnú lehotu, ak právny predpis neurčí inak.</w:t>
      </w:r>
    </w:p>
    <w:p w14:paraId="19FEB641" w14:textId="77777777" w:rsidR="00D63D1C" w:rsidRPr="00347B16" w:rsidRDefault="00145097" w:rsidP="00FB32AC">
      <w:pPr>
        <w:jc w:val="both"/>
        <w:rPr>
          <w:szCs w:val="20"/>
        </w:rPr>
      </w:pPr>
      <w:r w:rsidRPr="00347B16">
        <w:rPr>
          <w:szCs w:val="20"/>
        </w:rPr>
        <w:t xml:space="preserve">(2) Pri výpadku spojenia sa používa chránená lokálna vyrovnávacia pamäť s monitorovanou kapacitou, ochranou integrity a automatickým </w:t>
      </w:r>
      <w:proofErr w:type="spellStart"/>
      <w:r w:rsidRPr="00347B16">
        <w:rPr>
          <w:szCs w:val="20"/>
        </w:rPr>
        <w:t>doslaním</w:t>
      </w:r>
      <w:proofErr w:type="spellEnd"/>
      <w:r w:rsidRPr="00347B16">
        <w:rPr>
          <w:szCs w:val="20"/>
        </w:rPr>
        <w:t>.</w:t>
      </w:r>
    </w:p>
    <w:p w14:paraId="28EAA341" w14:textId="77777777" w:rsidR="00D63D1C" w:rsidRPr="00347B16" w:rsidRDefault="00145097" w:rsidP="00FB32AC">
      <w:pPr>
        <w:jc w:val="both"/>
        <w:rPr>
          <w:szCs w:val="20"/>
        </w:rPr>
      </w:pPr>
      <w:r w:rsidRPr="00347B16">
        <w:rPr>
          <w:szCs w:val="20"/>
        </w:rPr>
        <w:t>(3) Nepretržite sa monitorujú stavové signály, objem a frekvencia udalostí, chyby syntaktického spracovania, neznáme alebo zmenené schémy, časová odchýlka, fronty, kapacita, oneskorenie príjmu, archivácia, integrita a dostupnosť zberných komponentov.</w:t>
      </w:r>
    </w:p>
    <w:p w14:paraId="642F318D" w14:textId="77777777" w:rsidR="00D63D1C" w:rsidRPr="00347B16" w:rsidRDefault="00145097" w:rsidP="00FB32AC">
      <w:pPr>
        <w:jc w:val="both"/>
        <w:rPr>
          <w:szCs w:val="20"/>
        </w:rPr>
      </w:pPr>
      <w:r w:rsidRPr="00347B16">
        <w:rPr>
          <w:szCs w:val="20"/>
        </w:rPr>
        <w:t xml:space="preserve">(4) Kapacita sa dimenzuje podľa reálneho objemu, špičiek, indexácie, replikácie, </w:t>
      </w:r>
      <w:proofErr w:type="spellStart"/>
      <w:r w:rsidRPr="00347B16">
        <w:rPr>
          <w:szCs w:val="20"/>
        </w:rPr>
        <w:t>retencie</w:t>
      </w:r>
      <w:proofErr w:type="spellEnd"/>
      <w:r w:rsidRPr="00347B16">
        <w:rPr>
          <w:szCs w:val="20"/>
        </w:rPr>
        <w:t xml:space="preserve"> a rezervy. Zaplnenie úložiska </w:t>
      </w:r>
      <w:r w:rsidRPr="00347B16">
        <w:rPr>
          <w:color w:val="FF0000"/>
          <w:szCs w:val="20"/>
        </w:rPr>
        <w:t>nesmie</w:t>
      </w:r>
      <w:r w:rsidRPr="00347B16">
        <w:rPr>
          <w:szCs w:val="20"/>
        </w:rPr>
        <w:t xml:space="preserve"> viesť k tichému zastaveniu logovania, nekontrolovanému prepisu kritických logov alebo ohrozeniu stability systému.</w:t>
      </w:r>
    </w:p>
    <w:p w14:paraId="7B0496C8" w14:textId="77777777" w:rsidR="00D63D1C" w:rsidRPr="00347B16" w:rsidRDefault="00145097" w:rsidP="00FB32AC">
      <w:pPr>
        <w:jc w:val="both"/>
        <w:rPr>
          <w:szCs w:val="20"/>
        </w:rPr>
      </w:pPr>
      <w:r w:rsidRPr="00347B16">
        <w:rPr>
          <w:szCs w:val="20"/>
        </w:rPr>
        <w:t>(5) Všetky relevantné zdroje používajú dôveryhodný a podľa rizika autentifikovaný a redundantný časový zdroj. Odchýlka sa monitoruje a udalosti zachovávajú správne poradie aj pri zmene času alebo výpadku synchronizácie.</w:t>
      </w:r>
    </w:p>
    <w:p w14:paraId="6E9C0784"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5. </w:t>
      </w:r>
      <w:r w:rsidRPr="002B769B">
        <w:rPr>
          <w:rFonts w:ascii="Arial" w:eastAsia="Arial" w:hAnsi="Arial" w:cs="Arial"/>
          <w:color w:val="1F497D" w:themeColor="text2"/>
          <w:sz w:val="20"/>
          <w:szCs w:val="20"/>
          <w:u w:val="single"/>
        </w:rPr>
        <w:t>Ochrana, prístup, online dostupnosť a retencia</w:t>
      </w:r>
    </w:p>
    <w:p w14:paraId="5FC85B7A" w14:textId="77777777" w:rsidR="00D63D1C" w:rsidRPr="00347B16" w:rsidRDefault="00145097" w:rsidP="00FB32AC">
      <w:pPr>
        <w:jc w:val="both"/>
        <w:rPr>
          <w:szCs w:val="20"/>
        </w:rPr>
      </w:pPr>
      <w:r w:rsidRPr="00347B16">
        <w:rPr>
          <w:szCs w:val="20"/>
        </w:rPr>
        <w:t xml:space="preserve">(1) Logy sa uchovávajú oddelene od zdrojového systému v centrálnej platforme s oddelenými administrátorskými rolami. Lokálna kópia kritického logu </w:t>
      </w:r>
      <w:r w:rsidRPr="00347B16">
        <w:rPr>
          <w:color w:val="FF0000"/>
          <w:szCs w:val="20"/>
        </w:rPr>
        <w:t>nesmie</w:t>
      </w:r>
      <w:r w:rsidRPr="00347B16">
        <w:rPr>
          <w:szCs w:val="20"/>
        </w:rPr>
        <w:t xml:space="preserve"> byť jediným zdrojom dôkazu.</w:t>
      </w:r>
    </w:p>
    <w:p w14:paraId="4C18E80E" w14:textId="77777777" w:rsidR="00D63D1C" w:rsidRPr="00347B16" w:rsidRDefault="00145097" w:rsidP="00FB32AC">
      <w:pPr>
        <w:jc w:val="both"/>
        <w:rPr>
          <w:szCs w:val="20"/>
        </w:rPr>
      </w:pPr>
      <w:r w:rsidRPr="00347B16">
        <w:rPr>
          <w:szCs w:val="20"/>
        </w:rPr>
        <w:t>(2) Kritické logy sa chránia proti neoprávnenej zmene a výmazu režimom iba dopĺňania, nemenným úložiskom, WORM alebo rovnocenným opatrením, kontrolou integrity, zálohami a pravidelným testom obnoviteľnosti.</w:t>
      </w:r>
    </w:p>
    <w:p w14:paraId="78EBBB03" w14:textId="77777777" w:rsidR="00D63D1C" w:rsidRPr="00347B16" w:rsidRDefault="00145097" w:rsidP="00FB32AC">
      <w:pPr>
        <w:jc w:val="both"/>
        <w:rPr>
          <w:szCs w:val="20"/>
        </w:rPr>
      </w:pPr>
      <w:r>
        <w:t xml:space="preserve">(3) Bezpečnostné logy sa centrálne uchovávajú najmenej 12 mesiacov ako regulačné minimum podľa aplikovateľných právnych predpisov. Ako štandard SP sa logy kritických systémov, privilegovaných a vzdialených prístupov, prístupov k chráneným informáciám a udalostí potrebných na vyšetrovanie uchovávajú najmenej 24 mesiacov. Najmenej 90 dní kritických logov je bezprostredne </w:t>
      </w:r>
      <w:proofErr w:type="spellStart"/>
      <w:r>
        <w:t>vyhľadateľných</w:t>
      </w:r>
      <w:proofErr w:type="spellEnd"/>
      <w:r>
        <w:t>, ak právny predpis, súťažné podklady alebo základný zmluvný vzťah neurčia prísnejšiu požiadavku.</w:t>
      </w:r>
    </w:p>
    <w:p w14:paraId="137E8166" w14:textId="77777777" w:rsidR="00D63D1C" w:rsidRPr="00347B16" w:rsidRDefault="00145097" w:rsidP="00FB32AC">
      <w:pPr>
        <w:jc w:val="both"/>
        <w:rPr>
          <w:szCs w:val="20"/>
        </w:rPr>
      </w:pPr>
      <w:r>
        <w:rPr>
          <w:szCs w:val="20"/>
        </w:rPr>
        <w:t xml:space="preserve">(4) Právny predpis, registratúrny plán, súťažné podklady, základný zmluvný vzťah alebo pozastavenie výmazu môže určiť dlhšiu dobu. Po skončení </w:t>
      </w:r>
      <w:proofErr w:type="spellStart"/>
      <w:r>
        <w:rPr>
          <w:szCs w:val="20"/>
        </w:rPr>
        <w:t>retencie</w:t>
      </w:r>
      <w:proofErr w:type="spellEnd"/>
      <w:r>
        <w:rPr>
          <w:szCs w:val="20"/>
        </w:rPr>
        <w:t xml:space="preserve"> sa logy bezpečne vymažú </w:t>
      </w:r>
      <w:proofErr w:type="spellStart"/>
      <w:r>
        <w:rPr>
          <w:szCs w:val="20"/>
        </w:rPr>
        <w:t>auditovateľným</w:t>
      </w:r>
      <w:proofErr w:type="spellEnd"/>
      <w:r>
        <w:rPr>
          <w:szCs w:val="20"/>
        </w:rPr>
        <w:t xml:space="preserve"> postupom.</w:t>
      </w:r>
    </w:p>
    <w:p w14:paraId="61A7D12E" w14:textId="77777777" w:rsidR="00D63D1C" w:rsidRPr="00347B16" w:rsidRDefault="00145097" w:rsidP="00FB32AC">
      <w:pPr>
        <w:jc w:val="both"/>
        <w:rPr>
          <w:szCs w:val="20"/>
        </w:rPr>
      </w:pPr>
      <w:r w:rsidRPr="00347B16">
        <w:rPr>
          <w:szCs w:val="20"/>
        </w:rPr>
        <w:t>(5) Čítanie, vyhľadávanie, export a správa logov sú povolené iba menovite oprávneným osobám podľa rolí a potreby poznať. Zmena a výmaz sú zakázané okrem riadeného retenčného alebo bezpečného výmazu.</w:t>
      </w:r>
    </w:p>
    <w:p w14:paraId="25F5F4F5"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6. </w:t>
      </w:r>
      <w:r w:rsidRPr="002B769B">
        <w:rPr>
          <w:rFonts w:ascii="Arial" w:eastAsia="Arial" w:hAnsi="Arial" w:cs="Arial"/>
          <w:color w:val="1F497D" w:themeColor="text2"/>
          <w:sz w:val="20"/>
          <w:szCs w:val="20"/>
          <w:u w:val="single"/>
        </w:rPr>
        <w:t>SIEM, detekcia a spracovanie upozornení</w:t>
      </w:r>
    </w:p>
    <w:p w14:paraId="41658E47" w14:textId="77777777" w:rsidR="00D63D1C" w:rsidRPr="00347B16" w:rsidRDefault="00145097" w:rsidP="00FB32AC">
      <w:pPr>
        <w:jc w:val="both"/>
        <w:rPr>
          <w:szCs w:val="20"/>
        </w:rPr>
      </w:pPr>
      <w:r w:rsidRPr="00347B16">
        <w:rPr>
          <w:szCs w:val="20"/>
        </w:rPr>
        <w:t>(1) Bezpečnostné logy sa automatizovane korelujú a vyhodnocujú podľa detekčných scenárov a rizika. Kritické upozornenia sa spracúvajú 24/7 alebo ekvivalentným schváleným režimom.</w:t>
      </w:r>
    </w:p>
    <w:p w14:paraId="537BF7E7" w14:textId="77777777" w:rsidR="00D63D1C" w:rsidRPr="00347B16" w:rsidRDefault="00145097" w:rsidP="00FB32AC">
      <w:pPr>
        <w:jc w:val="both"/>
        <w:rPr>
          <w:szCs w:val="20"/>
        </w:rPr>
      </w:pPr>
      <w:r w:rsidRPr="00347B16">
        <w:rPr>
          <w:szCs w:val="20"/>
        </w:rPr>
        <w:t xml:space="preserve">(2) Pre kritický systém sa určia scenáre najmenej pre kompromitáciu účtu, zneužitie privilégií, obchádzanie MFA/PAM, neobvyklý export údajov, vypnutie ochrany alebo logovania, bočný pohyb, škodlivý kód a vydieračský softvér, zneužitie API, </w:t>
      </w:r>
      <w:proofErr w:type="spellStart"/>
      <w:r w:rsidRPr="00347B16">
        <w:rPr>
          <w:szCs w:val="20"/>
        </w:rPr>
        <w:t>cloudu</w:t>
      </w:r>
      <w:proofErr w:type="spellEnd"/>
      <w:r w:rsidRPr="00347B16">
        <w:rPr>
          <w:szCs w:val="20"/>
        </w:rPr>
        <w:t>, kontajnera alebo AI podľa aplikovateľnosti.</w:t>
      </w:r>
    </w:p>
    <w:p w14:paraId="5A39BBE3" w14:textId="77777777" w:rsidR="003F5044" w:rsidRDefault="003F5044">
      <w:pPr>
        <w:rPr>
          <w:szCs w:val="20"/>
        </w:rPr>
      </w:pPr>
    </w:p>
    <w:p w14:paraId="41C8F396" w14:textId="77777777" w:rsidR="003F5044" w:rsidRDefault="003F5044">
      <w:pPr>
        <w:rPr>
          <w:szCs w:val="20"/>
        </w:rPr>
      </w:pPr>
    </w:p>
    <w:p w14:paraId="76CECA8C" w14:textId="77777777" w:rsidR="00D63D1C" w:rsidRPr="00347B16" w:rsidRDefault="00145097" w:rsidP="00FB32AC">
      <w:pPr>
        <w:jc w:val="both"/>
        <w:rPr>
          <w:szCs w:val="20"/>
        </w:rPr>
      </w:pPr>
      <w:r w:rsidRPr="00347B16">
        <w:rPr>
          <w:szCs w:val="20"/>
        </w:rPr>
        <w:t>(3) Scenár má vlastníka, prioritu, lehotu spracovania, postup reakcie, eskaláciu a testovací scenár. Pravidlá sa najmenej raz ročne a po významnom incidente alebo zmene preskúmajú, otestujú a zdokumentujú.</w:t>
      </w:r>
    </w:p>
    <w:p w14:paraId="4B9A70CA" w14:textId="77777777" w:rsidR="00D63D1C" w:rsidRPr="00347B16" w:rsidRDefault="00145097" w:rsidP="00FB32AC">
      <w:pPr>
        <w:jc w:val="both"/>
        <w:rPr>
          <w:szCs w:val="20"/>
        </w:rPr>
      </w:pPr>
      <w:r w:rsidRPr="00347B16">
        <w:rPr>
          <w:szCs w:val="20"/>
        </w:rPr>
        <w:t xml:space="preserve">(4) Upozornenie sa pridelí, vyhodnotí, eskaluje a uzavrie s auditnou stopou. Kritické upozornenie sa bezodkladne odovzdá </w:t>
      </w:r>
      <w:proofErr w:type="spellStart"/>
      <w:r w:rsidRPr="00347B16">
        <w:rPr>
          <w:szCs w:val="20"/>
        </w:rPr>
        <w:t>incidentnému</w:t>
      </w:r>
      <w:proofErr w:type="spellEnd"/>
      <w:r w:rsidRPr="00347B16">
        <w:rPr>
          <w:szCs w:val="20"/>
        </w:rPr>
        <w:t xml:space="preserve"> procesu.</w:t>
      </w:r>
    </w:p>
    <w:p w14:paraId="0C77B28F" w14:textId="77777777" w:rsidR="00D63D1C" w:rsidRPr="00347B16" w:rsidRDefault="00145097" w:rsidP="00FB32AC">
      <w:pPr>
        <w:jc w:val="both"/>
        <w:rPr>
          <w:szCs w:val="20"/>
        </w:rPr>
      </w:pPr>
      <w:r w:rsidRPr="00347B16">
        <w:rPr>
          <w:szCs w:val="20"/>
        </w:rPr>
        <w:t>(5) Sledujú sa najmenej pokrytie zdrojov, dostupnosť reťazca, oneskorenie príjmu, úspešnosť syntaktického spracovania, počet nespracovaných upozornení, MTTD, MTTA a úspešnosť testov detekčných scenárov.</w:t>
      </w:r>
    </w:p>
    <w:p w14:paraId="64F87DE4"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7. </w:t>
      </w:r>
      <w:proofErr w:type="spellStart"/>
      <w:r w:rsidRPr="002B769B">
        <w:rPr>
          <w:rFonts w:ascii="Arial" w:eastAsia="Arial" w:hAnsi="Arial" w:cs="Arial"/>
          <w:color w:val="1F497D" w:themeColor="text2"/>
          <w:sz w:val="20"/>
          <w:szCs w:val="20"/>
          <w:u w:val="single"/>
        </w:rPr>
        <w:t>Forenzná</w:t>
      </w:r>
      <w:proofErr w:type="spellEnd"/>
      <w:r w:rsidRPr="002B769B">
        <w:rPr>
          <w:rFonts w:ascii="Arial" w:eastAsia="Arial" w:hAnsi="Arial" w:cs="Arial"/>
          <w:color w:val="1F497D" w:themeColor="text2"/>
          <w:sz w:val="20"/>
          <w:szCs w:val="20"/>
          <w:u w:val="single"/>
        </w:rPr>
        <w:t xml:space="preserve"> použiteľnosť, dôkazy a export</w:t>
      </w:r>
    </w:p>
    <w:p w14:paraId="2255BE17" w14:textId="77777777" w:rsidR="00D63D1C" w:rsidRPr="00347B16" w:rsidRDefault="00145097" w:rsidP="00FB32AC">
      <w:pPr>
        <w:jc w:val="both"/>
        <w:rPr>
          <w:szCs w:val="20"/>
        </w:rPr>
      </w:pPr>
      <w:r w:rsidRPr="00347B16">
        <w:rPr>
          <w:szCs w:val="20"/>
        </w:rPr>
        <w:t>(1) Pri incidente, audite, kontrole alebo inom právnom dôvode sa relevantné logy, snímky, konfigurácie a metadáta zaistia bez zmeny originálu a pozastaví sa automatický výmaz alebo rotácia.</w:t>
      </w:r>
    </w:p>
    <w:p w14:paraId="7ECCD775" w14:textId="77777777" w:rsidR="00D63D1C" w:rsidRPr="00347B16" w:rsidRDefault="00145097" w:rsidP="00FB32AC">
      <w:pPr>
        <w:jc w:val="both"/>
        <w:rPr>
          <w:szCs w:val="20"/>
        </w:rPr>
      </w:pPr>
      <w:r w:rsidRPr="00347B16">
        <w:rPr>
          <w:szCs w:val="20"/>
        </w:rPr>
        <w:t xml:space="preserve">(2) </w:t>
      </w:r>
      <w:proofErr w:type="spellStart"/>
      <w:r w:rsidRPr="00347B16">
        <w:rPr>
          <w:szCs w:val="20"/>
        </w:rPr>
        <w:t>Forenzný</w:t>
      </w:r>
      <w:proofErr w:type="spellEnd"/>
      <w:r w:rsidRPr="00347B16">
        <w:rPr>
          <w:szCs w:val="20"/>
        </w:rPr>
        <w:t xml:space="preserve"> export je úplný, časovo ohraničený, v otvorenom alebo dohodnutom formáte a obsahuje opis schémy, časovej zóny a filtrov, kryptografický kontrolný súčet, identitu exportujúcej osoby a reťazec nakladania s dôkazmi.</w:t>
      </w:r>
    </w:p>
    <w:p w14:paraId="32B7339F" w14:textId="77777777" w:rsidR="00D63D1C" w:rsidRPr="00347B16" w:rsidRDefault="00145097" w:rsidP="00FB32AC">
      <w:pPr>
        <w:jc w:val="both"/>
        <w:rPr>
          <w:szCs w:val="20"/>
        </w:rPr>
      </w:pPr>
      <w:r w:rsidRPr="00347B16">
        <w:rPr>
          <w:szCs w:val="20"/>
        </w:rPr>
        <w:t>(3) Dodávateľ zabezpečí dostupnosť logov a export bez neprimeranej technickej alebo zmluvnej závislosti, aj pri migrácii, výpadku alebo skončení služby, a odovzdá schémy, syntaktické analyzátory, integračné konfigurácie a detekčné pravidlá v rozsahu zmluvných práv.</w:t>
      </w:r>
    </w:p>
    <w:p w14:paraId="5BE4E306"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8. </w:t>
      </w:r>
      <w:r w:rsidRPr="002B769B">
        <w:rPr>
          <w:rFonts w:ascii="Arial" w:eastAsia="Arial" w:hAnsi="Arial" w:cs="Arial"/>
          <w:color w:val="1F497D" w:themeColor="text2"/>
          <w:sz w:val="20"/>
          <w:szCs w:val="20"/>
          <w:u w:val="single"/>
        </w:rPr>
        <w:t>Osobitné prostredia</w:t>
      </w:r>
    </w:p>
    <w:p w14:paraId="5A3FF22C" w14:textId="77777777" w:rsidR="00D63D1C" w:rsidRPr="00347B16" w:rsidRDefault="00145097" w:rsidP="00FB32AC">
      <w:pPr>
        <w:jc w:val="both"/>
        <w:rPr>
          <w:szCs w:val="20"/>
        </w:rPr>
      </w:pPr>
      <w:r w:rsidRPr="00347B16">
        <w:rPr>
          <w:szCs w:val="20"/>
        </w:rPr>
        <w:t xml:space="preserve">(1) </w:t>
      </w:r>
      <w:proofErr w:type="spellStart"/>
      <w:r w:rsidRPr="00347B16">
        <w:rPr>
          <w:szCs w:val="20"/>
        </w:rPr>
        <w:t>Cloudové</w:t>
      </w:r>
      <w:proofErr w:type="spellEnd"/>
      <w:r w:rsidRPr="00347B16">
        <w:rPr>
          <w:szCs w:val="20"/>
        </w:rPr>
        <w:t xml:space="preserve"> logy zahŕňajú najmenej riadiacu rovinu, IAM, administrátorské operácie, KMS a tajomstvá, sieťové toky, prístupy k úložiskám, konfigurácie a zmeny pravidiel.</w:t>
      </w:r>
    </w:p>
    <w:p w14:paraId="40B6E6F9" w14:textId="77777777" w:rsidR="00D63D1C" w:rsidRPr="00347B16" w:rsidRDefault="00145097" w:rsidP="00FB32AC">
      <w:pPr>
        <w:jc w:val="both"/>
        <w:rPr>
          <w:szCs w:val="20"/>
        </w:rPr>
      </w:pPr>
      <w:r w:rsidRPr="00347B16">
        <w:rPr>
          <w:szCs w:val="20"/>
        </w:rPr>
        <w:t>(2) API logy zahŕňajú klienta alebo systémovú identitu, rolu alebo rozsah oprávnenia, koncový bod, metódu, stavový kód, čas spracovania, korelačný identifikátor, obmedzenie frekvencie a bezpečnostné odmietnutia bez citlivého obsahu požiadavky.</w:t>
      </w:r>
    </w:p>
    <w:p w14:paraId="4A466ACE" w14:textId="77777777" w:rsidR="00D63D1C" w:rsidRPr="00347B16" w:rsidRDefault="00145097" w:rsidP="00FB32AC">
      <w:pPr>
        <w:jc w:val="both"/>
        <w:rPr>
          <w:szCs w:val="20"/>
        </w:rPr>
      </w:pPr>
      <w:r w:rsidRPr="00347B16">
        <w:rPr>
          <w:szCs w:val="20"/>
        </w:rPr>
        <w:t>(3) Kontajnery a orchestrácia logujú obraz a jeho kontrolný súčet, nasadenie pracovnej záťaže, prístup k tajomstvám, spustenie príkazu, sieťové pravidlá a bezpečnostné udalosti počas behu.</w:t>
      </w:r>
    </w:p>
    <w:p w14:paraId="38DB421E" w14:textId="77777777" w:rsidR="00D63D1C" w:rsidRPr="00347B16" w:rsidRDefault="00145097" w:rsidP="00FB32AC">
      <w:pPr>
        <w:jc w:val="both"/>
        <w:rPr>
          <w:szCs w:val="20"/>
        </w:rPr>
      </w:pPr>
      <w:r w:rsidRPr="00347B16">
        <w:rPr>
          <w:szCs w:val="20"/>
        </w:rPr>
        <w:t>(4) Systém umelej inteligencie loguje verziu modelu a konfigurácie, vstupné a výstupné metadáta v minimalizovanom rozsahu, ľudský zásah, významné zmeny, bezpečnostné odmietnutia, incidenty a monitorovanie kvality a odchýlok v rozsahu dovolenom právnymi predpismi.</w:t>
      </w:r>
    </w:p>
    <w:p w14:paraId="2E28984D" w14:textId="77777777" w:rsidR="00D63D1C" w:rsidRPr="002B769B" w:rsidRDefault="00145097">
      <w:pPr>
        <w:pStyle w:val="Nadpis1"/>
        <w:rPr>
          <w:rFonts w:ascii="Arial" w:eastAsia="Arial" w:hAnsi="Arial" w:cs="Arial"/>
          <w:color w:val="1F497D" w:themeColor="text2"/>
          <w:sz w:val="20"/>
          <w:szCs w:val="20"/>
          <w:u w:val="single"/>
        </w:rPr>
      </w:pPr>
      <w:r w:rsidRPr="002B769B">
        <w:rPr>
          <w:rFonts w:ascii="Arial" w:eastAsia="Arial" w:hAnsi="Arial" w:cs="Arial"/>
          <w:color w:val="1F497D" w:themeColor="text2"/>
          <w:sz w:val="20"/>
          <w:szCs w:val="20"/>
        </w:rPr>
        <w:t xml:space="preserve">9. </w:t>
      </w:r>
      <w:r w:rsidRPr="002B769B">
        <w:rPr>
          <w:rFonts w:ascii="Arial" w:eastAsia="Arial" w:hAnsi="Arial" w:cs="Arial"/>
          <w:color w:val="1F497D" w:themeColor="text2"/>
          <w:sz w:val="20"/>
          <w:szCs w:val="20"/>
          <w:u w:val="single"/>
        </w:rPr>
        <w:t>S</w:t>
      </w:r>
      <w:r w:rsidR="002B769B">
        <w:rPr>
          <w:rFonts w:ascii="Arial" w:eastAsia="Arial" w:hAnsi="Arial" w:cs="Arial"/>
          <w:color w:val="1F497D" w:themeColor="text2"/>
          <w:sz w:val="20"/>
          <w:szCs w:val="20"/>
          <w:u w:val="single"/>
        </w:rPr>
        <w:t>úhrn bezpečnostných požiadaviek</w:t>
      </w:r>
    </w:p>
    <w:p w14:paraId="107F7E63" w14:textId="77777777" w:rsidR="00D63D1C" w:rsidRPr="00347B16" w:rsidRDefault="00145097">
      <w:pPr>
        <w:rPr>
          <w:szCs w:val="20"/>
        </w:rPr>
      </w:pPr>
      <w:r w:rsidRPr="00347B16">
        <w:t xml:space="preserve">Identifikátory sú stabilné identifikátory požiadaviek tohto Logovacieho štandardu. </w:t>
      </w:r>
    </w:p>
    <w:tbl>
      <w:tblPr>
        <w:tblW w:w="10485"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964"/>
        <w:gridCol w:w="8391"/>
        <w:gridCol w:w="1130"/>
      </w:tblGrid>
      <w:tr w:rsidR="00D63D1C" w:rsidRPr="00347B16" w14:paraId="35D322AB" w14:textId="77777777" w:rsidTr="00F07468">
        <w:trPr>
          <w:cantSplit/>
          <w:tblHeader/>
          <w:jc w:val="center"/>
        </w:trPr>
        <w:tc>
          <w:tcPr>
            <w:tcW w:w="964" w:type="dxa"/>
            <w:shd w:val="clear" w:color="auto" w:fill="1F4E78"/>
            <w:tcMar>
              <w:top w:w="65" w:type="dxa"/>
              <w:left w:w="75" w:type="dxa"/>
              <w:bottom w:w="65" w:type="dxa"/>
              <w:right w:w="75" w:type="dxa"/>
            </w:tcMar>
          </w:tcPr>
          <w:p w14:paraId="6A836279" w14:textId="77777777" w:rsidR="00D63D1C" w:rsidRPr="00347B16" w:rsidRDefault="00145097">
            <w:pPr>
              <w:spacing w:after="30" w:line="240" w:lineRule="auto"/>
              <w:rPr>
                <w:szCs w:val="20"/>
              </w:rPr>
            </w:pPr>
            <w:proofErr w:type="spellStart"/>
            <w:r w:rsidRPr="00347B16">
              <w:rPr>
                <w:b/>
                <w:color w:val="FFFFFF"/>
                <w:szCs w:val="20"/>
              </w:rPr>
              <w:t>Ref</w:t>
            </w:r>
            <w:proofErr w:type="spellEnd"/>
            <w:r w:rsidRPr="00347B16">
              <w:rPr>
                <w:b/>
                <w:color w:val="FFFFFF"/>
                <w:szCs w:val="20"/>
              </w:rPr>
              <w:t>.</w:t>
            </w:r>
          </w:p>
        </w:tc>
        <w:tc>
          <w:tcPr>
            <w:tcW w:w="8391" w:type="dxa"/>
            <w:shd w:val="clear" w:color="auto" w:fill="1F4E78"/>
            <w:tcMar>
              <w:top w:w="65" w:type="dxa"/>
              <w:left w:w="75" w:type="dxa"/>
              <w:bottom w:w="65" w:type="dxa"/>
              <w:right w:w="75" w:type="dxa"/>
            </w:tcMar>
          </w:tcPr>
          <w:p w14:paraId="6746CD5F" w14:textId="77777777" w:rsidR="00D63D1C" w:rsidRPr="00347B16" w:rsidRDefault="00145097">
            <w:pPr>
              <w:spacing w:after="30" w:line="240" w:lineRule="auto"/>
              <w:rPr>
                <w:szCs w:val="20"/>
              </w:rPr>
            </w:pPr>
            <w:r w:rsidRPr="00347B16">
              <w:rPr>
                <w:b/>
                <w:color w:val="FFFFFF"/>
                <w:szCs w:val="20"/>
              </w:rPr>
              <w:t>Požiadavka</w:t>
            </w:r>
          </w:p>
        </w:tc>
        <w:tc>
          <w:tcPr>
            <w:tcW w:w="1130" w:type="dxa"/>
            <w:shd w:val="clear" w:color="auto" w:fill="1F4E78"/>
            <w:tcMar>
              <w:top w:w="65" w:type="dxa"/>
              <w:left w:w="75" w:type="dxa"/>
              <w:bottom w:w="65" w:type="dxa"/>
              <w:right w:w="75" w:type="dxa"/>
            </w:tcMar>
          </w:tcPr>
          <w:p w14:paraId="64011EB9" w14:textId="77777777" w:rsidR="00D63D1C" w:rsidRPr="00347B16" w:rsidRDefault="00145097">
            <w:pPr>
              <w:spacing w:after="30" w:line="240" w:lineRule="auto"/>
              <w:rPr>
                <w:szCs w:val="20"/>
              </w:rPr>
            </w:pPr>
            <w:proofErr w:type="spellStart"/>
            <w:r w:rsidRPr="00347B16">
              <w:rPr>
                <w:b/>
                <w:color w:val="FFFFFF"/>
                <w:szCs w:val="20"/>
              </w:rPr>
              <w:t>MoSCoW</w:t>
            </w:r>
            <w:proofErr w:type="spellEnd"/>
          </w:p>
        </w:tc>
      </w:tr>
      <w:tr w:rsidR="00D63D1C" w:rsidRPr="00347B16" w14:paraId="579F527F" w14:textId="77777777" w:rsidTr="00F07468">
        <w:trPr>
          <w:cantSplit/>
          <w:jc w:val="center"/>
        </w:trPr>
        <w:tc>
          <w:tcPr>
            <w:tcW w:w="964" w:type="dxa"/>
            <w:tcMar>
              <w:top w:w="65" w:type="dxa"/>
              <w:left w:w="75" w:type="dxa"/>
              <w:bottom w:w="65" w:type="dxa"/>
              <w:right w:w="75" w:type="dxa"/>
            </w:tcMar>
            <w:vAlign w:val="center"/>
          </w:tcPr>
          <w:p w14:paraId="56D036DF" w14:textId="77777777" w:rsidR="00103A81" w:rsidRPr="00347B16" w:rsidRDefault="00347B16">
            <w:pPr>
              <w:spacing w:after="0"/>
            </w:pPr>
            <w:r w:rsidRPr="00347B16">
              <w:rPr>
                <w:sz w:val="18"/>
              </w:rPr>
              <w:t>LOG-001</w:t>
            </w:r>
          </w:p>
        </w:tc>
        <w:tc>
          <w:tcPr>
            <w:tcW w:w="8391" w:type="dxa"/>
            <w:tcMar>
              <w:top w:w="65" w:type="dxa"/>
              <w:left w:w="75" w:type="dxa"/>
              <w:bottom w:w="65" w:type="dxa"/>
              <w:right w:w="75" w:type="dxa"/>
            </w:tcMar>
          </w:tcPr>
          <w:p w14:paraId="1D1FB149" w14:textId="77777777" w:rsidR="00D63D1C" w:rsidRPr="00347B16" w:rsidRDefault="00145097">
            <w:pPr>
              <w:spacing w:after="30" w:line="240" w:lineRule="auto"/>
              <w:rPr>
                <w:szCs w:val="20"/>
              </w:rPr>
            </w:pPr>
            <w:r w:rsidRPr="00347B16">
              <w:rPr>
                <w:szCs w:val="20"/>
              </w:rPr>
              <w:t>Implementovať logovanie všetkých bezpečnostne a prevádzkovo relevantných udalostí podľa logovacieho profilu.</w:t>
            </w:r>
          </w:p>
        </w:tc>
        <w:tc>
          <w:tcPr>
            <w:tcW w:w="1130" w:type="dxa"/>
            <w:tcMar>
              <w:top w:w="65" w:type="dxa"/>
              <w:left w:w="75" w:type="dxa"/>
              <w:bottom w:w="65" w:type="dxa"/>
              <w:right w:w="75" w:type="dxa"/>
            </w:tcMar>
          </w:tcPr>
          <w:p w14:paraId="63695634"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5FE6EBF4" w14:textId="77777777" w:rsidTr="00F07468">
        <w:trPr>
          <w:cantSplit/>
          <w:jc w:val="center"/>
        </w:trPr>
        <w:tc>
          <w:tcPr>
            <w:tcW w:w="964" w:type="dxa"/>
            <w:shd w:val="clear" w:color="auto" w:fill="F2F2F2"/>
            <w:tcMar>
              <w:top w:w="65" w:type="dxa"/>
              <w:left w:w="75" w:type="dxa"/>
              <w:bottom w:w="65" w:type="dxa"/>
              <w:right w:w="75" w:type="dxa"/>
            </w:tcMar>
            <w:vAlign w:val="center"/>
          </w:tcPr>
          <w:p w14:paraId="78264BB7" w14:textId="77777777" w:rsidR="00103A81" w:rsidRPr="00347B16" w:rsidRDefault="00347B16">
            <w:pPr>
              <w:spacing w:after="0"/>
            </w:pPr>
            <w:r w:rsidRPr="00347B16">
              <w:rPr>
                <w:sz w:val="18"/>
              </w:rPr>
              <w:t>LOG-002</w:t>
            </w:r>
          </w:p>
        </w:tc>
        <w:tc>
          <w:tcPr>
            <w:tcW w:w="8391" w:type="dxa"/>
            <w:shd w:val="clear" w:color="auto" w:fill="F2F2F2"/>
            <w:tcMar>
              <w:top w:w="65" w:type="dxa"/>
              <w:left w:w="75" w:type="dxa"/>
              <w:bottom w:w="65" w:type="dxa"/>
              <w:right w:w="75" w:type="dxa"/>
            </w:tcMar>
          </w:tcPr>
          <w:p w14:paraId="2AB3C12D" w14:textId="77777777" w:rsidR="00D63D1C" w:rsidRPr="00347B16" w:rsidRDefault="00145097">
            <w:pPr>
              <w:spacing w:after="30" w:line="240" w:lineRule="auto"/>
              <w:rPr>
                <w:szCs w:val="20"/>
              </w:rPr>
            </w:pPr>
            <w:r w:rsidRPr="00347B16">
              <w:rPr>
                <w:szCs w:val="20"/>
              </w:rPr>
              <w:t>Zaznamenávať autentifikácie, odhlásenia, zablokovania a udalosti MFA.</w:t>
            </w:r>
          </w:p>
        </w:tc>
        <w:tc>
          <w:tcPr>
            <w:tcW w:w="1130" w:type="dxa"/>
            <w:shd w:val="clear" w:color="auto" w:fill="F2F2F2"/>
            <w:tcMar>
              <w:top w:w="65" w:type="dxa"/>
              <w:left w:w="75" w:type="dxa"/>
              <w:bottom w:w="65" w:type="dxa"/>
              <w:right w:w="75" w:type="dxa"/>
            </w:tcMar>
          </w:tcPr>
          <w:p w14:paraId="6911F612"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687B14F0" w14:textId="77777777" w:rsidTr="00F07468">
        <w:trPr>
          <w:cantSplit/>
          <w:jc w:val="center"/>
        </w:trPr>
        <w:tc>
          <w:tcPr>
            <w:tcW w:w="964" w:type="dxa"/>
            <w:tcMar>
              <w:top w:w="65" w:type="dxa"/>
              <w:left w:w="75" w:type="dxa"/>
              <w:bottom w:w="65" w:type="dxa"/>
              <w:right w:w="75" w:type="dxa"/>
            </w:tcMar>
            <w:vAlign w:val="center"/>
          </w:tcPr>
          <w:p w14:paraId="4B724986" w14:textId="77777777" w:rsidR="00103A81" w:rsidRPr="00347B16" w:rsidRDefault="00347B16">
            <w:pPr>
              <w:spacing w:after="0"/>
            </w:pPr>
            <w:r w:rsidRPr="00347B16">
              <w:rPr>
                <w:sz w:val="18"/>
              </w:rPr>
              <w:t>LOG-003</w:t>
            </w:r>
          </w:p>
        </w:tc>
        <w:tc>
          <w:tcPr>
            <w:tcW w:w="8391" w:type="dxa"/>
            <w:tcMar>
              <w:top w:w="65" w:type="dxa"/>
              <w:left w:w="75" w:type="dxa"/>
              <w:bottom w:w="65" w:type="dxa"/>
              <w:right w:w="75" w:type="dxa"/>
            </w:tcMar>
          </w:tcPr>
          <w:p w14:paraId="2FE19685" w14:textId="77777777" w:rsidR="00D63D1C" w:rsidRPr="00347B16" w:rsidRDefault="00145097">
            <w:pPr>
              <w:spacing w:after="30" w:line="240" w:lineRule="auto"/>
              <w:rPr>
                <w:szCs w:val="20"/>
              </w:rPr>
            </w:pPr>
            <w:r w:rsidRPr="00347B16">
              <w:rPr>
                <w:szCs w:val="20"/>
              </w:rPr>
              <w:t>Zaznamenávať životný cyklus identít, účtov, skupín, rolí a oprávnení.</w:t>
            </w:r>
          </w:p>
        </w:tc>
        <w:tc>
          <w:tcPr>
            <w:tcW w:w="1130" w:type="dxa"/>
            <w:tcMar>
              <w:top w:w="65" w:type="dxa"/>
              <w:left w:w="75" w:type="dxa"/>
              <w:bottom w:w="65" w:type="dxa"/>
              <w:right w:w="75" w:type="dxa"/>
            </w:tcMar>
          </w:tcPr>
          <w:p w14:paraId="092C34A3"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00835CAE" w14:textId="77777777" w:rsidTr="00F07468">
        <w:trPr>
          <w:cantSplit/>
          <w:jc w:val="center"/>
        </w:trPr>
        <w:tc>
          <w:tcPr>
            <w:tcW w:w="964" w:type="dxa"/>
            <w:shd w:val="clear" w:color="auto" w:fill="F2F2F2"/>
            <w:tcMar>
              <w:top w:w="65" w:type="dxa"/>
              <w:left w:w="75" w:type="dxa"/>
              <w:bottom w:w="65" w:type="dxa"/>
              <w:right w:w="75" w:type="dxa"/>
            </w:tcMar>
            <w:vAlign w:val="center"/>
          </w:tcPr>
          <w:p w14:paraId="65380B32" w14:textId="77777777" w:rsidR="00103A81" w:rsidRPr="00347B16" w:rsidRDefault="00347B16">
            <w:pPr>
              <w:spacing w:after="0"/>
            </w:pPr>
            <w:r w:rsidRPr="00347B16">
              <w:rPr>
                <w:sz w:val="18"/>
              </w:rPr>
              <w:t>LOG-004</w:t>
            </w:r>
          </w:p>
        </w:tc>
        <w:tc>
          <w:tcPr>
            <w:tcW w:w="8391" w:type="dxa"/>
            <w:shd w:val="clear" w:color="auto" w:fill="F2F2F2"/>
            <w:tcMar>
              <w:top w:w="65" w:type="dxa"/>
              <w:left w:w="75" w:type="dxa"/>
              <w:bottom w:w="65" w:type="dxa"/>
              <w:right w:w="75" w:type="dxa"/>
            </w:tcMar>
          </w:tcPr>
          <w:p w14:paraId="1DCD7798" w14:textId="77777777" w:rsidR="00D63D1C" w:rsidRPr="00347B16" w:rsidRDefault="00145097">
            <w:pPr>
              <w:spacing w:after="30" w:line="240" w:lineRule="auto"/>
              <w:rPr>
                <w:szCs w:val="20"/>
              </w:rPr>
            </w:pPr>
            <w:r w:rsidRPr="00347B16">
              <w:rPr>
                <w:szCs w:val="20"/>
              </w:rPr>
              <w:t>Zaznamenávať prístupy a operácie s chránenými a prísne chránenými informáciami vrátane exportov a výmazov.</w:t>
            </w:r>
          </w:p>
        </w:tc>
        <w:tc>
          <w:tcPr>
            <w:tcW w:w="1130" w:type="dxa"/>
            <w:shd w:val="clear" w:color="auto" w:fill="F2F2F2"/>
            <w:tcMar>
              <w:top w:w="65" w:type="dxa"/>
              <w:left w:w="75" w:type="dxa"/>
              <w:bottom w:w="65" w:type="dxa"/>
              <w:right w:w="75" w:type="dxa"/>
            </w:tcMar>
          </w:tcPr>
          <w:p w14:paraId="5DB29657"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72CD58F9" w14:textId="77777777" w:rsidTr="00F07468">
        <w:trPr>
          <w:cantSplit/>
          <w:jc w:val="center"/>
        </w:trPr>
        <w:tc>
          <w:tcPr>
            <w:tcW w:w="964" w:type="dxa"/>
            <w:tcMar>
              <w:top w:w="65" w:type="dxa"/>
              <w:left w:w="75" w:type="dxa"/>
              <w:bottom w:w="65" w:type="dxa"/>
              <w:right w:w="75" w:type="dxa"/>
            </w:tcMar>
            <w:vAlign w:val="center"/>
          </w:tcPr>
          <w:p w14:paraId="179E364B" w14:textId="77777777" w:rsidR="00103A81" w:rsidRPr="00347B16" w:rsidRDefault="00347B16">
            <w:pPr>
              <w:spacing w:after="0"/>
            </w:pPr>
            <w:r w:rsidRPr="00347B16">
              <w:rPr>
                <w:sz w:val="18"/>
              </w:rPr>
              <w:t>LOG-005</w:t>
            </w:r>
          </w:p>
        </w:tc>
        <w:tc>
          <w:tcPr>
            <w:tcW w:w="8391" w:type="dxa"/>
            <w:tcMar>
              <w:top w:w="65" w:type="dxa"/>
              <w:left w:w="75" w:type="dxa"/>
              <w:bottom w:w="65" w:type="dxa"/>
              <w:right w:w="75" w:type="dxa"/>
            </w:tcMar>
          </w:tcPr>
          <w:p w14:paraId="072B1514" w14:textId="77777777" w:rsidR="00D63D1C" w:rsidRPr="00347B16" w:rsidRDefault="00145097">
            <w:pPr>
              <w:spacing w:after="30" w:line="240" w:lineRule="auto"/>
              <w:rPr>
                <w:szCs w:val="20"/>
              </w:rPr>
            </w:pPr>
            <w:r w:rsidRPr="00347B16">
              <w:rPr>
                <w:szCs w:val="20"/>
              </w:rPr>
              <w:t>Zaznamenávať kritické a privilegované operácie a zmeny bezpečnostného stavu.</w:t>
            </w:r>
          </w:p>
        </w:tc>
        <w:tc>
          <w:tcPr>
            <w:tcW w:w="1130" w:type="dxa"/>
            <w:tcMar>
              <w:top w:w="65" w:type="dxa"/>
              <w:left w:w="75" w:type="dxa"/>
              <w:bottom w:w="65" w:type="dxa"/>
              <w:right w:w="75" w:type="dxa"/>
            </w:tcMar>
          </w:tcPr>
          <w:p w14:paraId="1F0E4D68"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1748B99F" w14:textId="77777777" w:rsidTr="00F07468">
        <w:trPr>
          <w:cantSplit/>
          <w:jc w:val="center"/>
        </w:trPr>
        <w:tc>
          <w:tcPr>
            <w:tcW w:w="964" w:type="dxa"/>
            <w:shd w:val="clear" w:color="auto" w:fill="F2F2F2"/>
            <w:tcMar>
              <w:top w:w="65" w:type="dxa"/>
              <w:left w:w="75" w:type="dxa"/>
              <w:bottom w:w="65" w:type="dxa"/>
              <w:right w:w="75" w:type="dxa"/>
            </w:tcMar>
            <w:vAlign w:val="center"/>
          </w:tcPr>
          <w:p w14:paraId="2A2AA5C4" w14:textId="77777777" w:rsidR="00103A81" w:rsidRPr="00347B16" w:rsidRDefault="00347B16">
            <w:pPr>
              <w:spacing w:after="0"/>
            </w:pPr>
            <w:r w:rsidRPr="00347B16">
              <w:rPr>
                <w:sz w:val="18"/>
              </w:rPr>
              <w:t>LOG-006</w:t>
            </w:r>
          </w:p>
        </w:tc>
        <w:tc>
          <w:tcPr>
            <w:tcW w:w="8391" w:type="dxa"/>
            <w:shd w:val="clear" w:color="auto" w:fill="F2F2F2"/>
            <w:tcMar>
              <w:top w:w="65" w:type="dxa"/>
              <w:left w:w="75" w:type="dxa"/>
              <w:bottom w:w="65" w:type="dxa"/>
              <w:right w:w="75" w:type="dxa"/>
            </w:tcMar>
          </w:tcPr>
          <w:p w14:paraId="2A5A4FC9" w14:textId="77777777" w:rsidR="00D63D1C" w:rsidRPr="00347B16" w:rsidRDefault="00145097">
            <w:pPr>
              <w:spacing w:after="30" w:line="240" w:lineRule="auto"/>
              <w:rPr>
                <w:szCs w:val="20"/>
              </w:rPr>
            </w:pPr>
            <w:r w:rsidRPr="00347B16">
              <w:rPr>
                <w:szCs w:val="20"/>
              </w:rPr>
              <w:t>Zaznamenávať spustenie, zastavenie, zlyhanie a reštart procesov, služieb, aplikácií a integračných tokov.</w:t>
            </w:r>
          </w:p>
        </w:tc>
        <w:tc>
          <w:tcPr>
            <w:tcW w:w="1130" w:type="dxa"/>
            <w:shd w:val="clear" w:color="auto" w:fill="F2F2F2"/>
            <w:tcMar>
              <w:top w:w="65" w:type="dxa"/>
              <w:left w:w="75" w:type="dxa"/>
              <w:bottom w:w="65" w:type="dxa"/>
              <w:right w:w="75" w:type="dxa"/>
            </w:tcMar>
          </w:tcPr>
          <w:p w14:paraId="556F2A3E"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4C4C2E18" w14:textId="77777777" w:rsidTr="00F07468">
        <w:trPr>
          <w:cantSplit/>
          <w:jc w:val="center"/>
        </w:trPr>
        <w:tc>
          <w:tcPr>
            <w:tcW w:w="964" w:type="dxa"/>
            <w:tcMar>
              <w:top w:w="65" w:type="dxa"/>
              <w:left w:w="75" w:type="dxa"/>
              <w:bottom w:w="65" w:type="dxa"/>
              <w:right w:w="75" w:type="dxa"/>
            </w:tcMar>
            <w:vAlign w:val="center"/>
          </w:tcPr>
          <w:p w14:paraId="7B6AC921" w14:textId="77777777" w:rsidR="00103A81" w:rsidRPr="00347B16" w:rsidRDefault="00347B16">
            <w:pPr>
              <w:spacing w:after="0"/>
            </w:pPr>
            <w:r w:rsidRPr="00347B16">
              <w:rPr>
                <w:sz w:val="18"/>
              </w:rPr>
              <w:t>LOG-007</w:t>
            </w:r>
          </w:p>
        </w:tc>
        <w:tc>
          <w:tcPr>
            <w:tcW w:w="8391" w:type="dxa"/>
            <w:tcMar>
              <w:top w:w="65" w:type="dxa"/>
              <w:left w:w="75" w:type="dxa"/>
              <w:bottom w:w="65" w:type="dxa"/>
              <w:right w:w="75" w:type="dxa"/>
            </w:tcMar>
          </w:tcPr>
          <w:p w14:paraId="652B8748" w14:textId="77777777" w:rsidR="00D63D1C" w:rsidRPr="00347B16" w:rsidRDefault="00145097">
            <w:pPr>
              <w:spacing w:after="30" w:line="240" w:lineRule="auto"/>
              <w:rPr>
                <w:szCs w:val="20"/>
              </w:rPr>
            </w:pPr>
            <w:r w:rsidRPr="00347B16">
              <w:rPr>
                <w:szCs w:val="20"/>
              </w:rPr>
              <w:t>Zaznamenávať vzdialené a servisné prístupy vrátane relácií, zdrojov, cieľov a privilegovaných príkazov podľa technických možností.</w:t>
            </w:r>
          </w:p>
        </w:tc>
        <w:tc>
          <w:tcPr>
            <w:tcW w:w="1130" w:type="dxa"/>
            <w:tcMar>
              <w:top w:w="65" w:type="dxa"/>
              <w:left w:w="75" w:type="dxa"/>
              <w:bottom w:w="65" w:type="dxa"/>
              <w:right w:w="75" w:type="dxa"/>
            </w:tcMar>
          </w:tcPr>
          <w:p w14:paraId="0E261B8E"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562E4A6B" w14:textId="77777777" w:rsidTr="00F07468">
        <w:trPr>
          <w:cantSplit/>
          <w:jc w:val="center"/>
        </w:trPr>
        <w:tc>
          <w:tcPr>
            <w:tcW w:w="964" w:type="dxa"/>
            <w:shd w:val="clear" w:color="auto" w:fill="F2F2F2"/>
            <w:tcMar>
              <w:top w:w="65" w:type="dxa"/>
              <w:left w:w="75" w:type="dxa"/>
              <w:bottom w:w="65" w:type="dxa"/>
              <w:right w:w="75" w:type="dxa"/>
            </w:tcMar>
            <w:vAlign w:val="center"/>
          </w:tcPr>
          <w:p w14:paraId="5E8FF595" w14:textId="77777777" w:rsidR="00103A81" w:rsidRPr="00347B16" w:rsidRDefault="00347B16">
            <w:pPr>
              <w:spacing w:after="0"/>
            </w:pPr>
            <w:r w:rsidRPr="00347B16">
              <w:rPr>
                <w:sz w:val="18"/>
              </w:rPr>
              <w:t>LOG-008</w:t>
            </w:r>
          </w:p>
        </w:tc>
        <w:tc>
          <w:tcPr>
            <w:tcW w:w="8391" w:type="dxa"/>
            <w:shd w:val="clear" w:color="auto" w:fill="F2F2F2"/>
            <w:tcMar>
              <w:top w:w="65" w:type="dxa"/>
              <w:left w:w="75" w:type="dxa"/>
              <w:bottom w:w="65" w:type="dxa"/>
              <w:right w:w="75" w:type="dxa"/>
            </w:tcMar>
          </w:tcPr>
          <w:p w14:paraId="688F42F6" w14:textId="77777777" w:rsidR="00D63D1C" w:rsidRPr="00347B16" w:rsidRDefault="00145097">
            <w:pPr>
              <w:spacing w:after="30" w:line="240" w:lineRule="auto"/>
              <w:rPr>
                <w:szCs w:val="20"/>
              </w:rPr>
            </w:pPr>
            <w:r w:rsidRPr="00347B16">
              <w:rPr>
                <w:szCs w:val="20"/>
              </w:rPr>
              <w:t xml:space="preserve">Uchovávať bezpečnostné logy najmenej 12 mesiacov, kritické alebo </w:t>
            </w:r>
            <w:proofErr w:type="spellStart"/>
            <w:r w:rsidRPr="00347B16">
              <w:rPr>
                <w:szCs w:val="20"/>
              </w:rPr>
              <w:t>forenzné</w:t>
            </w:r>
            <w:proofErr w:type="spellEnd"/>
            <w:r w:rsidRPr="00347B16">
              <w:rPr>
                <w:szCs w:val="20"/>
              </w:rPr>
              <w:t xml:space="preserve"> najmenej 24 mesiacov a 90 dní kritických logov online.</w:t>
            </w:r>
          </w:p>
        </w:tc>
        <w:tc>
          <w:tcPr>
            <w:tcW w:w="1130" w:type="dxa"/>
            <w:shd w:val="clear" w:color="auto" w:fill="F2F2F2"/>
            <w:tcMar>
              <w:top w:w="65" w:type="dxa"/>
              <w:left w:w="75" w:type="dxa"/>
              <w:bottom w:w="65" w:type="dxa"/>
              <w:right w:w="75" w:type="dxa"/>
            </w:tcMar>
          </w:tcPr>
          <w:p w14:paraId="6FA8D4AF"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5E30968C" w14:textId="77777777" w:rsidTr="00F07468">
        <w:trPr>
          <w:cantSplit/>
          <w:jc w:val="center"/>
        </w:trPr>
        <w:tc>
          <w:tcPr>
            <w:tcW w:w="964" w:type="dxa"/>
            <w:tcMar>
              <w:top w:w="65" w:type="dxa"/>
              <w:left w:w="75" w:type="dxa"/>
              <w:bottom w:w="65" w:type="dxa"/>
              <w:right w:w="75" w:type="dxa"/>
            </w:tcMar>
            <w:vAlign w:val="center"/>
          </w:tcPr>
          <w:p w14:paraId="1BD30DB7" w14:textId="77777777" w:rsidR="00103A81" w:rsidRPr="00347B16" w:rsidRDefault="00347B16">
            <w:pPr>
              <w:spacing w:after="0"/>
            </w:pPr>
            <w:r w:rsidRPr="00347B16">
              <w:rPr>
                <w:sz w:val="18"/>
              </w:rPr>
              <w:lastRenderedPageBreak/>
              <w:t>LOG-009</w:t>
            </w:r>
          </w:p>
        </w:tc>
        <w:tc>
          <w:tcPr>
            <w:tcW w:w="8391" w:type="dxa"/>
            <w:tcMar>
              <w:top w:w="65" w:type="dxa"/>
              <w:left w:w="75" w:type="dxa"/>
              <w:bottom w:w="65" w:type="dxa"/>
              <w:right w:w="75" w:type="dxa"/>
            </w:tcMar>
          </w:tcPr>
          <w:p w14:paraId="4218DD30" w14:textId="77777777" w:rsidR="00D63D1C" w:rsidRPr="00347B16" w:rsidRDefault="00145097">
            <w:pPr>
              <w:spacing w:after="30" w:line="240" w:lineRule="auto"/>
              <w:rPr>
                <w:szCs w:val="20"/>
              </w:rPr>
            </w:pPr>
            <w:r w:rsidRPr="00347B16">
              <w:rPr>
                <w:szCs w:val="20"/>
              </w:rPr>
              <w:t>Podporovať bezpečný prenos do centrálnej platformy v schválenom strojovo spracovateľnom formáte.</w:t>
            </w:r>
          </w:p>
        </w:tc>
        <w:tc>
          <w:tcPr>
            <w:tcW w:w="1130" w:type="dxa"/>
            <w:tcMar>
              <w:top w:w="65" w:type="dxa"/>
              <w:left w:w="75" w:type="dxa"/>
              <w:bottom w:w="65" w:type="dxa"/>
              <w:right w:w="75" w:type="dxa"/>
            </w:tcMar>
          </w:tcPr>
          <w:p w14:paraId="755F1112"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7987748E" w14:textId="77777777" w:rsidTr="00F07468">
        <w:trPr>
          <w:cantSplit/>
          <w:jc w:val="center"/>
        </w:trPr>
        <w:tc>
          <w:tcPr>
            <w:tcW w:w="964" w:type="dxa"/>
            <w:shd w:val="clear" w:color="auto" w:fill="F2F2F2"/>
            <w:tcMar>
              <w:top w:w="65" w:type="dxa"/>
              <w:left w:w="75" w:type="dxa"/>
              <w:bottom w:w="65" w:type="dxa"/>
              <w:right w:w="75" w:type="dxa"/>
            </w:tcMar>
            <w:vAlign w:val="center"/>
          </w:tcPr>
          <w:p w14:paraId="0A4C2AC3" w14:textId="77777777" w:rsidR="00103A81" w:rsidRPr="00347B16" w:rsidRDefault="00347B16">
            <w:pPr>
              <w:spacing w:after="0"/>
            </w:pPr>
            <w:r w:rsidRPr="00347B16">
              <w:rPr>
                <w:sz w:val="18"/>
              </w:rPr>
              <w:t>LOG-010</w:t>
            </w:r>
          </w:p>
        </w:tc>
        <w:tc>
          <w:tcPr>
            <w:tcW w:w="8391" w:type="dxa"/>
            <w:shd w:val="clear" w:color="auto" w:fill="F2F2F2"/>
            <w:tcMar>
              <w:top w:w="65" w:type="dxa"/>
              <w:left w:w="75" w:type="dxa"/>
              <w:bottom w:w="65" w:type="dxa"/>
              <w:right w:w="75" w:type="dxa"/>
            </w:tcMar>
          </w:tcPr>
          <w:p w14:paraId="659F5604" w14:textId="77777777" w:rsidR="00D63D1C" w:rsidRPr="00347B16" w:rsidRDefault="00145097">
            <w:pPr>
              <w:spacing w:after="30" w:line="240" w:lineRule="auto"/>
              <w:rPr>
                <w:szCs w:val="20"/>
              </w:rPr>
            </w:pPr>
            <w:r w:rsidRPr="00347B16">
              <w:rPr>
                <w:szCs w:val="20"/>
              </w:rPr>
              <w:t>Webové a API logy vytvárať štruktúrovane a citlivý obsah minimalizovať.</w:t>
            </w:r>
          </w:p>
        </w:tc>
        <w:tc>
          <w:tcPr>
            <w:tcW w:w="1130" w:type="dxa"/>
            <w:shd w:val="clear" w:color="auto" w:fill="F2F2F2"/>
            <w:tcMar>
              <w:top w:w="65" w:type="dxa"/>
              <w:left w:w="75" w:type="dxa"/>
              <w:bottom w:w="65" w:type="dxa"/>
              <w:right w:w="75" w:type="dxa"/>
            </w:tcMar>
          </w:tcPr>
          <w:p w14:paraId="383E7029"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014ED473" w14:textId="77777777" w:rsidTr="00F07468">
        <w:trPr>
          <w:cantSplit/>
          <w:jc w:val="center"/>
        </w:trPr>
        <w:tc>
          <w:tcPr>
            <w:tcW w:w="964" w:type="dxa"/>
            <w:tcMar>
              <w:top w:w="65" w:type="dxa"/>
              <w:left w:w="75" w:type="dxa"/>
              <w:bottom w:w="65" w:type="dxa"/>
              <w:right w:w="75" w:type="dxa"/>
            </w:tcMar>
            <w:vAlign w:val="center"/>
          </w:tcPr>
          <w:p w14:paraId="58A95D13" w14:textId="77777777" w:rsidR="00103A81" w:rsidRPr="00347B16" w:rsidRDefault="00347B16">
            <w:pPr>
              <w:spacing w:after="0"/>
            </w:pPr>
            <w:r w:rsidRPr="00347B16">
              <w:rPr>
                <w:sz w:val="18"/>
              </w:rPr>
              <w:t>LOG-011</w:t>
            </w:r>
          </w:p>
        </w:tc>
        <w:tc>
          <w:tcPr>
            <w:tcW w:w="8391" w:type="dxa"/>
            <w:tcMar>
              <w:top w:w="65" w:type="dxa"/>
              <w:left w:w="75" w:type="dxa"/>
              <w:bottom w:w="65" w:type="dxa"/>
              <w:right w:w="75" w:type="dxa"/>
            </w:tcMar>
          </w:tcPr>
          <w:p w14:paraId="1D9133B4" w14:textId="77777777" w:rsidR="00D63D1C" w:rsidRPr="00347B16" w:rsidRDefault="00145097">
            <w:pPr>
              <w:spacing w:after="30" w:line="240" w:lineRule="auto"/>
              <w:rPr>
                <w:szCs w:val="20"/>
              </w:rPr>
            </w:pPr>
            <w:r w:rsidRPr="00347B16">
              <w:rPr>
                <w:szCs w:val="20"/>
              </w:rPr>
              <w:t xml:space="preserve">Logy </w:t>
            </w:r>
            <w:proofErr w:type="spellStart"/>
            <w:r w:rsidRPr="00347B16">
              <w:rPr>
                <w:szCs w:val="20"/>
              </w:rPr>
              <w:t>tenantov</w:t>
            </w:r>
            <w:proofErr w:type="spellEnd"/>
            <w:r w:rsidRPr="00347B16">
              <w:rPr>
                <w:szCs w:val="20"/>
              </w:rPr>
              <w:t>, aplikácií a bezpečnostných domén jednoznačne oddeliť alebo označiť.</w:t>
            </w:r>
          </w:p>
        </w:tc>
        <w:tc>
          <w:tcPr>
            <w:tcW w:w="1130" w:type="dxa"/>
            <w:tcMar>
              <w:top w:w="65" w:type="dxa"/>
              <w:left w:w="75" w:type="dxa"/>
              <w:bottom w:w="65" w:type="dxa"/>
              <w:right w:w="75" w:type="dxa"/>
            </w:tcMar>
          </w:tcPr>
          <w:p w14:paraId="64558372"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18C1A6F5" w14:textId="77777777" w:rsidTr="00F07468">
        <w:trPr>
          <w:cantSplit/>
          <w:jc w:val="center"/>
        </w:trPr>
        <w:tc>
          <w:tcPr>
            <w:tcW w:w="964" w:type="dxa"/>
            <w:shd w:val="clear" w:color="auto" w:fill="F2F2F2"/>
            <w:tcMar>
              <w:top w:w="65" w:type="dxa"/>
              <w:left w:w="75" w:type="dxa"/>
              <w:bottom w:w="65" w:type="dxa"/>
              <w:right w:w="75" w:type="dxa"/>
            </w:tcMar>
            <w:vAlign w:val="center"/>
          </w:tcPr>
          <w:p w14:paraId="76E2E3CF" w14:textId="77777777" w:rsidR="00103A81" w:rsidRPr="00347B16" w:rsidRDefault="00347B16">
            <w:pPr>
              <w:spacing w:after="0"/>
            </w:pPr>
            <w:r w:rsidRPr="00347B16">
              <w:rPr>
                <w:sz w:val="18"/>
              </w:rPr>
              <w:t>LOG-012</w:t>
            </w:r>
          </w:p>
        </w:tc>
        <w:tc>
          <w:tcPr>
            <w:tcW w:w="8391" w:type="dxa"/>
            <w:shd w:val="clear" w:color="auto" w:fill="F2F2F2"/>
            <w:tcMar>
              <w:top w:w="65" w:type="dxa"/>
              <w:left w:w="75" w:type="dxa"/>
              <w:bottom w:w="65" w:type="dxa"/>
              <w:right w:w="75" w:type="dxa"/>
            </w:tcMar>
          </w:tcPr>
          <w:p w14:paraId="1CA86352" w14:textId="77777777" w:rsidR="00D63D1C" w:rsidRPr="00347B16" w:rsidRDefault="00145097">
            <w:pPr>
              <w:spacing w:after="30" w:line="240" w:lineRule="auto"/>
              <w:rPr>
                <w:szCs w:val="20"/>
              </w:rPr>
            </w:pPr>
            <w:r w:rsidRPr="00347B16">
              <w:rPr>
                <w:szCs w:val="20"/>
              </w:rPr>
              <w:t xml:space="preserve">Logovať povinné časové, </w:t>
            </w:r>
            <w:proofErr w:type="spellStart"/>
            <w:r w:rsidRPr="00347B16">
              <w:rPr>
                <w:szCs w:val="20"/>
              </w:rPr>
              <w:t>identitné</w:t>
            </w:r>
            <w:proofErr w:type="spellEnd"/>
            <w:r w:rsidRPr="00347B16">
              <w:rPr>
                <w:szCs w:val="20"/>
              </w:rPr>
              <w:t>, zdrojové, cieľové, akčné, výsledkové a korelačné polia.</w:t>
            </w:r>
          </w:p>
        </w:tc>
        <w:tc>
          <w:tcPr>
            <w:tcW w:w="1130" w:type="dxa"/>
            <w:shd w:val="clear" w:color="auto" w:fill="F2F2F2"/>
            <w:tcMar>
              <w:top w:w="65" w:type="dxa"/>
              <w:left w:w="75" w:type="dxa"/>
              <w:bottom w:w="65" w:type="dxa"/>
              <w:right w:w="75" w:type="dxa"/>
            </w:tcMar>
          </w:tcPr>
          <w:p w14:paraId="1C7B615D"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00C902BD" w14:textId="77777777" w:rsidTr="00F07468">
        <w:trPr>
          <w:cantSplit/>
          <w:jc w:val="center"/>
        </w:trPr>
        <w:tc>
          <w:tcPr>
            <w:tcW w:w="964" w:type="dxa"/>
            <w:tcMar>
              <w:top w:w="65" w:type="dxa"/>
              <w:left w:w="75" w:type="dxa"/>
              <w:bottom w:w="65" w:type="dxa"/>
              <w:right w:w="75" w:type="dxa"/>
            </w:tcMar>
            <w:vAlign w:val="center"/>
          </w:tcPr>
          <w:p w14:paraId="141D16EE" w14:textId="77777777" w:rsidR="00103A81" w:rsidRPr="00347B16" w:rsidRDefault="00347B16">
            <w:pPr>
              <w:spacing w:after="0"/>
            </w:pPr>
            <w:r w:rsidRPr="00347B16">
              <w:rPr>
                <w:sz w:val="18"/>
              </w:rPr>
              <w:t>LOG-013</w:t>
            </w:r>
          </w:p>
        </w:tc>
        <w:tc>
          <w:tcPr>
            <w:tcW w:w="8391" w:type="dxa"/>
            <w:tcMar>
              <w:top w:w="65" w:type="dxa"/>
              <w:left w:w="75" w:type="dxa"/>
              <w:bottom w:w="65" w:type="dxa"/>
              <w:right w:w="75" w:type="dxa"/>
            </w:tcMar>
          </w:tcPr>
          <w:p w14:paraId="3DD91BE0" w14:textId="77777777" w:rsidR="00D63D1C" w:rsidRPr="00347B16" w:rsidRDefault="00145097">
            <w:pPr>
              <w:spacing w:after="30" w:line="240" w:lineRule="auto"/>
              <w:rPr>
                <w:szCs w:val="20"/>
              </w:rPr>
            </w:pPr>
            <w:r w:rsidRPr="00347B16">
              <w:rPr>
                <w:szCs w:val="20"/>
              </w:rPr>
              <w:t>Uchovávať logy na oddelenej centrálnej platforme s oddelenými administrátorskými rolami.</w:t>
            </w:r>
          </w:p>
        </w:tc>
        <w:tc>
          <w:tcPr>
            <w:tcW w:w="1130" w:type="dxa"/>
            <w:tcMar>
              <w:top w:w="65" w:type="dxa"/>
              <w:left w:w="75" w:type="dxa"/>
              <w:bottom w:w="65" w:type="dxa"/>
              <w:right w:w="75" w:type="dxa"/>
            </w:tcMar>
          </w:tcPr>
          <w:p w14:paraId="6929BCAA"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5E2F9997" w14:textId="77777777" w:rsidTr="00F07468">
        <w:trPr>
          <w:cantSplit/>
          <w:jc w:val="center"/>
        </w:trPr>
        <w:tc>
          <w:tcPr>
            <w:tcW w:w="964" w:type="dxa"/>
            <w:shd w:val="clear" w:color="auto" w:fill="F2F2F2"/>
            <w:tcMar>
              <w:top w:w="65" w:type="dxa"/>
              <w:left w:w="75" w:type="dxa"/>
              <w:bottom w:w="65" w:type="dxa"/>
              <w:right w:w="75" w:type="dxa"/>
            </w:tcMar>
            <w:vAlign w:val="center"/>
          </w:tcPr>
          <w:p w14:paraId="0E98AF0B" w14:textId="77777777" w:rsidR="00103A81" w:rsidRPr="00347B16" w:rsidRDefault="00347B16">
            <w:pPr>
              <w:spacing w:after="0"/>
            </w:pPr>
            <w:r w:rsidRPr="00347B16">
              <w:rPr>
                <w:sz w:val="18"/>
              </w:rPr>
              <w:t>LOG-014</w:t>
            </w:r>
          </w:p>
        </w:tc>
        <w:tc>
          <w:tcPr>
            <w:tcW w:w="8391" w:type="dxa"/>
            <w:shd w:val="clear" w:color="auto" w:fill="F2F2F2"/>
            <w:tcMar>
              <w:top w:w="65" w:type="dxa"/>
              <w:left w:w="75" w:type="dxa"/>
              <w:bottom w:w="65" w:type="dxa"/>
              <w:right w:w="75" w:type="dxa"/>
            </w:tcMar>
          </w:tcPr>
          <w:p w14:paraId="68EC47C8" w14:textId="77777777" w:rsidR="00D63D1C" w:rsidRPr="00347B16" w:rsidRDefault="00145097">
            <w:pPr>
              <w:spacing w:after="30" w:line="240" w:lineRule="auto"/>
              <w:rPr>
                <w:szCs w:val="20"/>
              </w:rPr>
            </w:pPr>
            <w:r w:rsidRPr="00347B16">
              <w:rPr>
                <w:szCs w:val="20"/>
              </w:rPr>
              <w:t xml:space="preserve">Dimenzovať a monitorovať kapacitu podľa objemu, špičiek, </w:t>
            </w:r>
            <w:proofErr w:type="spellStart"/>
            <w:r w:rsidRPr="00347B16">
              <w:rPr>
                <w:szCs w:val="20"/>
              </w:rPr>
              <w:t>retencie</w:t>
            </w:r>
            <w:proofErr w:type="spellEnd"/>
            <w:r w:rsidRPr="00347B16">
              <w:rPr>
                <w:szCs w:val="20"/>
              </w:rPr>
              <w:t>, indexácie, replikácie a rezervy.</w:t>
            </w:r>
          </w:p>
        </w:tc>
        <w:tc>
          <w:tcPr>
            <w:tcW w:w="1130" w:type="dxa"/>
            <w:shd w:val="clear" w:color="auto" w:fill="F2F2F2"/>
            <w:tcMar>
              <w:top w:w="65" w:type="dxa"/>
              <w:left w:w="75" w:type="dxa"/>
              <w:bottom w:w="65" w:type="dxa"/>
              <w:right w:w="75" w:type="dxa"/>
            </w:tcMar>
          </w:tcPr>
          <w:p w14:paraId="50046019"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0E9B5A7D" w14:textId="77777777" w:rsidTr="00F07468">
        <w:trPr>
          <w:cantSplit/>
          <w:jc w:val="center"/>
        </w:trPr>
        <w:tc>
          <w:tcPr>
            <w:tcW w:w="964" w:type="dxa"/>
            <w:tcMar>
              <w:top w:w="65" w:type="dxa"/>
              <w:left w:w="75" w:type="dxa"/>
              <w:bottom w:w="65" w:type="dxa"/>
              <w:right w:w="75" w:type="dxa"/>
            </w:tcMar>
            <w:vAlign w:val="center"/>
          </w:tcPr>
          <w:p w14:paraId="3A859542" w14:textId="77777777" w:rsidR="00103A81" w:rsidRPr="00347B16" w:rsidRDefault="00347B16">
            <w:pPr>
              <w:spacing w:after="0"/>
            </w:pPr>
            <w:r w:rsidRPr="00347B16">
              <w:rPr>
                <w:sz w:val="18"/>
              </w:rPr>
              <w:t>LOG-015</w:t>
            </w:r>
          </w:p>
        </w:tc>
        <w:tc>
          <w:tcPr>
            <w:tcW w:w="8391" w:type="dxa"/>
            <w:tcMar>
              <w:top w:w="65" w:type="dxa"/>
              <w:left w:w="75" w:type="dxa"/>
              <w:bottom w:w="65" w:type="dxa"/>
              <w:right w:w="75" w:type="dxa"/>
            </w:tcMar>
          </w:tcPr>
          <w:p w14:paraId="1C5CB28C" w14:textId="77777777" w:rsidR="00D63D1C" w:rsidRPr="00347B16" w:rsidRDefault="00145097">
            <w:pPr>
              <w:spacing w:after="30" w:line="240" w:lineRule="auto"/>
              <w:rPr>
                <w:szCs w:val="20"/>
              </w:rPr>
            </w:pPr>
            <w:r w:rsidRPr="00347B16">
              <w:rPr>
                <w:szCs w:val="20"/>
              </w:rPr>
              <w:t xml:space="preserve">Zabezpečiť </w:t>
            </w:r>
            <w:proofErr w:type="spellStart"/>
            <w:r w:rsidRPr="00347B16">
              <w:rPr>
                <w:szCs w:val="20"/>
              </w:rPr>
              <w:t>retenciu</w:t>
            </w:r>
            <w:proofErr w:type="spellEnd"/>
            <w:r w:rsidRPr="00347B16">
              <w:rPr>
                <w:szCs w:val="20"/>
              </w:rPr>
              <w:t xml:space="preserve"> podľa rizika a právnych požiadaviek.</w:t>
            </w:r>
          </w:p>
        </w:tc>
        <w:tc>
          <w:tcPr>
            <w:tcW w:w="1130" w:type="dxa"/>
            <w:tcMar>
              <w:top w:w="65" w:type="dxa"/>
              <w:left w:w="75" w:type="dxa"/>
              <w:bottom w:w="65" w:type="dxa"/>
              <w:right w:w="75" w:type="dxa"/>
            </w:tcMar>
          </w:tcPr>
          <w:p w14:paraId="799EC85C"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21265781" w14:textId="77777777" w:rsidTr="00F07468">
        <w:trPr>
          <w:cantSplit/>
          <w:jc w:val="center"/>
        </w:trPr>
        <w:tc>
          <w:tcPr>
            <w:tcW w:w="964" w:type="dxa"/>
            <w:shd w:val="clear" w:color="auto" w:fill="F2F2F2"/>
            <w:tcMar>
              <w:top w:w="65" w:type="dxa"/>
              <w:left w:w="75" w:type="dxa"/>
              <w:bottom w:w="65" w:type="dxa"/>
              <w:right w:w="75" w:type="dxa"/>
            </w:tcMar>
            <w:vAlign w:val="center"/>
          </w:tcPr>
          <w:p w14:paraId="3A01A725" w14:textId="77777777" w:rsidR="00103A81" w:rsidRPr="00347B16" w:rsidRDefault="00347B16">
            <w:pPr>
              <w:spacing w:after="0"/>
            </w:pPr>
            <w:r w:rsidRPr="00347B16">
              <w:rPr>
                <w:sz w:val="18"/>
              </w:rPr>
              <w:t>LOG-016</w:t>
            </w:r>
          </w:p>
        </w:tc>
        <w:tc>
          <w:tcPr>
            <w:tcW w:w="8391" w:type="dxa"/>
            <w:shd w:val="clear" w:color="auto" w:fill="F2F2F2"/>
            <w:tcMar>
              <w:top w:w="65" w:type="dxa"/>
              <w:left w:w="75" w:type="dxa"/>
              <w:bottom w:w="65" w:type="dxa"/>
              <w:right w:w="75" w:type="dxa"/>
            </w:tcMar>
          </w:tcPr>
          <w:p w14:paraId="5FB824E7" w14:textId="77777777" w:rsidR="00D63D1C" w:rsidRPr="00347B16" w:rsidRDefault="00145097">
            <w:pPr>
              <w:spacing w:after="30" w:line="240" w:lineRule="auto"/>
              <w:rPr>
                <w:szCs w:val="20"/>
              </w:rPr>
            </w:pPr>
            <w:r w:rsidRPr="00347B16">
              <w:rPr>
                <w:szCs w:val="20"/>
              </w:rPr>
              <w:t>Logy priebežne automatizovane korelovať a vyhodnocovať podľa detekčných scenárov.</w:t>
            </w:r>
          </w:p>
        </w:tc>
        <w:tc>
          <w:tcPr>
            <w:tcW w:w="1130" w:type="dxa"/>
            <w:shd w:val="clear" w:color="auto" w:fill="F2F2F2"/>
            <w:tcMar>
              <w:top w:w="65" w:type="dxa"/>
              <w:left w:w="75" w:type="dxa"/>
              <w:bottom w:w="65" w:type="dxa"/>
              <w:right w:w="75" w:type="dxa"/>
            </w:tcMar>
          </w:tcPr>
          <w:p w14:paraId="748CD6EC"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7C19DA8C" w14:textId="77777777" w:rsidTr="00F07468">
        <w:trPr>
          <w:cantSplit/>
          <w:jc w:val="center"/>
        </w:trPr>
        <w:tc>
          <w:tcPr>
            <w:tcW w:w="964" w:type="dxa"/>
            <w:tcMar>
              <w:top w:w="65" w:type="dxa"/>
              <w:left w:w="75" w:type="dxa"/>
              <w:bottom w:w="65" w:type="dxa"/>
              <w:right w:w="75" w:type="dxa"/>
            </w:tcMar>
            <w:vAlign w:val="center"/>
          </w:tcPr>
          <w:p w14:paraId="5FB39DBE" w14:textId="77777777" w:rsidR="00103A81" w:rsidRPr="00347B16" w:rsidRDefault="00347B16">
            <w:pPr>
              <w:spacing w:after="0"/>
            </w:pPr>
            <w:r w:rsidRPr="00347B16">
              <w:rPr>
                <w:sz w:val="18"/>
              </w:rPr>
              <w:t>LOG-017</w:t>
            </w:r>
          </w:p>
        </w:tc>
        <w:tc>
          <w:tcPr>
            <w:tcW w:w="8391" w:type="dxa"/>
            <w:tcMar>
              <w:top w:w="65" w:type="dxa"/>
              <w:left w:w="75" w:type="dxa"/>
              <w:bottom w:w="65" w:type="dxa"/>
              <w:right w:w="75" w:type="dxa"/>
            </w:tcMar>
          </w:tcPr>
          <w:p w14:paraId="0AEBE7BF" w14:textId="77777777" w:rsidR="00D63D1C" w:rsidRPr="00347B16" w:rsidRDefault="00145097">
            <w:pPr>
              <w:spacing w:after="30" w:line="240" w:lineRule="auto"/>
              <w:rPr>
                <w:szCs w:val="20"/>
              </w:rPr>
            </w:pPr>
            <w:r w:rsidRPr="00347B16">
              <w:rPr>
                <w:szCs w:val="20"/>
              </w:rPr>
              <w:t>Kritické upozornenia spracúvať 24/7 alebo ekvivalentným schváleným režimom.</w:t>
            </w:r>
          </w:p>
        </w:tc>
        <w:tc>
          <w:tcPr>
            <w:tcW w:w="1130" w:type="dxa"/>
            <w:tcMar>
              <w:top w:w="65" w:type="dxa"/>
              <w:left w:w="75" w:type="dxa"/>
              <w:bottom w:w="65" w:type="dxa"/>
              <w:right w:w="75" w:type="dxa"/>
            </w:tcMar>
          </w:tcPr>
          <w:p w14:paraId="477EF257"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3679EF3E" w14:textId="77777777" w:rsidTr="00F07468">
        <w:trPr>
          <w:cantSplit/>
          <w:jc w:val="center"/>
        </w:trPr>
        <w:tc>
          <w:tcPr>
            <w:tcW w:w="964" w:type="dxa"/>
            <w:shd w:val="clear" w:color="auto" w:fill="F2F2F2"/>
            <w:tcMar>
              <w:top w:w="65" w:type="dxa"/>
              <w:left w:w="75" w:type="dxa"/>
              <w:bottom w:w="65" w:type="dxa"/>
              <w:right w:w="75" w:type="dxa"/>
            </w:tcMar>
            <w:vAlign w:val="center"/>
          </w:tcPr>
          <w:p w14:paraId="011BE314" w14:textId="77777777" w:rsidR="00103A81" w:rsidRPr="00347B16" w:rsidRDefault="00347B16">
            <w:pPr>
              <w:spacing w:after="0"/>
            </w:pPr>
            <w:r w:rsidRPr="00347B16">
              <w:rPr>
                <w:sz w:val="18"/>
              </w:rPr>
              <w:t>LOG-018</w:t>
            </w:r>
          </w:p>
        </w:tc>
        <w:tc>
          <w:tcPr>
            <w:tcW w:w="8391" w:type="dxa"/>
            <w:shd w:val="clear" w:color="auto" w:fill="F2F2F2"/>
            <w:tcMar>
              <w:top w:w="65" w:type="dxa"/>
              <w:left w:w="75" w:type="dxa"/>
              <w:bottom w:w="65" w:type="dxa"/>
              <w:right w:w="75" w:type="dxa"/>
            </w:tcMar>
          </w:tcPr>
          <w:p w14:paraId="7CC4DBAD" w14:textId="77777777" w:rsidR="00D63D1C" w:rsidRPr="00347B16" w:rsidRDefault="00145097">
            <w:pPr>
              <w:spacing w:after="30" w:line="240" w:lineRule="auto"/>
              <w:rPr>
                <w:szCs w:val="20"/>
              </w:rPr>
            </w:pPr>
            <w:r w:rsidRPr="00347B16">
              <w:rPr>
                <w:szCs w:val="20"/>
              </w:rPr>
              <w:t>Zabezpečiť presné časové značky, časovú zónu alebo UTC a monitoring odchýlky.</w:t>
            </w:r>
          </w:p>
        </w:tc>
        <w:tc>
          <w:tcPr>
            <w:tcW w:w="1130" w:type="dxa"/>
            <w:shd w:val="clear" w:color="auto" w:fill="F2F2F2"/>
            <w:tcMar>
              <w:top w:w="65" w:type="dxa"/>
              <w:left w:w="75" w:type="dxa"/>
              <w:bottom w:w="65" w:type="dxa"/>
              <w:right w:w="75" w:type="dxa"/>
            </w:tcMar>
          </w:tcPr>
          <w:p w14:paraId="5AD787E6"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10A8B632" w14:textId="77777777" w:rsidTr="00F07468">
        <w:trPr>
          <w:cantSplit/>
          <w:jc w:val="center"/>
        </w:trPr>
        <w:tc>
          <w:tcPr>
            <w:tcW w:w="964" w:type="dxa"/>
            <w:tcMar>
              <w:top w:w="65" w:type="dxa"/>
              <w:left w:w="75" w:type="dxa"/>
              <w:bottom w:w="65" w:type="dxa"/>
              <w:right w:w="75" w:type="dxa"/>
            </w:tcMar>
            <w:vAlign w:val="center"/>
          </w:tcPr>
          <w:p w14:paraId="5A729942" w14:textId="77777777" w:rsidR="00103A81" w:rsidRPr="00347B16" w:rsidRDefault="00347B16">
            <w:pPr>
              <w:spacing w:after="0"/>
            </w:pPr>
            <w:r w:rsidRPr="00347B16">
              <w:rPr>
                <w:sz w:val="18"/>
              </w:rPr>
              <w:t>LOG-019</w:t>
            </w:r>
          </w:p>
        </w:tc>
        <w:tc>
          <w:tcPr>
            <w:tcW w:w="8391" w:type="dxa"/>
            <w:tcMar>
              <w:top w:w="65" w:type="dxa"/>
              <w:left w:w="75" w:type="dxa"/>
              <w:bottom w:w="65" w:type="dxa"/>
              <w:right w:w="75" w:type="dxa"/>
            </w:tcMar>
          </w:tcPr>
          <w:p w14:paraId="737EFDA1" w14:textId="77777777" w:rsidR="00D63D1C" w:rsidRPr="00347B16" w:rsidRDefault="00145097">
            <w:pPr>
              <w:spacing w:after="30" w:line="240" w:lineRule="auto"/>
              <w:rPr>
                <w:szCs w:val="20"/>
              </w:rPr>
            </w:pPr>
            <w:r w:rsidRPr="00347B16">
              <w:rPr>
                <w:szCs w:val="20"/>
              </w:rPr>
              <w:t>Používať autentifikovaný a redundantný časový zdroj podľa rizika.</w:t>
            </w:r>
          </w:p>
        </w:tc>
        <w:tc>
          <w:tcPr>
            <w:tcW w:w="1130" w:type="dxa"/>
            <w:tcMar>
              <w:top w:w="65" w:type="dxa"/>
              <w:left w:w="75" w:type="dxa"/>
              <w:bottom w:w="65" w:type="dxa"/>
              <w:right w:w="75" w:type="dxa"/>
            </w:tcMar>
          </w:tcPr>
          <w:p w14:paraId="066DDAA3" w14:textId="77777777" w:rsidR="00D63D1C" w:rsidRPr="00203497" w:rsidRDefault="00145097" w:rsidP="00203497">
            <w:pPr>
              <w:spacing w:after="30" w:line="240" w:lineRule="auto"/>
              <w:jc w:val="center"/>
              <w:rPr>
                <w:b/>
                <w:szCs w:val="20"/>
              </w:rPr>
            </w:pPr>
            <w:r w:rsidRPr="00203497">
              <w:rPr>
                <w:b/>
                <w:color w:val="FFC000"/>
                <w:szCs w:val="20"/>
              </w:rPr>
              <w:t>S</w:t>
            </w:r>
          </w:p>
        </w:tc>
      </w:tr>
      <w:tr w:rsidR="00D63D1C" w:rsidRPr="00347B16" w14:paraId="66142879" w14:textId="77777777" w:rsidTr="00F07468">
        <w:trPr>
          <w:cantSplit/>
          <w:jc w:val="center"/>
        </w:trPr>
        <w:tc>
          <w:tcPr>
            <w:tcW w:w="964" w:type="dxa"/>
            <w:shd w:val="clear" w:color="auto" w:fill="F2F2F2"/>
            <w:tcMar>
              <w:top w:w="65" w:type="dxa"/>
              <w:left w:w="75" w:type="dxa"/>
              <w:bottom w:w="65" w:type="dxa"/>
              <w:right w:w="75" w:type="dxa"/>
            </w:tcMar>
            <w:vAlign w:val="center"/>
          </w:tcPr>
          <w:p w14:paraId="0F100466" w14:textId="77777777" w:rsidR="00103A81" w:rsidRPr="00347B16" w:rsidRDefault="00347B16">
            <w:pPr>
              <w:spacing w:after="0"/>
            </w:pPr>
            <w:r w:rsidRPr="00347B16">
              <w:rPr>
                <w:sz w:val="18"/>
              </w:rPr>
              <w:t>LOG-020</w:t>
            </w:r>
          </w:p>
        </w:tc>
        <w:tc>
          <w:tcPr>
            <w:tcW w:w="8391" w:type="dxa"/>
            <w:shd w:val="clear" w:color="auto" w:fill="F2F2F2"/>
            <w:tcMar>
              <w:top w:w="65" w:type="dxa"/>
              <w:left w:w="75" w:type="dxa"/>
              <w:bottom w:w="65" w:type="dxa"/>
              <w:right w:w="75" w:type="dxa"/>
            </w:tcMar>
          </w:tcPr>
          <w:p w14:paraId="4A20C900" w14:textId="77777777" w:rsidR="00D63D1C" w:rsidRPr="00347B16" w:rsidRDefault="00145097">
            <w:pPr>
              <w:spacing w:after="30" w:line="240" w:lineRule="auto"/>
              <w:rPr>
                <w:szCs w:val="20"/>
              </w:rPr>
            </w:pPr>
            <w:r w:rsidRPr="00347B16">
              <w:rPr>
                <w:szCs w:val="20"/>
              </w:rPr>
              <w:t>Synchronizovať relevantné zdroje a zberné komponenty s dôveryhodným časovým zdrojom.</w:t>
            </w:r>
          </w:p>
        </w:tc>
        <w:tc>
          <w:tcPr>
            <w:tcW w:w="1130" w:type="dxa"/>
            <w:shd w:val="clear" w:color="auto" w:fill="F2F2F2"/>
            <w:tcMar>
              <w:top w:w="65" w:type="dxa"/>
              <w:left w:w="75" w:type="dxa"/>
              <w:bottom w:w="65" w:type="dxa"/>
              <w:right w:w="75" w:type="dxa"/>
            </w:tcMar>
          </w:tcPr>
          <w:p w14:paraId="0D3EABE3"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4E9E4AB8" w14:textId="77777777" w:rsidTr="00F07468">
        <w:trPr>
          <w:cantSplit/>
          <w:jc w:val="center"/>
        </w:trPr>
        <w:tc>
          <w:tcPr>
            <w:tcW w:w="964" w:type="dxa"/>
            <w:tcMar>
              <w:top w:w="65" w:type="dxa"/>
              <w:left w:w="75" w:type="dxa"/>
              <w:bottom w:w="65" w:type="dxa"/>
              <w:right w:w="75" w:type="dxa"/>
            </w:tcMar>
            <w:vAlign w:val="center"/>
          </w:tcPr>
          <w:p w14:paraId="1BF2D553" w14:textId="77777777" w:rsidR="00103A81" w:rsidRPr="00347B16" w:rsidRDefault="00347B16">
            <w:pPr>
              <w:spacing w:after="0"/>
            </w:pPr>
            <w:r w:rsidRPr="00347B16">
              <w:rPr>
                <w:sz w:val="18"/>
              </w:rPr>
              <w:t>LOG-021</w:t>
            </w:r>
          </w:p>
        </w:tc>
        <w:tc>
          <w:tcPr>
            <w:tcW w:w="8391" w:type="dxa"/>
            <w:tcMar>
              <w:top w:w="65" w:type="dxa"/>
              <w:left w:w="75" w:type="dxa"/>
              <w:bottom w:w="65" w:type="dxa"/>
              <w:right w:w="75" w:type="dxa"/>
            </w:tcMar>
          </w:tcPr>
          <w:p w14:paraId="7095C5E2" w14:textId="77777777" w:rsidR="00D63D1C" w:rsidRPr="00347B16" w:rsidRDefault="00145097">
            <w:pPr>
              <w:spacing w:after="30" w:line="240" w:lineRule="auto"/>
              <w:rPr>
                <w:szCs w:val="20"/>
              </w:rPr>
            </w:pPr>
            <w:r w:rsidRPr="00347B16">
              <w:rPr>
                <w:szCs w:val="20"/>
              </w:rPr>
              <w:t>Zabrániť, aby zaplnenie úložiska ovplyvnilo stabilitu alebo spôsobilo tichú stratu logov.</w:t>
            </w:r>
          </w:p>
        </w:tc>
        <w:tc>
          <w:tcPr>
            <w:tcW w:w="1130" w:type="dxa"/>
            <w:tcMar>
              <w:top w:w="65" w:type="dxa"/>
              <w:left w:w="75" w:type="dxa"/>
              <w:bottom w:w="65" w:type="dxa"/>
              <w:right w:w="75" w:type="dxa"/>
            </w:tcMar>
          </w:tcPr>
          <w:p w14:paraId="4E82A334"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21CB22A8" w14:textId="77777777" w:rsidTr="00F07468">
        <w:trPr>
          <w:cantSplit/>
          <w:jc w:val="center"/>
        </w:trPr>
        <w:tc>
          <w:tcPr>
            <w:tcW w:w="964" w:type="dxa"/>
            <w:shd w:val="clear" w:color="auto" w:fill="F2F2F2"/>
            <w:tcMar>
              <w:top w:w="65" w:type="dxa"/>
              <w:left w:w="75" w:type="dxa"/>
              <w:bottom w:w="65" w:type="dxa"/>
              <w:right w:w="75" w:type="dxa"/>
            </w:tcMar>
            <w:vAlign w:val="center"/>
          </w:tcPr>
          <w:p w14:paraId="62563C6A" w14:textId="77777777" w:rsidR="00103A81" w:rsidRPr="00347B16" w:rsidRDefault="00347B16">
            <w:pPr>
              <w:spacing w:after="0"/>
            </w:pPr>
            <w:r w:rsidRPr="00347B16">
              <w:rPr>
                <w:sz w:val="18"/>
              </w:rPr>
              <w:t>LOG-022</w:t>
            </w:r>
          </w:p>
        </w:tc>
        <w:tc>
          <w:tcPr>
            <w:tcW w:w="8391" w:type="dxa"/>
            <w:shd w:val="clear" w:color="auto" w:fill="F2F2F2"/>
            <w:tcMar>
              <w:top w:w="65" w:type="dxa"/>
              <w:left w:w="75" w:type="dxa"/>
              <w:bottom w:w="65" w:type="dxa"/>
              <w:right w:w="75" w:type="dxa"/>
            </w:tcMar>
          </w:tcPr>
          <w:p w14:paraId="54C425A1" w14:textId="77777777" w:rsidR="00D63D1C" w:rsidRPr="00347B16" w:rsidRDefault="00145097">
            <w:pPr>
              <w:spacing w:after="30" w:line="240" w:lineRule="auto"/>
              <w:rPr>
                <w:szCs w:val="20"/>
              </w:rPr>
            </w:pPr>
            <w:r w:rsidRPr="00347B16">
              <w:rPr>
                <w:szCs w:val="20"/>
              </w:rPr>
              <w:t>Použiť oddelené úložisko alebo partíciu, riadenú rotáciu, limity, upozornenia a bezpečné správanie pri poruche.</w:t>
            </w:r>
          </w:p>
        </w:tc>
        <w:tc>
          <w:tcPr>
            <w:tcW w:w="1130" w:type="dxa"/>
            <w:shd w:val="clear" w:color="auto" w:fill="F2F2F2"/>
            <w:tcMar>
              <w:top w:w="65" w:type="dxa"/>
              <w:left w:w="75" w:type="dxa"/>
              <w:bottom w:w="65" w:type="dxa"/>
              <w:right w:w="75" w:type="dxa"/>
            </w:tcMar>
          </w:tcPr>
          <w:p w14:paraId="1CF5E66A" w14:textId="77777777" w:rsidR="00D63D1C" w:rsidRPr="00347B16" w:rsidRDefault="00145097" w:rsidP="00203497">
            <w:pPr>
              <w:spacing w:after="30" w:line="240" w:lineRule="auto"/>
              <w:jc w:val="center"/>
              <w:rPr>
                <w:szCs w:val="20"/>
              </w:rPr>
            </w:pPr>
            <w:r w:rsidRPr="00203497">
              <w:rPr>
                <w:b/>
                <w:color w:val="FFC000"/>
                <w:szCs w:val="20"/>
              </w:rPr>
              <w:t>S</w:t>
            </w:r>
          </w:p>
        </w:tc>
      </w:tr>
      <w:tr w:rsidR="00D63D1C" w:rsidRPr="00347B16" w14:paraId="39A2186A" w14:textId="77777777" w:rsidTr="00F07468">
        <w:trPr>
          <w:cantSplit/>
          <w:jc w:val="center"/>
        </w:trPr>
        <w:tc>
          <w:tcPr>
            <w:tcW w:w="964" w:type="dxa"/>
            <w:tcMar>
              <w:top w:w="65" w:type="dxa"/>
              <w:left w:w="75" w:type="dxa"/>
              <w:bottom w:w="65" w:type="dxa"/>
              <w:right w:w="75" w:type="dxa"/>
            </w:tcMar>
            <w:vAlign w:val="center"/>
          </w:tcPr>
          <w:p w14:paraId="560000E6" w14:textId="77777777" w:rsidR="00103A81" w:rsidRPr="00347B16" w:rsidRDefault="00347B16">
            <w:pPr>
              <w:spacing w:after="0"/>
            </w:pPr>
            <w:r w:rsidRPr="00347B16">
              <w:rPr>
                <w:sz w:val="18"/>
              </w:rPr>
              <w:t>LOG-023</w:t>
            </w:r>
          </w:p>
        </w:tc>
        <w:tc>
          <w:tcPr>
            <w:tcW w:w="8391" w:type="dxa"/>
            <w:tcMar>
              <w:top w:w="65" w:type="dxa"/>
              <w:left w:w="75" w:type="dxa"/>
              <w:bottom w:w="65" w:type="dxa"/>
              <w:right w:w="75" w:type="dxa"/>
            </w:tcMar>
          </w:tcPr>
          <w:p w14:paraId="619060FF" w14:textId="77777777" w:rsidR="00D63D1C" w:rsidRPr="00347B16" w:rsidRDefault="00145097">
            <w:pPr>
              <w:spacing w:after="30" w:line="240" w:lineRule="auto"/>
              <w:rPr>
                <w:szCs w:val="20"/>
              </w:rPr>
            </w:pPr>
            <w:r w:rsidRPr="00347B16">
              <w:rPr>
                <w:szCs w:val="20"/>
              </w:rPr>
              <w:t>Prenášať kritické logy takmer v reálnom čase, cieľovo do piatich minút.</w:t>
            </w:r>
          </w:p>
        </w:tc>
        <w:tc>
          <w:tcPr>
            <w:tcW w:w="1130" w:type="dxa"/>
            <w:tcMar>
              <w:top w:w="65" w:type="dxa"/>
              <w:left w:w="75" w:type="dxa"/>
              <w:bottom w:w="65" w:type="dxa"/>
              <w:right w:w="75" w:type="dxa"/>
            </w:tcMar>
          </w:tcPr>
          <w:p w14:paraId="388498F2"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22BCA98B" w14:textId="77777777" w:rsidTr="00F07468">
        <w:trPr>
          <w:cantSplit/>
          <w:jc w:val="center"/>
        </w:trPr>
        <w:tc>
          <w:tcPr>
            <w:tcW w:w="964" w:type="dxa"/>
            <w:shd w:val="clear" w:color="auto" w:fill="F2F2F2"/>
            <w:tcMar>
              <w:top w:w="65" w:type="dxa"/>
              <w:left w:w="75" w:type="dxa"/>
              <w:bottom w:w="65" w:type="dxa"/>
              <w:right w:w="75" w:type="dxa"/>
            </w:tcMar>
            <w:vAlign w:val="center"/>
          </w:tcPr>
          <w:p w14:paraId="3451140A" w14:textId="77777777" w:rsidR="00103A81" w:rsidRPr="00347B16" w:rsidRDefault="00347B16">
            <w:pPr>
              <w:spacing w:after="0"/>
            </w:pPr>
            <w:r w:rsidRPr="00347B16">
              <w:rPr>
                <w:sz w:val="18"/>
              </w:rPr>
              <w:t>LOG-024</w:t>
            </w:r>
          </w:p>
        </w:tc>
        <w:tc>
          <w:tcPr>
            <w:tcW w:w="8391" w:type="dxa"/>
            <w:shd w:val="clear" w:color="auto" w:fill="F2F2F2"/>
            <w:tcMar>
              <w:top w:w="65" w:type="dxa"/>
              <w:left w:w="75" w:type="dxa"/>
              <w:bottom w:w="65" w:type="dxa"/>
              <w:right w:w="75" w:type="dxa"/>
            </w:tcMar>
          </w:tcPr>
          <w:p w14:paraId="14B33571" w14:textId="77777777" w:rsidR="00D63D1C" w:rsidRPr="00347B16" w:rsidRDefault="00145097">
            <w:pPr>
              <w:spacing w:after="30" w:line="240" w:lineRule="auto"/>
              <w:rPr>
                <w:szCs w:val="20"/>
              </w:rPr>
            </w:pPr>
            <w:r w:rsidRPr="00347B16">
              <w:rPr>
                <w:szCs w:val="20"/>
              </w:rPr>
              <w:t>Povoliť prístup k logom iba menovite oprávneným osobám podľa rolí a potreby poznať.</w:t>
            </w:r>
          </w:p>
        </w:tc>
        <w:tc>
          <w:tcPr>
            <w:tcW w:w="1130" w:type="dxa"/>
            <w:shd w:val="clear" w:color="auto" w:fill="F2F2F2"/>
            <w:tcMar>
              <w:top w:w="65" w:type="dxa"/>
              <w:left w:w="75" w:type="dxa"/>
              <w:bottom w:w="65" w:type="dxa"/>
              <w:right w:w="75" w:type="dxa"/>
            </w:tcMar>
          </w:tcPr>
          <w:p w14:paraId="36908B73"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1A0998A0" w14:textId="77777777" w:rsidTr="00F07468">
        <w:trPr>
          <w:cantSplit/>
          <w:jc w:val="center"/>
        </w:trPr>
        <w:tc>
          <w:tcPr>
            <w:tcW w:w="964" w:type="dxa"/>
            <w:tcMar>
              <w:top w:w="65" w:type="dxa"/>
              <w:left w:w="75" w:type="dxa"/>
              <w:bottom w:w="65" w:type="dxa"/>
              <w:right w:w="75" w:type="dxa"/>
            </w:tcMar>
            <w:vAlign w:val="center"/>
          </w:tcPr>
          <w:p w14:paraId="05EC0142" w14:textId="77777777" w:rsidR="00103A81" w:rsidRPr="00347B16" w:rsidRDefault="00347B16">
            <w:pPr>
              <w:spacing w:after="0"/>
            </w:pPr>
            <w:r w:rsidRPr="00347B16">
              <w:rPr>
                <w:sz w:val="18"/>
              </w:rPr>
              <w:t>LOG-025</w:t>
            </w:r>
          </w:p>
        </w:tc>
        <w:tc>
          <w:tcPr>
            <w:tcW w:w="8391" w:type="dxa"/>
            <w:tcMar>
              <w:top w:w="65" w:type="dxa"/>
              <w:left w:w="75" w:type="dxa"/>
              <w:bottom w:w="65" w:type="dxa"/>
              <w:right w:w="75" w:type="dxa"/>
            </w:tcMar>
          </w:tcPr>
          <w:p w14:paraId="4D249BDB" w14:textId="77777777" w:rsidR="00D63D1C" w:rsidRPr="00347B16" w:rsidRDefault="00145097">
            <w:pPr>
              <w:spacing w:after="30" w:line="240" w:lineRule="auto"/>
              <w:rPr>
                <w:szCs w:val="20"/>
              </w:rPr>
            </w:pPr>
            <w:r w:rsidRPr="00347B16">
              <w:rPr>
                <w:szCs w:val="20"/>
              </w:rPr>
              <w:t>Chrániť kritické logy nemenným režimom, WORM alebo rovnocenným opatrením.</w:t>
            </w:r>
          </w:p>
        </w:tc>
        <w:tc>
          <w:tcPr>
            <w:tcW w:w="1130" w:type="dxa"/>
            <w:tcMar>
              <w:top w:w="65" w:type="dxa"/>
              <w:left w:w="75" w:type="dxa"/>
              <w:bottom w:w="65" w:type="dxa"/>
              <w:right w:w="75" w:type="dxa"/>
            </w:tcMar>
          </w:tcPr>
          <w:p w14:paraId="02EB2921" w14:textId="77777777" w:rsidR="00D63D1C" w:rsidRPr="00203497" w:rsidRDefault="00145097" w:rsidP="00203497">
            <w:pPr>
              <w:spacing w:after="30" w:line="240" w:lineRule="auto"/>
              <w:jc w:val="center"/>
              <w:rPr>
                <w:b/>
                <w:color w:val="FF0000"/>
                <w:szCs w:val="20"/>
              </w:rPr>
            </w:pPr>
            <w:r w:rsidRPr="00203497">
              <w:rPr>
                <w:b/>
                <w:color w:val="FF0000"/>
                <w:szCs w:val="20"/>
              </w:rPr>
              <w:t>M</w:t>
            </w:r>
          </w:p>
        </w:tc>
      </w:tr>
      <w:tr w:rsidR="00D63D1C" w:rsidRPr="00347B16" w14:paraId="7426032C" w14:textId="77777777" w:rsidTr="00F07468">
        <w:trPr>
          <w:cantSplit/>
          <w:jc w:val="center"/>
        </w:trPr>
        <w:tc>
          <w:tcPr>
            <w:tcW w:w="964" w:type="dxa"/>
            <w:shd w:val="clear" w:color="auto" w:fill="F2F2F2"/>
            <w:tcMar>
              <w:top w:w="65" w:type="dxa"/>
              <w:left w:w="75" w:type="dxa"/>
              <w:bottom w:w="65" w:type="dxa"/>
              <w:right w:w="75" w:type="dxa"/>
            </w:tcMar>
            <w:vAlign w:val="center"/>
          </w:tcPr>
          <w:p w14:paraId="16C0DB9D" w14:textId="77777777" w:rsidR="00103A81" w:rsidRPr="00347B16" w:rsidRDefault="00347B16">
            <w:pPr>
              <w:spacing w:after="0"/>
            </w:pPr>
            <w:r w:rsidRPr="00347B16">
              <w:rPr>
                <w:sz w:val="18"/>
              </w:rPr>
              <w:t>LOG-026</w:t>
            </w:r>
          </w:p>
        </w:tc>
        <w:tc>
          <w:tcPr>
            <w:tcW w:w="8391" w:type="dxa"/>
            <w:shd w:val="clear" w:color="auto" w:fill="F2F2F2"/>
            <w:tcMar>
              <w:top w:w="65" w:type="dxa"/>
              <w:left w:w="75" w:type="dxa"/>
              <w:bottom w:w="65" w:type="dxa"/>
              <w:right w:w="75" w:type="dxa"/>
            </w:tcMar>
          </w:tcPr>
          <w:p w14:paraId="1AA13646" w14:textId="77777777" w:rsidR="00D63D1C" w:rsidRPr="00347B16" w:rsidRDefault="00145097">
            <w:pPr>
              <w:spacing w:after="30" w:line="240" w:lineRule="auto"/>
              <w:rPr>
                <w:szCs w:val="20"/>
              </w:rPr>
            </w:pPr>
            <w:r w:rsidRPr="00347B16">
              <w:rPr>
                <w:szCs w:val="20"/>
              </w:rPr>
              <w:t>Chrániť archivované logy šifrovaním, kontrolou integrity a auditovaným exportom podľa klasifikácie a rizika.</w:t>
            </w:r>
          </w:p>
        </w:tc>
        <w:tc>
          <w:tcPr>
            <w:tcW w:w="1130" w:type="dxa"/>
            <w:shd w:val="clear" w:color="auto" w:fill="F2F2F2"/>
            <w:tcMar>
              <w:top w:w="65" w:type="dxa"/>
              <w:left w:w="75" w:type="dxa"/>
              <w:bottom w:w="65" w:type="dxa"/>
              <w:right w:w="75" w:type="dxa"/>
            </w:tcMar>
          </w:tcPr>
          <w:p w14:paraId="1B999743" w14:textId="77777777" w:rsidR="00D63D1C" w:rsidRPr="00347B16" w:rsidRDefault="00145097" w:rsidP="00203497">
            <w:pPr>
              <w:spacing w:after="30" w:line="240" w:lineRule="auto"/>
              <w:jc w:val="center"/>
              <w:rPr>
                <w:szCs w:val="20"/>
              </w:rPr>
            </w:pPr>
            <w:r w:rsidRPr="00203497">
              <w:rPr>
                <w:b/>
                <w:color w:val="FFC000"/>
                <w:szCs w:val="20"/>
              </w:rPr>
              <w:t>S</w:t>
            </w:r>
          </w:p>
        </w:tc>
      </w:tr>
      <w:tr w:rsidR="00D63D1C" w:rsidRPr="00347B16" w14:paraId="6372B0D2" w14:textId="77777777" w:rsidTr="00F07468">
        <w:trPr>
          <w:cantSplit/>
          <w:jc w:val="center"/>
        </w:trPr>
        <w:tc>
          <w:tcPr>
            <w:tcW w:w="964" w:type="dxa"/>
            <w:tcMar>
              <w:top w:w="65" w:type="dxa"/>
              <w:left w:w="75" w:type="dxa"/>
              <w:bottom w:w="65" w:type="dxa"/>
              <w:right w:w="75" w:type="dxa"/>
            </w:tcMar>
            <w:vAlign w:val="center"/>
          </w:tcPr>
          <w:p w14:paraId="41CF487B" w14:textId="77777777" w:rsidR="00103A81" w:rsidRPr="00347B16" w:rsidRDefault="00347B16">
            <w:pPr>
              <w:spacing w:after="0"/>
            </w:pPr>
            <w:r w:rsidRPr="00347B16">
              <w:rPr>
                <w:sz w:val="18"/>
              </w:rPr>
              <w:t>LOG-027</w:t>
            </w:r>
          </w:p>
        </w:tc>
        <w:tc>
          <w:tcPr>
            <w:tcW w:w="8391" w:type="dxa"/>
            <w:tcMar>
              <w:top w:w="65" w:type="dxa"/>
              <w:left w:w="75" w:type="dxa"/>
              <w:bottom w:w="65" w:type="dxa"/>
              <w:right w:w="75" w:type="dxa"/>
            </w:tcMar>
          </w:tcPr>
          <w:p w14:paraId="137AC6E6" w14:textId="77777777" w:rsidR="00D63D1C" w:rsidRPr="00347B16" w:rsidRDefault="00145097">
            <w:pPr>
              <w:spacing w:after="30" w:line="240" w:lineRule="auto"/>
              <w:rPr>
                <w:szCs w:val="20"/>
              </w:rPr>
            </w:pPr>
            <w:r w:rsidRPr="00347B16">
              <w:rPr>
                <w:szCs w:val="20"/>
              </w:rPr>
              <w:t xml:space="preserve">Nastaviť rozsah a </w:t>
            </w:r>
            <w:proofErr w:type="spellStart"/>
            <w:r w:rsidRPr="00347B16">
              <w:rPr>
                <w:szCs w:val="20"/>
              </w:rPr>
              <w:t>granularitu</w:t>
            </w:r>
            <w:proofErr w:type="spellEnd"/>
            <w:r w:rsidRPr="00347B16">
              <w:rPr>
                <w:szCs w:val="20"/>
              </w:rPr>
              <w:t xml:space="preserve"> logovania podľa účelu, kritickosti, klasifikácie, právnych požiadaviek a rizika.</w:t>
            </w:r>
          </w:p>
        </w:tc>
        <w:tc>
          <w:tcPr>
            <w:tcW w:w="1130" w:type="dxa"/>
            <w:tcMar>
              <w:top w:w="65" w:type="dxa"/>
              <w:left w:w="75" w:type="dxa"/>
              <w:bottom w:w="65" w:type="dxa"/>
              <w:right w:w="75" w:type="dxa"/>
            </w:tcMar>
          </w:tcPr>
          <w:p w14:paraId="78446B03" w14:textId="77777777" w:rsidR="00D63D1C" w:rsidRPr="00203497" w:rsidRDefault="00145097" w:rsidP="00203497">
            <w:pPr>
              <w:spacing w:after="30" w:line="240" w:lineRule="auto"/>
              <w:jc w:val="center"/>
              <w:rPr>
                <w:b/>
                <w:szCs w:val="20"/>
              </w:rPr>
            </w:pPr>
            <w:r w:rsidRPr="00203497">
              <w:rPr>
                <w:b/>
                <w:color w:val="FF0000"/>
                <w:szCs w:val="20"/>
              </w:rPr>
              <w:t>M</w:t>
            </w:r>
          </w:p>
        </w:tc>
      </w:tr>
    </w:tbl>
    <w:p w14:paraId="72A3D3EC" w14:textId="77777777" w:rsidR="00D63D1C" w:rsidRPr="00347B16" w:rsidRDefault="00D63D1C">
      <w:pPr>
        <w:rPr>
          <w:szCs w:val="20"/>
        </w:rPr>
      </w:pPr>
    </w:p>
    <w:p w14:paraId="14228A9F"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10. </w:t>
      </w:r>
      <w:r w:rsidRPr="002B769B">
        <w:rPr>
          <w:rFonts w:ascii="Arial" w:eastAsia="Arial" w:hAnsi="Arial" w:cs="Arial"/>
          <w:color w:val="1F497D" w:themeColor="text2"/>
          <w:sz w:val="20"/>
          <w:szCs w:val="20"/>
          <w:u w:val="single"/>
        </w:rPr>
        <w:t>Kategórie zdrojov a minimálne parametre</w:t>
      </w:r>
    </w:p>
    <w:p w14:paraId="53082985" w14:textId="77777777" w:rsidR="00103A81" w:rsidRPr="00347B16" w:rsidRDefault="00347B16" w:rsidP="00FB32AC">
      <w:pPr>
        <w:jc w:val="both"/>
      </w:pPr>
      <w:r>
        <w:t xml:space="preserve">Číselné hodnoty online dostupnosti, prenosu a </w:t>
      </w:r>
      <w:proofErr w:type="spellStart"/>
      <w:r>
        <w:t>retencie</w:t>
      </w:r>
      <w:proofErr w:type="spellEnd"/>
      <w:r>
        <w:t xml:space="preserve"> v tejto časti predstavujú bezpečnostný a prevádzkový štandard SP, pokiaľ nie sú zároveň priamym regulačným minimom. Aplikovateľný právny predpis alebo prísnejšia požiadavka určená v súťažných podkladoch alebo základnom zmluvnom vzťahu má vždy prednosť.</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850"/>
        <w:gridCol w:w="3402"/>
        <w:gridCol w:w="1417"/>
        <w:gridCol w:w="1814"/>
        <w:gridCol w:w="1361"/>
        <w:gridCol w:w="1587"/>
      </w:tblGrid>
      <w:tr w:rsidR="00D63D1C" w:rsidRPr="00347B16" w14:paraId="7894B9CB" w14:textId="77777777">
        <w:trPr>
          <w:cantSplit/>
          <w:tblHeader/>
          <w:jc w:val="center"/>
        </w:trPr>
        <w:tc>
          <w:tcPr>
            <w:tcW w:w="850" w:type="dxa"/>
            <w:shd w:val="clear" w:color="auto" w:fill="1F4E78"/>
            <w:tcMar>
              <w:top w:w="65" w:type="dxa"/>
              <w:left w:w="75" w:type="dxa"/>
              <w:bottom w:w="65" w:type="dxa"/>
              <w:right w:w="75" w:type="dxa"/>
            </w:tcMar>
          </w:tcPr>
          <w:p w14:paraId="16CAD874" w14:textId="77777777" w:rsidR="00D63D1C" w:rsidRPr="00347B16" w:rsidRDefault="00145097">
            <w:pPr>
              <w:spacing w:after="30" w:line="240" w:lineRule="auto"/>
              <w:rPr>
                <w:szCs w:val="20"/>
              </w:rPr>
            </w:pPr>
            <w:r w:rsidRPr="00347B16">
              <w:rPr>
                <w:b/>
                <w:color w:val="FFFFFF"/>
                <w:szCs w:val="20"/>
              </w:rPr>
              <w:t>Kategória</w:t>
            </w:r>
          </w:p>
        </w:tc>
        <w:tc>
          <w:tcPr>
            <w:tcW w:w="3402" w:type="dxa"/>
            <w:shd w:val="clear" w:color="auto" w:fill="1F4E78"/>
            <w:tcMar>
              <w:top w:w="65" w:type="dxa"/>
              <w:left w:w="75" w:type="dxa"/>
              <w:bottom w:w="65" w:type="dxa"/>
              <w:right w:w="75" w:type="dxa"/>
            </w:tcMar>
          </w:tcPr>
          <w:p w14:paraId="42A420DB" w14:textId="77777777" w:rsidR="00D63D1C" w:rsidRPr="00347B16" w:rsidRDefault="00145097">
            <w:pPr>
              <w:spacing w:after="30" w:line="240" w:lineRule="auto"/>
              <w:rPr>
                <w:szCs w:val="20"/>
              </w:rPr>
            </w:pPr>
            <w:r w:rsidRPr="00347B16">
              <w:rPr>
                <w:b/>
                <w:color w:val="FFFFFF"/>
                <w:szCs w:val="20"/>
              </w:rPr>
              <w:t>Typické zdroje</w:t>
            </w:r>
          </w:p>
        </w:tc>
        <w:tc>
          <w:tcPr>
            <w:tcW w:w="1417" w:type="dxa"/>
            <w:shd w:val="clear" w:color="auto" w:fill="1F4E78"/>
            <w:tcMar>
              <w:top w:w="65" w:type="dxa"/>
              <w:left w:w="75" w:type="dxa"/>
              <w:bottom w:w="65" w:type="dxa"/>
              <w:right w:w="75" w:type="dxa"/>
            </w:tcMar>
          </w:tcPr>
          <w:p w14:paraId="4870331E" w14:textId="77777777" w:rsidR="00D63D1C" w:rsidRPr="00347B16" w:rsidRDefault="00145097">
            <w:pPr>
              <w:spacing w:after="30" w:line="240" w:lineRule="auto"/>
              <w:rPr>
                <w:szCs w:val="20"/>
              </w:rPr>
            </w:pPr>
            <w:r w:rsidRPr="00347B16">
              <w:rPr>
                <w:b/>
                <w:color w:val="FFFFFF"/>
                <w:szCs w:val="20"/>
              </w:rPr>
              <w:t>Online dostupnosť</w:t>
            </w:r>
          </w:p>
        </w:tc>
        <w:tc>
          <w:tcPr>
            <w:tcW w:w="1814" w:type="dxa"/>
            <w:shd w:val="clear" w:color="auto" w:fill="1F4E78"/>
            <w:tcMar>
              <w:top w:w="65" w:type="dxa"/>
              <w:left w:w="75" w:type="dxa"/>
              <w:bottom w:w="65" w:type="dxa"/>
              <w:right w:w="75" w:type="dxa"/>
            </w:tcMar>
          </w:tcPr>
          <w:p w14:paraId="1C27BF4D" w14:textId="77777777" w:rsidR="00D63D1C" w:rsidRPr="00347B16" w:rsidRDefault="00145097">
            <w:pPr>
              <w:spacing w:after="30" w:line="240" w:lineRule="auto"/>
              <w:rPr>
                <w:szCs w:val="20"/>
              </w:rPr>
            </w:pPr>
            <w:r w:rsidRPr="00347B16">
              <w:rPr>
                <w:b/>
                <w:color w:val="FFFFFF"/>
                <w:szCs w:val="20"/>
              </w:rPr>
              <w:t>Celková retencia</w:t>
            </w:r>
          </w:p>
        </w:tc>
        <w:tc>
          <w:tcPr>
            <w:tcW w:w="1361" w:type="dxa"/>
            <w:shd w:val="clear" w:color="auto" w:fill="1F4E78"/>
            <w:tcMar>
              <w:top w:w="65" w:type="dxa"/>
              <w:left w:w="75" w:type="dxa"/>
              <w:bottom w:w="65" w:type="dxa"/>
              <w:right w:w="75" w:type="dxa"/>
            </w:tcMar>
          </w:tcPr>
          <w:p w14:paraId="627F6F7E" w14:textId="77777777" w:rsidR="00D63D1C" w:rsidRPr="00347B16" w:rsidRDefault="00145097">
            <w:pPr>
              <w:spacing w:after="30" w:line="240" w:lineRule="auto"/>
              <w:rPr>
                <w:szCs w:val="20"/>
              </w:rPr>
            </w:pPr>
            <w:r w:rsidRPr="00347B16">
              <w:rPr>
                <w:b/>
                <w:color w:val="FFFFFF"/>
                <w:szCs w:val="20"/>
              </w:rPr>
              <w:t>Prenos</w:t>
            </w:r>
          </w:p>
        </w:tc>
        <w:tc>
          <w:tcPr>
            <w:tcW w:w="1587" w:type="dxa"/>
            <w:shd w:val="clear" w:color="auto" w:fill="1F4E78"/>
            <w:tcMar>
              <w:top w:w="65" w:type="dxa"/>
              <w:left w:w="75" w:type="dxa"/>
              <w:bottom w:w="65" w:type="dxa"/>
              <w:right w:w="75" w:type="dxa"/>
            </w:tcMar>
          </w:tcPr>
          <w:p w14:paraId="11563ACD" w14:textId="77777777" w:rsidR="00D63D1C" w:rsidRPr="00347B16" w:rsidRDefault="00145097">
            <w:pPr>
              <w:spacing w:after="30" w:line="240" w:lineRule="auto"/>
              <w:rPr>
                <w:szCs w:val="20"/>
              </w:rPr>
            </w:pPr>
            <w:r w:rsidRPr="00347B16">
              <w:rPr>
                <w:b/>
                <w:color w:val="FFFFFF"/>
                <w:szCs w:val="20"/>
              </w:rPr>
              <w:t>Integrita</w:t>
            </w:r>
          </w:p>
        </w:tc>
      </w:tr>
      <w:tr w:rsidR="00D63D1C" w:rsidRPr="00347B16" w14:paraId="7D0402E4" w14:textId="77777777">
        <w:trPr>
          <w:cantSplit/>
          <w:jc w:val="center"/>
        </w:trPr>
        <w:tc>
          <w:tcPr>
            <w:tcW w:w="850" w:type="dxa"/>
            <w:tcMar>
              <w:top w:w="65" w:type="dxa"/>
              <w:left w:w="75" w:type="dxa"/>
              <w:bottom w:w="65" w:type="dxa"/>
              <w:right w:w="75" w:type="dxa"/>
            </w:tcMar>
          </w:tcPr>
          <w:p w14:paraId="125D8ED3" w14:textId="77777777" w:rsidR="00D63D1C" w:rsidRPr="00347B16" w:rsidRDefault="00145097">
            <w:pPr>
              <w:spacing w:after="30" w:line="240" w:lineRule="auto"/>
              <w:rPr>
                <w:szCs w:val="20"/>
              </w:rPr>
            </w:pPr>
            <w:r w:rsidRPr="00347B16">
              <w:rPr>
                <w:szCs w:val="20"/>
              </w:rPr>
              <w:t>SEC</w:t>
            </w:r>
          </w:p>
        </w:tc>
        <w:tc>
          <w:tcPr>
            <w:tcW w:w="3402" w:type="dxa"/>
            <w:tcMar>
              <w:top w:w="65" w:type="dxa"/>
              <w:left w:w="75" w:type="dxa"/>
              <w:bottom w:w="65" w:type="dxa"/>
              <w:right w:w="75" w:type="dxa"/>
            </w:tcMar>
          </w:tcPr>
          <w:p w14:paraId="5C5F0FAD" w14:textId="77777777" w:rsidR="00D63D1C" w:rsidRPr="00347B16" w:rsidRDefault="00145097">
            <w:pPr>
              <w:spacing w:after="30" w:line="240" w:lineRule="auto"/>
              <w:rPr>
                <w:szCs w:val="20"/>
              </w:rPr>
            </w:pPr>
            <w:r w:rsidRPr="00347B16">
              <w:rPr>
                <w:szCs w:val="20"/>
              </w:rPr>
              <w:t>Bezpečnostné nástroje a služby: EDR, IDS/IPS, VPN/ZTNA, proxy/WAF, skenery zraniteľností, firewall, router, IAM/PAM/NAC.</w:t>
            </w:r>
          </w:p>
        </w:tc>
        <w:tc>
          <w:tcPr>
            <w:tcW w:w="1417" w:type="dxa"/>
            <w:tcMar>
              <w:top w:w="65" w:type="dxa"/>
              <w:left w:w="75" w:type="dxa"/>
              <w:bottom w:w="65" w:type="dxa"/>
              <w:right w:w="75" w:type="dxa"/>
            </w:tcMar>
          </w:tcPr>
          <w:p w14:paraId="75906CFD" w14:textId="77777777" w:rsidR="00D63D1C" w:rsidRPr="00347B16" w:rsidRDefault="00145097">
            <w:pPr>
              <w:spacing w:after="30" w:line="240" w:lineRule="auto"/>
              <w:rPr>
                <w:szCs w:val="20"/>
              </w:rPr>
            </w:pPr>
            <w:r w:rsidRPr="00347B16">
              <w:rPr>
                <w:szCs w:val="20"/>
              </w:rPr>
              <w:t>min. 90 dní</w:t>
            </w:r>
          </w:p>
        </w:tc>
        <w:tc>
          <w:tcPr>
            <w:tcW w:w="1814" w:type="dxa"/>
            <w:tcMar>
              <w:top w:w="65" w:type="dxa"/>
              <w:left w:w="75" w:type="dxa"/>
              <w:bottom w:w="65" w:type="dxa"/>
              <w:right w:w="75" w:type="dxa"/>
            </w:tcMar>
          </w:tcPr>
          <w:p w14:paraId="5E87AD73" w14:textId="77777777" w:rsidR="00D63D1C" w:rsidRPr="00347B16" w:rsidRDefault="00145097">
            <w:pPr>
              <w:spacing w:after="30" w:line="240" w:lineRule="auto"/>
              <w:rPr>
                <w:szCs w:val="20"/>
              </w:rPr>
            </w:pPr>
            <w:r w:rsidRPr="00347B16">
              <w:rPr>
                <w:szCs w:val="20"/>
              </w:rPr>
              <w:t>12 až 24 mesiacov podľa kritickosti</w:t>
            </w:r>
          </w:p>
        </w:tc>
        <w:tc>
          <w:tcPr>
            <w:tcW w:w="1361" w:type="dxa"/>
            <w:tcMar>
              <w:top w:w="65" w:type="dxa"/>
              <w:left w:w="75" w:type="dxa"/>
              <w:bottom w:w="65" w:type="dxa"/>
              <w:right w:w="75" w:type="dxa"/>
            </w:tcMar>
          </w:tcPr>
          <w:p w14:paraId="3E147D98" w14:textId="77777777" w:rsidR="00D63D1C" w:rsidRPr="00347B16" w:rsidRDefault="00145097">
            <w:pPr>
              <w:spacing w:after="30" w:line="240" w:lineRule="auto"/>
              <w:rPr>
                <w:szCs w:val="20"/>
              </w:rPr>
            </w:pPr>
            <w:r w:rsidRPr="00347B16">
              <w:rPr>
                <w:szCs w:val="20"/>
              </w:rPr>
              <w:t>5 až 15 minút</w:t>
            </w:r>
          </w:p>
        </w:tc>
        <w:tc>
          <w:tcPr>
            <w:tcW w:w="1587" w:type="dxa"/>
            <w:tcMar>
              <w:top w:w="65" w:type="dxa"/>
              <w:left w:w="75" w:type="dxa"/>
              <w:bottom w:w="65" w:type="dxa"/>
              <w:right w:w="75" w:type="dxa"/>
            </w:tcMar>
          </w:tcPr>
          <w:p w14:paraId="739C50FC" w14:textId="77777777" w:rsidR="00D63D1C" w:rsidRPr="00347B16" w:rsidRDefault="00145097">
            <w:pPr>
              <w:spacing w:after="30" w:line="240" w:lineRule="auto"/>
              <w:rPr>
                <w:szCs w:val="20"/>
              </w:rPr>
            </w:pPr>
            <w:r w:rsidRPr="00347B16">
              <w:rPr>
                <w:szCs w:val="20"/>
              </w:rPr>
              <w:t>nemennosť/WORM podľa rizika</w:t>
            </w:r>
          </w:p>
        </w:tc>
      </w:tr>
      <w:tr w:rsidR="00D63D1C" w:rsidRPr="00347B16" w14:paraId="06EB025C" w14:textId="77777777">
        <w:trPr>
          <w:cantSplit/>
          <w:jc w:val="center"/>
        </w:trPr>
        <w:tc>
          <w:tcPr>
            <w:tcW w:w="850" w:type="dxa"/>
            <w:shd w:val="clear" w:color="auto" w:fill="F2F2F2"/>
            <w:tcMar>
              <w:top w:w="65" w:type="dxa"/>
              <w:left w:w="75" w:type="dxa"/>
              <w:bottom w:w="65" w:type="dxa"/>
              <w:right w:w="75" w:type="dxa"/>
            </w:tcMar>
          </w:tcPr>
          <w:p w14:paraId="314DC882" w14:textId="77777777" w:rsidR="00D63D1C" w:rsidRPr="00347B16" w:rsidRDefault="00145097">
            <w:pPr>
              <w:spacing w:after="30" w:line="240" w:lineRule="auto"/>
              <w:rPr>
                <w:szCs w:val="20"/>
              </w:rPr>
            </w:pPr>
            <w:r w:rsidRPr="00347B16">
              <w:rPr>
                <w:szCs w:val="20"/>
              </w:rPr>
              <w:t>OS</w:t>
            </w:r>
          </w:p>
        </w:tc>
        <w:tc>
          <w:tcPr>
            <w:tcW w:w="3402" w:type="dxa"/>
            <w:shd w:val="clear" w:color="auto" w:fill="F2F2F2"/>
            <w:tcMar>
              <w:top w:w="65" w:type="dxa"/>
              <w:left w:w="75" w:type="dxa"/>
              <w:bottom w:w="65" w:type="dxa"/>
              <w:right w:w="75" w:type="dxa"/>
            </w:tcMar>
          </w:tcPr>
          <w:p w14:paraId="4B3650CC" w14:textId="77777777" w:rsidR="00D63D1C" w:rsidRPr="00347B16" w:rsidRDefault="00145097">
            <w:pPr>
              <w:spacing w:after="30" w:line="240" w:lineRule="auto"/>
              <w:rPr>
                <w:szCs w:val="20"/>
              </w:rPr>
            </w:pPr>
            <w:r w:rsidRPr="00347B16">
              <w:rPr>
                <w:szCs w:val="20"/>
              </w:rPr>
              <w:t>Operačné systémy, virtualizácia, sieťové prvky, kontajnerové uzly; systémové aj auditné udalosti.</w:t>
            </w:r>
          </w:p>
        </w:tc>
        <w:tc>
          <w:tcPr>
            <w:tcW w:w="1417" w:type="dxa"/>
            <w:shd w:val="clear" w:color="auto" w:fill="F2F2F2"/>
            <w:tcMar>
              <w:top w:w="65" w:type="dxa"/>
              <w:left w:w="75" w:type="dxa"/>
              <w:bottom w:w="65" w:type="dxa"/>
              <w:right w:w="75" w:type="dxa"/>
            </w:tcMar>
          </w:tcPr>
          <w:p w14:paraId="40C161A6" w14:textId="77777777" w:rsidR="00D63D1C" w:rsidRPr="00347B16" w:rsidRDefault="00145097">
            <w:pPr>
              <w:spacing w:after="30" w:line="240" w:lineRule="auto"/>
              <w:rPr>
                <w:szCs w:val="20"/>
              </w:rPr>
            </w:pPr>
            <w:r w:rsidRPr="00347B16">
              <w:rPr>
                <w:szCs w:val="20"/>
              </w:rPr>
              <w:t>min. 90 dní pri kritických zdrojoch</w:t>
            </w:r>
          </w:p>
        </w:tc>
        <w:tc>
          <w:tcPr>
            <w:tcW w:w="1814" w:type="dxa"/>
            <w:shd w:val="clear" w:color="auto" w:fill="F2F2F2"/>
            <w:tcMar>
              <w:top w:w="65" w:type="dxa"/>
              <w:left w:w="75" w:type="dxa"/>
              <w:bottom w:w="65" w:type="dxa"/>
              <w:right w:w="75" w:type="dxa"/>
            </w:tcMar>
          </w:tcPr>
          <w:p w14:paraId="227A0A81" w14:textId="77777777" w:rsidR="00D63D1C" w:rsidRPr="00347B16" w:rsidRDefault="00145097">
            <w:pPr>
              <w:spacing w:after="30" w:line="240" w:lineRule="auto"/>
              <w:rPr>
                <w:szCs w:val="20"/>
              </w:rPr>
            </w:pPr>
            <w:r w:rsidRPr="00347B16">
              <w:rPr>
                <w:szCs w:val="20"/>
              </w:rPr>
              <w:t>12 až 24 mesiacov</w:t>
            </w:r>
          </w:p>
        </w:tc>
        <w:tc>
          <w:tcPr>
            <w:tcW w:w="1361" w:type="dxa"/>
            <w:shd w:val="clear" w:color="auto" w:fill="F2F2F2"/>
            <w:tcMar>
              <w:top w:w="65" w:type="dxa"/>
              <w:left w:w="75" w:type="dxa"/>
              <w:bottom w:w="65" w:type="dxa"/>
              <w:right w:w="75" w:type="dxa"/>
            </w:tcMar>
          </w:tcPr>
          <w:p w14:paraId="01CD7E95" w14:textId="77777777" w:rsidR="00D63D1C" w:rsidRPr="00347B16" w:rsidRDefault="00145097">
            <w:pPr>
              <w:spacing w:after="30" w:line="240" w:lineRule="auto"/>
              <w:rPr>
                <w:szCs w:val="20"/>
              </w:rPr>
            </w:pPr>
            <w:r w:rsidRPr="00347B16">
              <w:rPr>
                <w:szCs w:val="20"/>
              </w:rPr>
              <w:t>5 až 60 minút podľa rizika</w:t>
            </w:r>
          </w:p>
        </w:tc>
        <w:tc>
          <w:tcPr>
            <w:tcW w:w="1587" w:type="dxa"/>
            <w:shd w:val="clear" w:color="auto" w:fill="F2F2F2"/>
            <w:tcMar>
              <w:top w:w="65" w:type="dxa"/>
              <w:left w:w="75" w:type="dxa"/>
              <w:bottom w:w="65" w:type="dxa"/>
              <w:right w:w="75" w:type="dxa"/>
            </w:tcMar>
          </w:tcPr>
          <w:p w14:paraId="25079837" w14:textId="77777777" w:rsidR="00D63D1C" w:rsidRPr="00347B16" w:rsidRDefault="00145097">
            <w:pPr>
              <w:spacing w:after="30" w:line="240" w:lineRule="auto"/>
              <w:rPr>
                <w:szCs w:val="20"/>
              </w:rPr>
            </w:pPr>
            <w:r w:rsidRPr="00347B16">
              <w:rPr>
                <w:szCs w:val="20"/>
              </w:rPr>
              <w:t>kontrola integrity; kritické zdroje nemenné</w:t>
            </w:r>
          </w:p>
        </w:tc>
      </w:tr>
      <w:tr w:rsidR="00D63D1C" w:rsidRPr="00347B16" w14:paraId="3C377F64" w14:textId="77777777">
        <w:trPr>
          <w:cantSplit/>
          <w:jc w:val="center"/>
        </w:trPr>
        <w:tc>
          <w:tcPr>
            <w:tcW w:w="850" w:type="dxa"/>
            <w:tcMar>
              <w:top w:w="65" w:type="dxa"/>
              <w:left w:w="75" w:type="dxa"/>
              <w:bottom w:w="65" w:type="dxa"/>
              <w:right w:w="75" w:type="dxa"/>
            </w:tcMar>
          </w:tcPr>
          <w:p w14:paraId="11202BF2" w14:textId="77777777" w:rsidR="00D63D1C" w:rsidRPr="00347B16" w:rsidRDefault="00145097">
            <w:pPr>
              <w:spacing w:after="30" w:line="240" w:lineRule="auto"/>
              <w:rPr>
                <w:szCs w:val="20"/>
              </w:rPr>
            </w:pPr>
            <w:r w:rsidRPr="00347B16">
              <w:rPr>
                <w:szCs w:val="20"/>
              </w:rPr>
              <w:lastRenderedPageBreak/>
              <w:t>APP</w:t>
            </w:r>
          </w:p>
        </w:tc>
        <w:tc>
          <w:tcPr>
            <w:tcW w:w="3402" w:type="dxa"/>
            <w:tcMar>
              <w:top w:w="65" w:type="dxa"/>
              <w:left w:w="75" w:type="dxa"/>
              <w:bottom w:w="65" w:type="dxa"/>
              <w:right w:w="75" w:type="dxa"/>
            </w:tcMar>
          </w:tcPr>
          <w:p w14:paraId="4BC826CD" w14:textId="77777777" w:rsidR="00D63D1C" w:rsidRPr="00347B16" w:rsidRDefault="00145097">
            <w:pPr>
              <w:spacing w:after="30" w:line="240" w:lineRule="auto"/>
              <w:rPr>
                <w:szCs w:val="20"/>
              </w:rPr>
            </w:pPr>
            <w:r w:rsidRPr="00347B16">
              <w:rPr>
                <w:szCs w:val="20"/>
              </w:rPr>
              <w:t>Aplikácie, databázy, API, integrácie, dávky a používateľské alebo systémové transakcie.</w:t>
            </w:r>
          </w:p>
        </w:tc>
        <w:tc>
          <w:tcPr>
            <w:tcW w:w="1417" w:type="dxa"/>
            <w:tcMar>
              <w:top w:w="65" w:type="dxa"/>
              <w:left w:w="75" w:type="dxa"/>
              <w:bottom w:w="65" w:type="dxa"/>
              <w:right w:w="75" w:type="dxa"/>
            </w:tcMar>
          </w:tcPr>
          <w:p w14:paraId="67743151" w14:textId="77777777" w:rsidR="00D63D1C" w:rsidRPr="00347B16" w:rsidRDefault="00145097">
            <w:pPr>
              <w:spacing w:after="30" w:line="240" w:lineRule="auto"/>
              <w:rPr>
                <w:szCs w:val="20"/>
              </w:rPr>
            </w:pPr>
            <w:r w:rsidRPr="00347B16">
              <w:rPr>
                <w:szCs w:val="20"/>
              </w:rPr>
              <w:t>30/60/90 dní podľa rizika</w:t>
            </w:r>
          </w:p>
        </w:tc>
        <w:tc>
          <w:tcPr>
            <w:tcW w:w="1814" w:type="dxa"/>
            <w:tcMar>
              <w:top w:w="65" w:type="dxa"/>
              <w:left w:w="75" w:type="dxa"/>
              <w:bottom w:w="65" w:type="dxa"/>
              <w:right w:w="75" w:type="dxa"/>
            </w:tcMar>
          </w:tcPr>
          <w:p w14:paraId="633D9704" w14:textId="77777777" w:rsidR="00D63D1C" w:rsidRPr="00347B16" w:rsidRDefault="00145097">
            <w:pPr>
              <w:spacing w:after="30" w:line="240" w:lineRule="auto"/>
              <w:rPr>
                <w:szCs w:val="20"/>
              </w:rPr>
            </w:pPr>
            <w:r w:rsidRPr="00347B16">
              <w:rPr>
                <w:szCs w:val="20"/>
              </w:rPr>
              <w:t>min. 12 mesiacov; kritické/</w:t>
            </w:r>
            <w:proofErr w:type="spellStart"/>
            <w:r w:rsidRPr="00347B16">
              <w:rPr>
                <w:szCs w:val="20"/>
              </w:rPr>
              <w:t>forenzné</w:t>
            </w:r>
            <w:proofErr w:type="spellEnd"/>
            <w:r w:rsidRPr="00347B16">
              <w:rPr>
                <w:szCs w:val="20"/>
              </w:rPr>
              <w:t xml:space="preserve"> 24</w:t>
            </w:r>
          </w:p>
        </w:tc>
        <w:tc>
          <w:tcPr>
            <w:tcW w:w="1361" w:type="dxa"/>
            <w:tcMar>
              <w:top w:w="65" w:type="dxa"/>
              <w:left w:w="75" w:type="dxa"/>
              <w:bottom w:w="65" w:type="dxa"/>
              <w:right w:w="75" w:type="dxa"/>
            </w:tcMar>
          </w:tcPr>
          <w:p w14:paraId="35671EE2" w14:textId="77777777" w:rsidR="00D63D1C" w:rsidRPr="00347B16" w:rsidRDefault="00145097">
            <w:pPr>
              <w:spacing w:after="30" w:line="240" w:lineRule="auto"/>
              <w:rPr>
                <w:szCs w:val="20"/>
              </w:rPr>
            </w:pPr>
            <w:r w:rsidRPr="00347B16">
              <w:rPr>
                <w:szCs w:val="20"/>
              </w:rPr>
              <w:t>5/15/60 minút podľa rizika</w:t>
            </w:r>
          </w:p>
        </w:tc>
        <w:tc>
          <w:tcPr>
            <w:tcW w:w="1587" w:type="dxa"/>
            <w:tcMar>
              <w:top w:w="65" w:type="dxa"/>
              <w:left w:w="75" w:type="dxa"/>
              <w:bottom w:w="65" w:type="dxa"/>
              <w:right w:w="75" w:type="dxa"/>
            </w:tcMar>
          </w:tcPr>
          <w:p w14:paraId="1892365B" w14:textId="77777777" w:rsidR="00D63D1C" w:rsidRPr="00347B16" w:rsidRDefault="00145097">
            <w:pPr>
              <w:spacing w:after="30" w:line="240" w:lineRule="auto"/>
              <w:rPr>
                <w:szCs w:val="20"/>
              </w:rPr>
            </w:pPr>
            <w:r w:rsidRPr="00347B16">
              <w:rPr>
                <w:szCs w:val="20"/>
              </w:rPr>
              <w:t>podľa klasifikácie a kritickosti</w:t>
            </w:r>
          </w:p>
        </w:tc>
      </w:tr>
    </w:tbl>
    <w:p w14:paraId="0D0B940D" w14:textId="77777777" w:rsidR="00D63D1C" w:rsidRDefault="00D63D1C">
      <w:pPr>
        <w:rPr>
          <w:szCs w:val="20"/>
        </w:rPr>
      </w:pPr>
    </w:p>
    <w:p w14:paraId="0E27B00A" w14:textId="77777777" w:rsidR="003F5044" w:rsidRPr="00347B16" w:rsidRDefault="003F5044">
      <w:pPr>
        <w:rPr>
          <w:szCs w:val="20"/>
        </w:rP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757"/>
        <w:gridCol w:w="1474"/>
        <w:gridCol w:w="2494"/>
        <w:gridCol w:w="1417"/>
        <w:gridCol w:w="1984"/>
        <w:gridCol w:w="1361"/>
      </w:tblGrid>
      <w:tr w:rsidR="00D63D1C" w:rsidRPr="00347B16" w14:paraId="5AEAF91A" w14:textId="77777777">
        <w:trPr>
          <w:cantSplit/>
          <w:tblHeader/>
          <w:jc w:val="center"/>
        </w:trPr>
        <w:tc>
          <w:tcPr>
            <w:tcW w:w="1757" w:type="dxa"/>
            <w:shd w:val="clear" w:color="auto" w:fill="1F4E78"/>
            <w:tcMar>
              <w:top w:w="65" w:type="dxa"/>
              <w:left w:w="75" w:type="dxa"/>
              <w:bottom w:w="65" w:type="dxa"/>
              <w:right w:w="75" w:type="dxa"/>
            </w:tcMar>
          </w:tcPr>
          <w:p w14:paraId="7BEC2A4A" w14:textId="77777777" w:rsidR="00D63D1C" w:rsidRPr="00347B16" w:rsidRDefault="00145097">
            <w:pPr>
              <w:spacing w:after="30" w:line="240" w:lineRule="auto"/>
              <w:rPr>
                <w:szCs w:val="20"/>
              </w:rPr>
            </w:pPr>
            <w:r w:rsidRPr="00347B16">
              <w:rPr>
                <w:b/>
                <w:color w:val="FFFFFF"/>
                <w:szCs w:val="20"/>
              </w:rPr>
              <w:t>Kritickosť</w:t>
            </w:r>
          </w:p>
        </w:tc>
        <w:tc>
          <w:tcPr>
            <w:tcW w:w="1474" w:type="dxa"/>
            <w:shd w:val="clear" w:color="auto" w:fill="1F4E78"/>
            <w:tcMar>
              <w:top w:w="65" w:type="dxa"/>
              <w:left w:w="75" w:type="dxa"/>
              <w:bottom w:w="65" w:type="dxa"/>
              <w:right w:w="75" w:type="dxa"/>
            </w:tcMar>
          </w:tcPr>
          <w:p w14:paraId="266EB79B" w14:textId="77777777" w:rsidR="00D63D1C" w:rsidRPr="00347B16" w:rsidRDefault="00145097">
            <w:pPr>
              <w:spacing w:after="30" w:line="240" w:lineRule="auto"/>
              <w:rPr>
                <w:szCs w:val="20"/>
              </w:rPr>
            </w:pPr>
            <w:r w:rsidRPr="00347B16">
              <w:rPr>
                <w:b/>
                <w:color w:val="FFFFFF"/>
                <w:szCs w:val="20"/>
              </w:rPr>
              <w:t>Online</w:t>
            </w:r>
          </w:p>
        </w:tc>
        <w:tc>
          <w:tcPr>
            <w:tcW w:w="2494" w:type="dxa"/>
            <w:shd w:val="clear" w:color="auto" w:fill="1F4E78"/>
            <w:tcMar>
              <w:top w:w="65" w:type="dxa"/>
              <w:left w:w="75" w:type="dxa"/>
              <w:bottom w:w="65" w:type="dxa"/>
              <w:right w:w="75" w:type="dxa"/>
            </w:tcMar>
          </w:tcPr>
          <w:p w14:paraId="74B4A0B7" w14:textId="77777777" w:rsidR="00D63D1C" w:rsidRPr="00347B16" w:rsidRDefault="00145097">
            <w:pPr>
              <w:spacing w:after="30" w:line="240" w:lineRule="auto"/>
              <w:rPr>
                <w:szCs w:val="20"/>
              </w:rPr>
            </w:pPr>
            <w:r w:rsidRPr="00347B16">
              <w:rPr>
                <w:b/>
                <w:color w:val="FFFFFF"/>
                <w:szCs w:val="20"/>
              </w:rPr>
              <w:t>Retencia</w:t>
            </w:r>
          </w:p>
        </w:tc>
        <w:tc>
          <w:tcPr>
            <w:tcW w:w="1417" w:type="dxa"/>
            <w:shd w:val="clear" w:color="auto" w:fill="1F4E78"/>
            <w:tcMar>
              <w:top w:w="65" w:type="dxa"/>
              <w:left w:w="75" w:type="dxa"/>
              <w:bottom w:w="65" w:type="dxa"/>
              <w:right w:w="75" w:type="dxa"/>
            </w:tcMar>
          </w:tcPr>
          <w:p w14:paraId="6F5B3805" w14:textId="77777777" w:rsidR="00D63D1C" w:rsidRPr="00347B16" w:rsidRDefault="00145097">
            <w:pPr>
              <w:spacing w:after="30" w:line="240" w:lineRule="auto"/>
              <w:rPr>
                <w:szCs w:val="20"/>
              </w:rPr>
            </w:pPr>
            <w:r w:rsidRPr="00347B16">
              <w:rPr>
                <w:b/>
                <w:color w:val="FFFFFF"/>
                <w:szCs w:val="20"/>
              </w:rPr>
              <w:t>Prenos</w:t>
            </w:r>
          </w:p>
        </w:tc>
        <w:tc>
          <w:tcPr>
            <w:tcW w:w="1984" w:type="dxa"/>
            <w:shd w:val="clear" w:color="auto" w:fill="1F4E78"/>
            <w:tcMar>
              <w:top w:w="65" w:type="dxa"/>
              <w:left w:w="75" w:type="dxa"/>
              <w:bottom w:w="65" w:type="dxa"/>
              <w:right w:w="75" w:type="dxa"/>
            </w:tcMar>
          </w:tcPr>
          <w:p w14:paraId="6A8A868B" w14:textId="77777777" w:rsidR="00D63D1C" w:rsidRPr="00347B16" w:rsidRDefault="00145097">
            <w:pPr>
              <w:spacing w:after="30" w:line="240" w:lineRule="auto"/>
              <w:rPr>
                <w:szCs w:val="20"/>
              </w:rPr>
            </w:pPr>
            <w:r w:rsidRPr="00347B16">
              <w:rPr>
                <w:b/>
                <w:color w:val="FFFFFF"/>
                <w:szCs w:val="20"/>
              </w:rPr>
              <w:t>Vyhodnocovanie</w:t>
            </w:r>
          </w:p>
        </w:tc>
        <w:tc>
          <w:tcPr>
            <w:tcW w:w="1361" w:type="dxa"/>
            <w:shd w:val="clear" w:color="auto" w:fill="1F4E78"/>
            <w:tcMar>
              <w:top w:w="65" w:type="dxa"/>
              <w:left w:w="75" w:type="dxa"/>
              <w:bottom w:w="65" w:type="dxa"/>
              <w:right w:w="75" w:type="dxa"/>
            </w:tcMar>
          </w:tcPr>
          <w:p w14:paraId="0DD7A8A8" w14:textId="77777777" w:rsidR="00D63D1C" w:rsidRPr="00347B16" w:rsidRDefault="00145097">
            <w:pPr>
              <w:spacing w:after="30" w:line="240" w:lineRule="auto"/>
              <w:rPr>
                <w:szCs w:val="20"/>
              </w:rPr>
            </w:pPr>
            <w:r w:rsidRPr="00347B16">
              <w:rPr>
                <w:b/>
                <w:color w:val="FFFFFF"/>
                <w:szCs w:val="20"/>
              </w:rPr>
              <w:t>Integrita</w:t>
            </w:r>
          </w:p>
        </w:tc>
      </w:tr>
      <w:tr w:rsidR="00D63D1C" w:rsidRPr="00347B16" w14:paraId="220E56B4" w14:textId="77777777">
        <w:trPr>
          <w:cantSplit/>
          <w:jc w:val="center"/>
        </w:trPr>
        <w:tc>
          <w:tcPr>
            <w:tcW w:w="1757" w:type="dxa"/>
            <w:tcMar>
              <w:top w:w="65" w:type="dxa"/>
              <w:left w:w="75" w:type="dxa"/>
              <w:bottom w:w="65" w:type="dxa"/>
              <w:right w:w="75" w:type="dxa"/>
            </w:tcMar>
          </w:tcPr>
          <w:p w14:paraId="5F445316" w14:textId="77777777" w:rsidR="00D63D1C" w:rsidRPr="00347B16" w:rsidRDefault="00145097">
            <w:pPr>
              <w:spacing w:after="30" w:line="240" w:lineRule="auto"/>
              <w:rPr>
                <w:szCs w:val="20"/>
              </w:rPr>
            </w:pPr>
            <w:r w:rsidRPr="00347B16">
              <w:rPr>
                <w:szCs w:val="20"/>
              </w:rPr>
              <w:t>Nízke</w:t>
            </w:r>
          </w:p>
        </w:tc>
        <w:tc>
          <w:tcPr>
            <w:tcW w:w="1474" w:type="dxa"/>
            <w:tcMar>
              <w:top w:w="65" w:type="dxa"/>
              <w:left w:w="75" w:type="dxa"/>
              <w:bottom w:w="65" w:type="dxa"/>
              <w:right w:w="75" w:type="dxa"/>
            </w:tcMar>
          </w:tcPr>
          <w:p w14:paraId="31CFB0B5" w14:textId="77777777" w:rsidR="00D63D1C" w:rsidRPr="00347B16" w:rsidRDefault="00145097">
            <w:pPr>
              <w:spacing w:after="30" w:line="240" w:lineRule="auto"/>
              <w:rPr>
                <w:szCs w:val="20"/>
              </w:rPr>
            </w:pPr>
            <w:r w:rsidRPr="00347B16">
              <w:rPr>
                <w:szCs w:val="20"/>
              </w:rPr>
              <w:t>min. 30 dní</w:t>
            </w:r>
          </w:p>
        </w:tc>
        <w:tc>
          <w:tcPr>
            <w:tcW w:w="2494" w:type="dxa"/>
            <w:tcMar>
              <w:top w:w="65" w:type="dxa"/>
              <w:left w:w="75" w:type="dxa"/>
              <w:bottom w:w="65" w:type="dxa"/>
              <w:right w:w="75" w:type="dxa"/>
            </w:tcMar>
          </w:tcPr>
          <w:p w14:paraId="20B854E4" w14:textId="77777777" w:rsidR="00D63D1C" w:rsidRPr="00347B16" w:rsidRDefault="00145097">
            <w:pPr>
              <w:spacing w:after="30" w:line="240" w:lineRule="auto"/>
              <w:rPr>
                <w:szCs w:val="20"/>
              </w:rPr>
            </w:pPr>
            <w:r w:rsidRPr="00347B16">
              <w:rPr>
                <w:szCs w:val="20"/>
              </w:rPr>
              <w:t>min. 12 mesiacov</w:t>
            </w:r>
          </w:p>
        </w:tc>
        <w:tc>
          <w:tcPr>
            <w:tcW w:w="1417" w:type="dxa"/>
            <w:tcMar>
              <w:top w:w="65" w:type="dxa"/>
              <w:left w:w="75" w:type="dxa"/>
              <w:bottom w:w="65" w:type="dxa"/>
              <w:right w:w="75" w:type="dxa"/>
            </w:tcMar>
          </w:tcPr>
          <w:p w14:paraId="37CD84A7" w14:textId="77777777" w:rsidR="00D63D1C" w:rsidRPr="00347B16" w:rsidRDefault="00145097">
            <w:pPr>
              <w:spacing w:after="30" w:line="240" w:lineRule="auto"/>
              <w:rPr>
                <w:szCs w:val="20"/>
              </w:rPr>
            </w:pPr>
            <w:r w:rsidRPr="00347B16">
              <w:rPr>
                <w:szCs w:val="20"/>
              </w:rPr>
              <w:t>do 60 minút</w:t>
            </w:r>
          </w:p>
        </w:tc>
        <w:tc>
          <w:tcPr>
            <w:tcW w:w="1984" w:type="dxa"/>
            <w:tcMar>
              <w:top w:w="65" w:type="dxa"/>
              <w:left w:w="75" w:type="dxa"/>
              <w:bottom w:w="65" w:type="dxa"/>
              <w:right w:w="75" w:type="dxa"/>
            </w:tcMar>
          </w:tcPr>
          <w:p w14:paraId="41DCDBED" w14:textId="77777777" w:rsidR="00D63D1C" w:rsidRPr="00347B16" w:rsidRDefault="00145097">
            <w:pPr>
              <w:spacing w:after="30" w:line="240" w:lineRule="auto"/>
              <w:rPr>
                <w:szCs w:val="20"/>
              </w:rPr>
            </w:pPr>
            <w:r w:rsidRPr="00347B16">
              <w:rPr>
                <w:szCs w:val="20"/>
              </w:rPr>
              <w:t>pravidelné automatizované</w:t>
            </w:r>
          </w:p>
        </w:tc>
        <w:tc>
          <w:tcPr>
            <w:tcW w:w="1361" w:type="dxa"/>
            <w:tcMar>
              <w:top w:w="65" w:type="dxa"/>
              <w:left w:w="75" w:type="dxa"/>
              <w:bottom w:w="65" w:type="dxa"/>
              <w:right w:w="75" w:type="dxa"/>
            </w:tcMar>
          </w:tcPr>
          <w:p w14:paraId="4E6237B2" w14:textId="77777777" w:rsidR="00D63D1C" w:rsidRPr="00347B16" w:rsidRDefault="00145097">
            <w:pPr>
              <w:spacing w:after="30" w:line="240" w:lineRule="auto"/>
              <w:rPr>
                <w:szCs w:val="20"/>
              </w:rPr>
            </w:pPr>
            <w:r w:rsidRPr="00347B16">
              <w:rPr>
                <w:szCs w:val="20"/>
              </w:rPr>
              <w:t>podľa rizika</w:t>
            </w:r>
          </w:p>
        </w:tc>
      </w:tr>
      <w:tr w:rsidR="00D63D1C" w:rsidRPr="00347B16" w14:paraId="325C4FFD" w14:textId="77777777">
        <w:trPr>
          <w:cantSplit/>
          <w:jc w:val="center"/>
        </w:trPr>
        <w:tc>
          <w:tcPr>
            <w:tcW w:w="1757" w:type="dxa"/>
            <w:shd w:val="clear" w:color="auto" w:fill="F2F2F2"/>
            <w:tcMar>
              <w:top w:w="65" w:type="dxa"/>
              <w:left w:w="75" w:type="dxa"/>
              <w:bottom w:w="65" w:type="dxa"/>
              <w:right w:w="75" w:type="dxa"/>
            </w:tcMar>
          </w:tcPr>
          <w:p w14:paraId="68F501C4" w14:textId="77777777" w:rsidR="00D63D1C" w:rsidRPr="00347B16" w:rsidRDefault="00145097">
            <w:pPr>
              <w:spacing w:after="30" w:line="240" w:lineRule="auto"/>
              <w:rPr>
                <w:szCs w:val="20"/>
              </w:rPr>
            </w:pPr>
            <w:r w:rsidRPr="00347B16">
              <w:rPr>
                <w:szCs w:val="20"/>
              </w:rPr>
              <w:t>Stredné</w:t>
            </w:r>
          </w:p>
        </w:tc>
        <w:tc>
          <w:tcPr>
            <w:tcW w:w="1474" w:type="dxa"/>
            <w:shd w:val="clear" w:color="auto" w:fill="F2F2F2"/>
            <w:tcMar>
              <w:top w:w="65" w:type="dxa"/>
              <w:left w:w="75" w:type="dxa"/>
              <w:bottom w:w="65" w:type="dxa"/>
              <w:right w:w="75" w:type="dxa"/>
            </w:tcMar>
          </w:tcPr>
          <w:p w14:paraId="75698818" w14:textId="77777777" w:rsidR="00D63D1C" w:rsidRPr="00347B16" w:rsidRDefault="00145097">
            <w:pPr>
              <w:spacing w:after="30" w:line="240" w:lineRule="auto"/>
              <w:rPr>
                <w:szCs w:val="20"/>
              </w:rPr>
            </w:pPr>
            <w:r w:rsidRPr="00347B16">
              <w:rPr>
                <w:szCs w:val="20"/>
              </w:rPr>
              <w:t>min. 60 dní</w:t>
            </w:r>
          </w:p>
        </w:tc>
        <w:tc>
          <w:tcPr>
            <w:tcW w:w="2494" w:type="dxa"/>
            <w:shd w:val="clear" w:color="auto" w:fill="F2F2F2"/>
            <w:tcMar>
              <w:top w:w="65" w:type="dxa"/>
              <w:left w:w="75" w:type="dxa"/>
              <w:bottom w:w="65" w:type="dxa"/>
              <w:right w:w="75" w:type="dxa"/>
            </w:tcMar>
          </w:tcPr>
          <w:p w14:paraId="0BA266D4" w14:textId="77777777" w:rsidR="00D63D1C" w:rsidRPr="00347B16" w:rsidRDefault="00145097">
            <w:pPr>
              <w:spacing w:after="30" w:line="240" w:lineRule="auto"/>
              <w:rPr>
                <w:szCs w:val="20"/>
              </w:rPr>
            </w:pPr>
            <w:r w:rsidRPr="00347B16">
              <w:rPr>
                <w:szCs w:val="20"/>
              </w:rPr>
              <w:t>min. 12 mesiacov</w:t>
            </w:r>
          </w:p>
        </w:tc>
        <w:tc>
          <w:tcPr>
            <w:tcW w:w="1417" w:type="dxa"/>
            <w:shd w:val="clear" w:color="auto" w:fill="F2F2F2"/>
            <w:tcMar>
              <w:top w:w="65" w:type="dxa"/>
              <w:left w:w="75" w:type="dxa"/>
              <w:bottom w:w="65" w:type="dxa"/>
              <w:right w:w="75" w:type="dxa"/>
            </w:tcMar>
          </w:tcPr>
          <w:p w14:paraId="34C82571" w14:textId="77777777" w:rsidR="00D63D1C" w:rsidRPr="00347B16" w:rsidRDefault="00145097">
            <w:pPr>
              <w:spacing w:after="30" w:line="240" w:lineRule="auto"/>
              <w:rPr>
                <w:szCs w:val="20"/>
              </w:rPr>
            </w:pPr>
            <w:r w:rsidRPr="00347B16">
              <w:rPr>
                <w:szCs w:val="20"/>
              </w:rPr>
              <w:t>do 15 minút</w:t>
            </w:r>
          </w:p>
        </w:tc>
        <w:tc>
          <w:tcPr>
            <w:tcW w:w="1984" w:type="dxa"/>
            <w:shd w:val="clear" w:color="auto" w:fill="F2F2F2"/>
            <w:tcMar>
              <w:top w:w="65" w:type="dxa"/>
              <w:left w:w="75" w:type="dxa"/>
              <w:bottom w:w="65" w:type="dxa"/>
              <w:right w:w="75" w:type="dxa"/>
            </w:tcMar>
          </w:tcPr>
          <w:p w14:paraId="1F0B208E" w14:textId="77777777" w:rsidR="00D63D1C" w:rsidRPr="00347B16" w:rsidRDefault="00145097">
            <w:pPr>
              <w:spacing w:after="30" w:line="240" w:lineRule="auto"/>
              <w:rPr>
                <w:szCs w:val="20"/>
              </w:rPr>
            </w:pPr>
            <w:r w:rsidRPr="00347B16">
              <w:rPr>
                <w:szCs w:val="20"/>
              </w:rPr>
              <w:t>priebežné automatizované</w:t>
            </w:r>
          </w:p>
        </w:tc>
        <w:tc>
          <w:tcPr>
            <w:tcW w:w="1361" w:type="dxa"/>
            <w:shd w:val="clear" w:color="auto" w:fill="F2F2F2"/>
            <w:tcMar>
              <w:top w:w="65" w:type="dxa"/>
              <w:left w:w="75" w:type="dxa"/>
              <w:bottom w:w="65" w:type="dxa"/>
              <w:right w:w="75" w:type="dxa"/>
            </w:tcMar>
          </w:tcPr>
          <w:p w14:paraId="4CC491CC" w14:textId="77777777" w:rsidR="00D63D1C" w:rsidRPr="00347B16" w:rsidRDefault="00145097">
            <w:pPr>
              <w:spacing w:after="30" w:line="240" w:lineRule="auto"/>
              <w:rPr>
                <w:szCs w:val="20"/>
              </w:rPr>
            </w:pPr>
            <w:r w:rsidRPr="00347B16">
              <w:rPr>
                <w:szCs w:val="20"/>
              </w:rPr>
              <w:t>áno</w:t>
            </w:r>
          </w:p>
        </w:tc>
      </w:tr>
      <w:tr w:rsidR="00D63D1C" w:rsidRPr="00347B16" w14:paraId="16570771" w14:textId="77777777">
        <w:trPr>
          <w:cantSplit/>
          <w:jc w:val="center"/>
        </w:trPr>
        <w:tc>
          <w:tcPr>
            <w:tcW w:w="1757" w:type="dxa"/>
            <w:tcMar>
              <w:top w:w="65" w:type="dxa"/>
              <w:left w:w="75" w:type="dxa"/>
              <w:bottom w:w="65" w:type="dxa"/>
              <w:right w:w="75" w:type="dxa"/>
            </w:tcMar>
          </w:tcPr>
          <w:p w14:paraId="1C732137" w14:textId="77777777" w:rsidR="00D63D1C" w:rsidRPr="00347B16" w:rsidRDefault="00145097">
            <w:pPr>
              <w:spacing w:after="30" w:line="240" w:lineRule="auto"/>
              <w:rPr>
                <w:szCs w:val="20"/>
              </w:rPr>
            </w:pPr>
            <w:r w:rsidRPr="00347B16">
              <w:rPr>
                <w:szCs w:val="20"/>
              </w:rPr>
              <w:t>Vysoké alebo kritické</w:t>
            </w:r>
          </w:p>
        </w:tc>
        <w:tc>
          <w:tcPr>
            <w:tcW w:w="1474" w:type="dxa"/>
            <w:tcMar>
              <w:top w:w="65" w:type="dxa"/>
              <w:left w:w="75" w:type="dxa"/>
              <w:bottom w:w="65" w:type="dxa"/>
              <w:right w:w="75" w:type="dxa"/>
            </w:tcMar>
          </w:tcPr>
          <w:p w14:paraId="25C339DD" w14:textId="77777777" w:rsidR="00D63D1C" w:rsidRPr="00347B16" w:rsidRDefault="00145097">
            <w:pPr>
              <w:spacing w:after="30" w:line="240" w:lineRule="auto"/>
              <w:rPr>
                <w:szCs w:val="20"/>
              </w:rPr>
            </w:pPr>
            <w:r w:rsidRPr="00347B16">
              <w:rPr>
                <w:szCs w:val="20"/>
              </w:rPr>
              <w:t>min. 90 dní</w:t>
            </w:r>
          </w:p>
        </w:tc>
        <w:tc>
          <w:tcPr>
            <w:tcW w:w="2494" w:type="dxa"/>
            <w:tcMar>
              <w:top w:w="65" w:type="dxa"/>
              <w:left w:w="75" w:type="dxa"/>
              <w:bottom w:w="65" w:type="dxa"/>
              <w:right w:w="75" w:type="dxa"/>
            </w:tcMar>
          </w:tcPr>
          <w:p w14:paraId="51AE5FD9" w14:textId="77777777" w:rsidR="00D63D1C" w:rsidRPr="00347B16" w:rsidRDefault="00145097">
            <w:pPr>
              <w:spacing w:after="30" w:line="240" w:lineRule="auto"/>
              <w:rPr>
                <w:szCs w:val="20"/>
              </w:rPr>
            </w:pPr>
            <w:r w:rsidRPr="00347B16">
              <w:rPr>
                <w:szCs w:val="20"/>
              </w:rPr>
              <w:t>kritické/</w:t>
            </w:r>
            <w:proofErr w:type="spellStart"/>
            <w:r w:rsidRPr="00347B16">
              <w:rPr>
                <w:szCs w:val="20"/>
              </w:rPr>
              <w:t>forenzné</w:t>
            </w:r>
            <w:proofErr w:type="spellEnd"/>
            <w:r w:rsidRPr="00347B16">
              <w:rPr>
                <w:szCs w:val="20"/>
              </w:rPr>
              <w:t xml:space="preserve"> 24 mesiacov; inak min. 12</w:t>
            </w:r>
          </w:p>
        </w:tc>
        <w:tc>
          <w:tcPr>
            <w:tcW w:w="1417" w:type="dxa"/>
            <w:tcMar>
              <w:top w:w="65" w:type="dxa"/>
              <w:left w:w="75" w:type="dxa"/>
              <w:bottom w:w="65" w:type="dxa"/>
              <w:right w:w="75" w:type="dxa"/>
            </w:tcMar>
          </w:tcPr>
          <w:p w14:paraId="1452FFF0" w14:textId="77777777" w:rsidR="00D63D1C" w:rsidRPr="00347B16" w:rsidRDefault="00145097">
            <w:pPr>
              <w:spacing w:after="30" w:line="240" w:lineRule="auto"/>
              <w:rPr>
                <w:szCs w:val="20"/>
              </w:rPr>
            </w:pPr>
            <w:r w:rsidRPr="00347B16">
              <w:rPr>
                <w:szCs w:val="20"/>
              </w:rPr>
              <w:t>cieľovo do 5 minút</w:t>
            </w:r>
          </w:p>
        </w:tc>
        <w:tc>
          <w:tcPr>
            <w:tcW w:w="1984" w:type="dxa"/>
            <w:tcMar>
              <w:top w:w="65" w:type="dxa"/>
              <w:left w:w="75" w:type="dxa"/>
              <w:bottom w:w="65" w:type="dxa"/>
              <w:right w:w="75" w:type="dxa"/>
            </w:tcMar>
          </w:tcPr>
          <w:p w14:paraId="4464FDF2" w14:textId="77777777" w:rsidR="00D63D1C" w:rsidRPr="00347B16" w:rsidRDefault="00145097">
            <w:pPr>
              <w:spacing w:after="30" w:line="240" w:lineRule="auto"/>
              <w:rPr>
                <w:szCs w:val="20"/>
              </w:rPr>
            </w:pPr>
            <w:r w:rsidRPr="00347B16">
              <w:rPr>
                <w:szCs w:val="20"/>
              </w:rPr>
              <w:t>24/7 alebo ekvivalentný režim</w:t>
            </w:r>
          </w:p>
        </w:tc>
        <w:tc>
          <w:tcPr>
            <w:tcW w:w="1361" w:type="dxa"/>
            <w:tcMar>
              <w:top w:w="65" w:type="dxa"/>
              <w:left w:w="75" w:type="dxa"/>
              <w:bottom w:w="65" w:type="dxa"/>
              <w:right w:w="75" w:type="dxa"/>
            </w:tcMar>
          </w:tcPr>
          <w:p w14:paraId="3CF6E343" w14:textId="77777777" w:rsidR="00D63D1C" w:rsidRPr="00347B16" w:rsidRDefault="00145097">
            <w:pPr>
              <w:spacing w:after="30" w:line="240" w:lineRule="auto"/>
              <w:rPr>
                <w:szCs w:val="20"/>
              </w:rPr>
            </w:pPr>
            <w:r w:rsidRPr="00347B16">
              <w:rPr>
                <w:szCs w:val="20"/>
              </w:rPr>
              <w:t>nemennosť alebo WORM</w:t>
            </w:r>
          </w:p>
        </w:tc>
      </w:tr>
    </w:tbl>
    <w:p w14:paraId="60061E4C" w14:textId="77777777" w:rsidR="00D63D1C" w:rsidRPr="00347B16" w:rsidRDefault="00D63D1C">
      <w:pPr>
        <w:rPr>
          <w:szCs w:val="20"/>
        </w:rPr>
      </w:pPr>
    </w:p>
    <w:p w14:paraId="0DFE855A" w14:textId="77777777" w:rsidR="00D63D1C" w:rsidRPr="002B769B" w:rsidRDefault="00145097">
      <w:pPr>
        <w:pStyle w:val="Nadpis1"/>
        <w:rPr>
          <w:rFonts w:ascii="Arial" w:hAnsi="Arial" w:cs="Arial"/>
          <w:color w:val="1F497D" w:themeColor="text2"/>
          <w:sz w:val="20"/>
          <w:szCs w:val="20"/>
        </w:rPr>
      </w:pPr>
      <w:r w:rsidRPr="002B769B">
        <w:rPr>
          <w:rFonts w:ascii="Arial" w:eastAsia="Arial" w:hAnsi="Arial" w:cs="Arial"/>
          <w:color w:val="1F497D" w:themeColor="text2"/>
          <w:sz w:val="20"/>
          <w:szCs w:val="20"/>
        </w:rPr>
        <w:t xml:space="preserve">11. </w:t>
      </w:r>
      <w:r w:rsidRPr="002B769B">
        <w:rPr>
          <w:rFonts w:ascii="Arial" w:eastAsia="Arial" w:hAnsi="Arial" w:cs="Arial"/>
          <w:color w:val="1F497D" w:themeColor="text2"/>
          <w:sz w:val="20"/>
          <w:szCs w:val="20"/>
          <w:u w:val="single"/>
        </w:rPr>
        <w:t xml:space="preserve">Metóda </w:t>
      </w:r>
      <w:proofErr w:type="spellStart"/>
      <w:r w:rsidRPr="002B769B">
        <w:rPr>
          <w:rFonts w:ascii="Arial" w:eastAsia="Arial" w:hAnsi="Arial" w:cs="Arial"/>
          <w:color w:val="1F497D" w:themeColor="text2"/>
          <w:sz w:val="20"/>
          <w:szCs w:val="20"/>
          <w:u w:val="single"/>
        </w:rPr>
        <w:t>MoSCoW</w:t>
      </w:r>
      <w:proofErr w:type="spellEnd"/>
      <w:r w:rsidRPr="002B769B">
        <w:rPr>
          <w:rFonts w:ascii="Arial" w:eastAsia="Arial" w:hAnsi="Arial" w:cs="Arial"/>
          <w:color w:val="1F497D" w:themeColor="text2"/>
          <w:sz w:val="20"/>
          <w:szCs w:val="20"/>
          <w:u w:val="single"/>
        </w:rPr>
        <w:t>, pojmy a zdroje</w:t>
      </w:r>
    </w:p>
    <w:tbl>
      <w:tblPr>
        <w:tblW w:w="10499"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980"/>
        <w:gridCol w:w="8519"/>
      </w:tblGrid>
      <w:tr w:rsidR="00D63D1C" w:rsidRPr="00347B16" w14:paraId="24D63B25" w14:textId="77777777" w:rsidTr="00203497">
        <w:trPr>
          <w:cantSplit/>
          <w:tblHeader/>
          <w:jc w:val="center"/>
        </w:trPr>
        <w:tc>
          <w:tcPr>
            <w:tcW w:w="1980" w:type="dxa"/>
            <w:shd w:val="clear" w:color="auto" w:fill="1F4E78"/>
            <w:tcMar>
              <w:top w:w="65" w:type="dxa"/>
              <w:left w:w="75" w:type="dxa"/>
              <w:bottom w:w="65" w:type="dxa"/>
              <w:right w:w="75" w:type="dxa"/>
            </w:tcMar>
          </w:tcPr>
          <w:p w14:paraId="56AB04D3" w14:textId="77777777" w:rsidR="00D63D1C" w:rsidRPr="00347B16" w:rsidRDefault="00145097">
            <w:pPr>
              <w:spacing w:after="30" w:line="240" w:lineRule="auto"/>
              <w:rPr>
                <w:szCs w:val="20"/>
              </w:rPr>
            </w:pPr>
            <w:r w:rsidRPr="00347B16">
              <w:rPr>
                <w:b/>
                <w:color w:val="FFFFFF"/>
                <w:szCs w:val="20"/>
              </w:rPr>
              <w:t>Kategória</w:t>
            </w:r>
          </w:p>
        </w:tc>
        <w:tc>
          <w:tcPr>
            <w:tcW w:w="8519" w:type="dxa"/>
            <w:shd w:val="clear" w:color="auto" w:fill="1F4E78"/>
            <w:tcMar>
              <w:top w:w="65" w:type="dxa"/>
              <w:left w:w="75" w:type="dxa"/>
              <w:bottom w:w="65" w:type="dxa"/>
              <w:right w:w="75" w:type="dxa"/>
            </w:tcMar>
          </w:tcPr>
          <w:p w14:paraId="302390EC" w14:textId="77777777" w:rsidR="00D63D1C" w:rsidRPr="00347B16" w:rsidRDefault="00145097">
            <w:pPr>
              <w:spacing w:after="30" w:line="240" w:lineRule="auto"/>
              <w:rPr>
                <w:szCs w:val="20"/>
              </w:rPr>
            </w:pPr>
            <w:r w:rsidRPr="00347B16">
              <w:rPr>
                <w:b/>
                <w:color w:val="FFFFFF"/>
                <w:szCs w:val="20"/>
              </w:rPr>
              <w:t>Význam</w:t>
            </w:r>
          </w:p>
        </w:tc>
      </w:tr>
      <w:tr w:rsidR="00D63D1C" w:rsidRPr="00347B16" w14:paraId="4607A62C" w14:textId="77777777" w:rsidTr="00203497">
        <w:trPr>
          <w:cantSplit/>
          <w:jc w:val="center"/>
        </w:trPr>
        <w:tc>
          <w:tcPr>
            <w:tcW w:w="1980" w:type="dxa"/>
            <w:tcMar>
              <w:top w:w="65" w:type="dxa"/>
              <w:left w:w="75" w:type="dxa"/>
              <w:bottom w:w="65" w:type="dxa"/>
              <w:right w:w="75" w:type="dxa"/>
            </w:tcMar>
          </w:tcPr>
          <w:p w14:paraId="08FD2C23" w14:textId="77777777" w:rsidR="00D63D1C" w:rsidRPr="00347B16" w:rsidRDefault="00145097">
            <w:pPr>
              <w:spacing w:after="30" w:line="240" w:lineRule="auto"/>
              <w:rPr>
                <w:szCs w:val="20"/>
              </w:rPr>
            </w:pPr>
            <w:r w:rsidRPr="00C5621F">
              <w:rPr>
                <w:b/>
                <w:color w:val="FF0000"/>
                <w:szCs w:val="20"/>
              </w:rPr>
              <w:t>M</w:t>
            </w:r>
            <w:r w:rsidRPr="00C5621F">
              <w:rPr>
                <w:color w:val="FF0000"/>
                <w:szCs w:val="20"/>
              </w:rPr>
              <w:t xml:space="preserve"> </w:t>
            </w:r>
            <w:r w:rsidRPr="00347B16">
              <w:rPr>
                <w:szCs w:val="20"/>
              </w:rPr>
              <w:t xml:space="preserve">– </w:t>
            </w:r>
            <w:r w:rsidRPr="00C5621F">
              <w:rPr>
                <w:b/>
                <w:color w:val="FF0000"/>
                <w:szCs w:val="20"/>
              </w:rPr>
              <w:t>musí</w:t>
            </w:r>
            <w:r w:rsidRPr="00347B16">
              <w:rPr>
                <w:szCs w:val="20"/>
              </w:rPr>
              <w:t xml:space="preserve"> byť</w:t>
            </w:r>
          </w:p>
        </w:tc>
        <w:tc>
          <w:tcPr>
            <w:tcW w:w="8519" w:type="dxa"/>
            <w:tcMar>
              <w:top w:w="65" w:type="dxa"/>
              <w:left w:w="75" w:type="dxa"/>
              <w:bottom w:w="65" w:type="dxa"/>
              <w:right w:w="75" w:type="dxa"/>
            </w:tcMar>
            <w:vAlign w:val="center"/>
          </w:tcPr>
          <w:p w14:paraId="22FD9999" w14:textId="77777777" w:rsidR="00103A81" w:rsidRPr="00347B16" w:rsidRDefault="00347B16">
            <w:pPr>
              <w:spacing w:after="0"/>
            </w:pPr>
            <w:r w:rsidRPr="00347B16">
              <w:rPr>
                <w:sz w:val="18"/>
              </w:rPr>
              <w:t>Povinná požiadavka Logovacieho štandardu. Môže predstavovať priamo regulačné minimum alebo prísnejší štandard SP; odchýlka je možná iba v schválenom režime a nikdy nesmie znížiť zákonné minimum.</w:t>
            </w:r>
          </w:p>
        </w:tc>
      </w:tr>
      <w:tr w:rsidR="00D63D1C" w:rsidRPr="00347B16" w14:paraId="04C014AE" w14:textId="77777777" w:rsidTr="00203497">
        <w:trPr>
          <w:cantSplit/>
          <w:jc w:val="center"/>
        </w:trPr>
        <w:tc>
          <w:tcPr>
            <w:tcW w:w="1980" w:type="dxa"/>
            <w:shd w:val="clear" w:color="auto" w:fill="F2F2F2"/>
            <w:tcMar>
              <w:top w:w="65" w:type="dxa"/>
              <w:left w:w="75" w:type="dxa"/>
              <w:bottom w:w="65" w:type="dxa"/>
              <w:right w:w="75" w:type="dxa"/>
            </w:tcMar>
          </w:tcPr>
          <w:p w14:paraId="42C77F54" w14:textId="77777777" w:rsidR="00D63D1C" w:rsidRPr="00347B16" w:rsidRDefault="00145097">
            <w:pPr>
              <w:spacing w:after="30" w:line="240" w:lineRule="auto"/>
              <w:rPr>
                <w:szCs w:val="20"/>
              </w:rPr>
            </w:pPr>
            <w:r w:rsidRPr="00C5621F">
              <w:rPr>
                <w:b/>
                <w:color w:val="FFC000"/>
                <w:szCs w:val="20"/>
              </w:rPr>
              <w:t>S</w:t>
            </w:r>
            <w:r w:rsidRPr="00C5621F">
              <w:rPr>
                <w:color w:val="FFC000"/>
                <w:szCs w:val="20"/>
              </w:rPr>
              <w:t xml:space="preserve"> </w:t>
            </w:r>
            <w:r w:rsidRPr="00347B16">
              <w:rPr>
                <w:szCs w:val="20"/>
              </w:rPr>
              <w:t xml:space="preserve">– </w:t>
            </w:r>
            <w:r w:rsidRPr="00C5621F">
              <w:rPr>
                <w:b/>
                <w:color w:val="FFC000"/>
                <w:szCs w:val="20"/>
              </w:rPr>
              <w:t>malo</w:t>
            </w:r>
            <w:r w:rsidRPr="00347B16">
              <w:rPr>
                <w:color w:val="FFC000"/>
                <w:szCs w:val="20"/>
              </w:rPr>
              <w:t xml:space="preserve"> </w:t>
            </w:r>
            <w:r w:rsidRPr="00C5621F">
              <w:rPr>
                <w:b/>
                <w:color w:val="FFC000"/>
                <w:szCs w:val="20"/>
              </w:rPr>
              <w:t>by</w:t>
            </w:r>
            <w:r w:rsidRPr="00347B16">
              <w:rPr>
                <w:szCs w:val="20"/>
              </w:rPr>
              <w:t xml:space="preserve"> byť</w:t>
            </w:r>
          </w:p>
        </w:tc>
        <w:tc>
          <w:tcPr>
            <w:tcW w:w="8519" w:type="dxa"/>
            <w:shd w:val="clear" w:color="auto" w:fill="F2F2F2"/>
            <w:tcMar>
              <w:top w:w="65" w:type="dxa"/>
              <w:left w:w="75" w:type="dxa"/>
              <w:bottom w:w="65" w:type="dxa"/>
              <w:right w:w="75" w:type="dxa"/>
            </w:tcMar>
          </w:tcPr>
          <w:p w14:paraId="53858A88" w14:textId="77777777" w:rsidR="00D63D1C" w:rsidRPr="00347B16" w:rsidRDefault="00145097">
            <w:pPr>
              <w:spacing w:after="30" w:line="240" w:lineRule="auto"/>
              <w:rPr>
                <w:szCs w:val="20"/>
              </w:rPr>
            </w:pPr>
            <w:r w:rsidRPr="00347B16">
              <w:rPr>
                <w:szCs w:val="20"/>
              </w:rPr>
              <w:t>Požiadavka sa uplatní spravidla; neuplatnenie vyžaduje vecný dôvod, analýzu rizika a schválenie.</w:t>
            </w:r>
          </w:p>
        </w:tc>
      </w:tr>
      <w:tr w:rsidR="00D63D1C" w:rsidRPr="00347B16" w14:paraId="51FA7216" w14:textId="77777777" w:rsidTr="00203497">
        <w:trPr>
          <w:cantSplit/>
          <w:jc w:val="center"/>
        </w:trPr>
        <w:tc>
          <w:tcPr>
            <w:tcW w:w="1980" w:type="dxa"/>
            <w:tcMar>
              <w:top w:w="65" w:type="dxa"/>
              <w:left w:w="75" w:type="dxa"/>
              <w:bottom w:w="65" w:type="dxa"/>
              <w:right w:w="75" w:type="dxa"/>
            </w:tcMar>
          </w:tcPr>
          <w:p w14:paraId="1379FF91" w14:textId="77777777" w:rsidR="00D63D1C" w:rsidRPr="00347B16" w:rsidRDefault="00145097">
            <w:pPr>
              <w:spacing w:after="30" w:line="240" w:lineRule="auto"/>
              <w:rPr>
                <w:szCs w:val="20"/>
              </w:rPr>
            </w:pPr>
            <w:r w:rsidRPr="00C5621F">
              <w:rPr>
                <w:b/>
                <w:color w:val="00B050"/>
                <w:szCs w:val="20"/>
              </w:rPr>
              <w:t>C</w:t>
            </w:r>
            <w:r w:rsidRPr="00C5621F">
              <w:rPr>
                <w:color w:val="00B050"/>
                <w:szCs w:val="20"/>
              </w:rPr>
              <w:t xml:space="preserve"> </w:t>
            </w:r>
            <w:r w:rsidRPr="00347B16">
              <w:rPr>
                <w:szCs w:val="20"/>
              </w:rPr>
              <w:t xml:space="preserve">– </w:t>
            </w:r>
            <w:r w:rsidRPr="00C5621F">
              <w:rPr>
                <w:b/>
                <w:color w:val="00B050"/>
                <w:szCs w:val="20"/>
              </w:rPr>
              <w:t>mohlo by</w:t>
            </w:r>
            <w:r w:rsidRPr="00C5621F">
              <w:rPr>
                <w:color w:val="00B050"/>
                <w:szCs w:val="20"/>
              </w:rPr>
              <w:t xml:space="preserve"> </w:t>
            </w:r>
            <w:r w:rsidRPr="00347B16">
              <w:rPr>
                <w:szCs w:val="20"/>
              </w:rPr>
              <w:t>byť</w:t>
            </w:r>
          </w:p>
        </w:tc>
        <w:tc>
          <w:tcPr>
            <w:tcW w:w="8519" w:type="dxa"/>
            <w:tcMar>
              <w:top w:w="65" w:type="dxa"/>
              <w:left w:w="75" w:type="dxa"/>
              <w:bottom w:w="65" w:type="dxa"/>
              <w:right w:w="75" w:type="dxa"/>
            </w:tcMar>
          </w:tcPr>
          <w:p w14:paraId="27044DAF" w14:textId="77777777" w:rsidR="00D63D1C" w:rsidRPr="00347B16" w:rsidRDefault="00145097">
            <w:pPr>
              <w:spacing w:after="30" w:line="240" w:lineRule="auto"/>
              <w:rPr>
                <w:szCs w:val="20"/>
              </w:rPr>
            </w:pPr>
            <w:r w:rsidRPr="00347B16">
              <w:rPr>
                <w:szCs w:val="20"/>
              </w:rPr>
              <w:t>Vhodné rozšírenie podľa rizika, technickej primeranosti a prínosu.</w:t>
            </w:r>
          </w:p>
        </w:tc>
      </w:tr>
      <w:tr w:rsidR="00D63D1C" w:rsidRPr="00347B16" w14:paraId="68DFC374" w14:textId="77777777" w:rsidTr="00203497">
        <w:trPr>
          <w:cantSplit/>
          <w:jc w:val="center"/>
        </w:trPr>
        <w:tc>
          <w:tcPr>
            <w:tcW w:w="1980" w:type="dxa"/>
            <w:shd w:val="clear" w:color="auto" w:fill="F2F2F2"/>
            <w:tcMar>
              <w:top w:w="65" w:type="dxa"/>
              <w:left w:w="75" w:type="dxa"/>
              <w:bottom w:w="65" w:type="dxa"/>
              <w:right w:w="75" w:type="dxa"/>
            </w:tcMar>
          </w:tcPr>
          <w:p w14:paraId="00D88DCD" w14:textId="77777777" w:rsidR="00D63D1C" w:rsidRPr="00347B16" w:rsidRDefault="00145097">
            <w:pPr>
              <w:spacing w:after="30" w:line="240" w:lineRule="auto"/>
              <w:rPr>
                <w:szCs w:val="20"/>
              </w:rPr>
            </w:pPr>
            <w:r w:rsidRPr="00347B16">
              <w:rPr>
                <w:szCs w:val="20"/>
              </w:rPr>
              <w:t>W – nateraz nebude</w:t>
            </w:r>
          </w:p>
        </w:tc>
        <w:tc>
          <w:tcPr>
            <w:tcW w:w="8519" w:type="dxa"/>
            <w:shd w:val="clear" w:color="auto" w:fill="F2F2F2"/>
            <w:tcMar>
              <w:top w:w="65" w:type="dxa"/>
              <w:left w:w="75" w:type="dxa"/>
              <w:bottom w:w="65" w:type="dxa"/>
              <w:right w:w="75" w:type="dxa"/>
            </w:tcMar>
            <w:vAlign w:val="center"/>
          </w:tcPr>
          <w:p w14:paraId="714B85DC" w14:textId="77777777" w:rsidR="00103A81" w:rsidRPr="00347B16" w:rsidRDefault="00347B16">
            <w:pPr>
              <w:spacing w:after="0"/>
            </w:pPr>
            <w:r>
              <w:rPr>
                <w:sz w:val="18"/>
              </w:rPr>
              <w:t>Dočasne sa neuplatní iba na základe zdôvodnenej a písomne schválenej výnimky evidovanej v logovacom profile alebo inom riadenom zázname; samo osebe nejde o výnimku zo zákonnej povinnosti.</w:t>
            </w:r>
          </w:p>
        </w:tc>
      </w:tr>
    </w:tbl>
    <w:p w14:paraId="44EAFD9C" w14:textId="77777777" w:rsidR="00D63D1C" w:rsidRPr="00347B16" w:rsidRDefault="00D63D1C">
      <w:pPr>
        <w:rPr>
          <w:szCs w:val="20"/>
        </w:rPr>
      </w:pPr>
    </w:p>
    <w:tbl>
      <w:tblPr>
        <w:tblStyle w:val="Mriekatabuky"/>
        <w:tblW w:w="1050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405"/>
        <w:gridCol w:w="8099"/>
      </w:tblGrid>
      <w:tr w:rsidR="00D63D1C" w:rsidRPr="00347B16" w14:paraId="7B69CA2F" w14:textId="77777777" w:rsidTr="00203497">
        <w:trPr>
          <w:cantSplit/>
          <w:tblHeader/>
          <w:jc w:val="center"/>
        </w:trPr>
        <w:tc>
          <w:tcPr>
            <w:tcW w:w="2405" w:type="dxa"/>
            <w:shd w:val="clear" w:color="auto" w:fill="D9EAF7"/>
            <w:tcMar>
              <w:top w:w="65" w:type="dxa"/>
              <w:left w:w="75" w:type="dxa"/>
              <w:bottom w:w="65" w:type="dxa"/>
              <w:right w:w="75" w:type="dxa"/>
            </w:tcMar>
            <w:vAlign w:val="center"/>
          </w:tcPr>
          <w:p w14:paraId="7B240E0D" w14:textId="77777777" w:rsidR="00D63D1C" w:rsidRPr="00347B16" w:rsidRDefault="00145097">
            <w:pPr>
              <w:spacing w:after="30" w:line="240" w:lineRule="auto"/>
              <w:rPr>
                <w:szCs w:val="20"/>
              </w:rPr>
            </w:pPr>
            <w:r w:rsidRPr="00347B16">
              <w:rPr>
                <w:b/>
                <w:color w:val="FFFFFF"/>
                <w:sz w:val="18"/>
                <w:szCs w:val="20"/>
              </w:rPr>
              <w:t>Pojem</w:t>
            </w:r>
          </w:p>
        </w:tc>
        <w:tc>
          <w:tcPr>
            <w:tcW w:w="8099" w:type="dxa"/>
            <w:shd w:val="clear" w:color="auto" w:fill="D9EAF7"/>
            <w:tcMar>
              <w:top w:w="65" w:type="dxa"/>
              <w:left w:w="75" w:type="dxa"/>
              <w:bottom w:w="65" w:type="dxa"/>
              <w:right w:w="75" w:type="dxa"/>
            </w:tcMar>
            <w:vAlign w:val="center"/>
          </w:tcPr>
          <w:p w14:paraId="5C8B844A" w14:textId="77777777" w:rsidR="00D63D1C" w:rsidRPr="00347B16" w:rsidRDefault="00145097">
            <w:pPr>
              <w:spacing w:after="30" w:line="240" w:lineRule="auto"/>
              <w:rPr>
                <w:szCs w:val="20"/>
              </w:rPr>
            </w:pPr>
            <w:r w:rsidRPr="00347B16">
              <w:rPr>
                <w:b/>
                <w:color w:val="FFFFFF"/>
                <w:sz w:val="18"/>
                <w:szCs w:val="20"/>
              </w:rPr>
              <w:t>Význam</w:t>
            </w:r>
          </w:p>
        </w:tc>
      </w:tr>
      <w:tr w:rsidR="00D63D1C" w:rsidRPr="00347B16" w14:paraId="4F356FAB" w14:textId="77777777" w:rsidTr="00203497">
        <w:trPr>
          <w:cantSplit/>
          <w:jc w:val="center"/>
        </w:trPr>
        <w:tc>
          <w:tcPr>
            <w:tcW w:w="2405" w:type="dxa"/>
            <w:tcMar>
              <w:top w:w="65" w:type="dxa"/>
              <w:left w:w="75" w:type="dxa"/>
              <w:bottom w:w="65" w:type="dxa"/>
              <w:right w:w="75" w:type="dxa"/>
            </w:tcMar>
            <w:vAlign w:val="center"/>
          </w:tcPr>
          <w:p w14:paraId="71755CB1" w14:textId="77777777" w:rsidR="00103A81" w:rsidRPr="00347B16" w:rsidRDefault="00347B16">
            <w:pPr>
              <w:spacing w:after="0"/>
            </w:pPr>
            <w:r>
              <w:rPr>
                <w:b/>
                <w:sz w:val="18"/>
              </w:rPr>
              <w:t>Logovací profil</w:t>
            </w:r>
          </w:p>
        </w:tc>
        <w:tc>
          <w:tcPr>
            <w:tcW w:w="8099" w:type="dxa"/>
            <w:tcMar>
              <w:top w:w="65" w:type="dxa"/>
              <w:left w:w="75" w:type="dxa"/>
              <w:bottom w:w="65" w:type="dxa"/>
              <w:right w:w="75" w:type="dxa"/>
            </w:tcMar>
            <w:vAlign w:val="center"/>
          </w:tcPr>
          <w:p w14:paraId="09BBFC9A" w14:textId="77777777" w:rsidR="00103A81" w:rsidRPr="00347B16" w:rsidRDefault="00347B16">
            <w:pPr>
              <w:spacing w:after="0"/>
            </w:pPr>
            <w:r>
              <w:rPr>
                <w:sz w:val="18"/>
              </w:rPr>
              <w:t xml:space="preserve">riadený odborný dokument pre konkrétny systém alebo službu, ktorý určuje zdroje, udalosti, formát, prenos, </w:t>
            </w:r>
            <w:proofErr w:type="spellStart"/>
            <w:r>
              <w:rPr>
                <w:sz w:val="18"/>
              </w:rPr>
              <w:t>retenciu</w:t>
            </w:r>
            <w:proofErr w:type="spellEnd"/>
            <w:r>
              <w:rPr>
                <w:sz w:val="18"/>
              </w:rPr>
              <w:t>, detekciu, prístupové roly a ďalšie logovacie parametre v medziach zmluvnej dokumentácie a tejto prílohy</w:t>
            </w:r>
          </w:p>
        </w:tc>
      </w:tr>
      <w:tr w:rsidR="00D63D1C" w:rsidRPr="00347B16" w14:paraId="3C8A98CE" w14:textId="77777777" w:rsidTr="00203497">
        <w:trPr>
          <w:cantSplit/>
          <w:jc w:val="center"/>
        </w:trPr>
        <w:tc>
          <w:tcPr>
            <w:tcW w:w="2405" w:type="dxa"/>
            <w:shd w:val="clear" w:color="auto" w:fill="F2F2F2"/>
            <w:tcMar>
              <w:top w:w="65" w:type="dxa"/>
              <w:left w:w="75" w:type="dxa"/>
              <w:bottom w:w="65" w:type="dxa"/>
              <w:right w:w="75" w:type="dxa"/>
            </w:tcMar>
            <w:vAlign w:val="center"/>
          </w:tcPr>
          <w:p w14:paraId="2E5A0E49" w14:textId="77777777" w:rsidR="00D63D1C" w:rsidRPr="00347B16" w:rsidRDefault="00145097">
            <w:pPr>
              <w:spacing w:after="30" w:line="240" w:lineRule="auto"/>
              <w:rPr>
                <w:szCs w:val="20"/>
              </w:rPr>
            </w:pPr>
            <w:r w:rsidRPr="00347B16">
              <w:rPr>
                <w:b/>
                <w:sz w:val="18"/>
                <w:szCs w:val="20"/>
              </w:rPr>
              <w:t>CEF</w:t>
            </w:r>
          </w:p>
        </w:tc>
        <w:tc>
          <w:tcPr>
            <w:tcW w:w="8099" w:type="dxa"/>
            <w:shd w:val="clear" w:color="auto" w:fill="F2F2F2"/>
            <w:tcMar>
              <w:top w:w="65" w:type="dxa"/>
              <w:left w:w="75" w:type="dxa"/>
              <w:bottom w:w="65" w:type="dxa"/>
              <w:right w:w="75" w:type="dxa"/>
            </w:tcMar>
            <w:vAlign w:val="center"/>
          </w:tcPr>
          <w:p w14:paraId="405CA490" w14:textId="77777777" w:rsidR="00D63D1C" w:rsidRPr="00347B16" w:rsidRDefault="00145097">
            <w:pPr>
              <w:spacing w:after="30" w:line="240" w:lineRule="auto"/>
              <w:rPr>
                <w:szCs w:val="20"/>
              </w:rPr>
            </w:pPr>
            <w:proofErr w:type="spellStart"/>
            <w:r w:rsidRPr="00347B16">
              <w:rPr>
                <w:sz w:val="18"/>
                <w:szCs w:val="20"/>
              </w:rPr>
              <w:t>Common</w:t>
            </w:r>
            <w:proofErr w:type="spellEnd"/>
            <w:r w:rsidRPr="00347B16">
              <w:rPr>
                <w:sz w:val="18"/>
                <w:szCs w:val="20"/>
              </w:rPr>
              <w:t xml:space="preserve"> Event </w:t>
            </w:r>
            <w:proofErr w:type="spellStart"/>
            <w:r w:rsidRPr="00347B16">
              <w:rPr>
                <w:sz w:val="18"/>
                <w:szCs w:val="20"/>
              </w:rPr>
              <w:t>Format</w:t>
            </w:r>
            <w:proofErr w:type="spellEnd"/>
          </w:p>
        </w:tc>
      </w:tr>
      <w:tr w:rsidR="00D63D1C" w:rsidRPr="00347B16" w14:paraId="4AD96C88" w14:textId="77777777" w:rsidTr="00203497">
        <w:trPr>
          <w:cantSplit/>
          <w:jc w:val="center"/>
        </w:trPr>
        <w:tc>
          <w:tcPr>
            <w:tcW w:w="2405" w:type="dxa"/>
            <w:tcMar>
              <w:top w:w="65" w:type="dxa"/>
              <w:left w:w="75" w:type="dxa"/>
              <w:bottom w:w="65" w:type="dxa"/>
              <w:right w:w="75" w:type="dxa"/>
            </w:tcMar>
            <w:vAlign w:val="center"/>
          </w:tcPr>
          <w:p w14:paraId="5B6D70AE" w14:textId="77777777" w:rsidR="00D63D1C" w:rsidRPr="00347B16" w:rsidRDefault="00145097">
            <w:pPr>
              <w:spacing w:after="30" w:line="240" w:lineRule="auto"/>
              <w:rPr>
                <w:szCs w:val="20"/>
              </w:rPr>
            </w:pPr>
            <w:r w:rsidRPr="00347B16">
              <w:rPr>
                <w:b/>
                <w:sz w:val="18"/>
                <w:szCs w:val="20"/>
              </w:rPr>
              <w:t>MTTA</w:t>
            </w:r>
          </w:p>
        </w:tc>
        <w:tc>
          <w:tcPr>
            <w:tcW w:w="8099" w:type="dxa"/>
            <w:tcMar>
              <w:top w:w="65" w:type="dxa"/>
              <w:left w:w="75" w:type="dxa"/>
              <w:bottom w:w="65" w:type="dxa"/>
              <w:right w:w="75" w:type="dxa"/>
            </w:tcMar>
            <w:vAlign w:val="center"/>
          </w:tcPr>
          <w:p w14:paraId="5901397C" w14:textId="77777777" w:rsidR="00D63D1C" w:rsidRPr="00347B16" w:rsidRDefault="00145097">
            <w:pPr>
              <w:spacing w:after="30" w:line="240" w:lineRule="auto"/>
              <w:rPr>
                <w:szCs w:val="20"/>
              </w:rPr>
            </w:pPr>
            <w:r w:rsidRPr="00347B16">
              <w:rPr>
                <w:sz w:val="18"/>
                <w:szCs w:val="20"/>
              </w:rPr>
              <w:t>priemerný čas prevzatia upozornenia</w:t>
            </w:r>
          </w:p>
        </w:tc>
      </w:tr>
      <w:tr w:rsidR="00D63D1C" w:rsidRPr="00347B16" w14:paraId="5014C5F9" w14:textId="77777777" w:rsidTr="00203497">
        <w:trPr>
          <w:cantSplit/>
          <w:jc w:val="center"/>
        </w:trPr>
        <w:tc>
          <w:tcPr>
            <w:tcW w:w="2405" w:type="dxa"/>
            <w:shd w:val="clear" w:color="auto" w:fill="F2F2F2"/>
            <w:tcMar>
              <w:top w:w="65" w:type="dxa"/>
              <w:left w:w="75" w:type="dxa"/>
              <w:bottom w:w="65" w:type="dxa"/>
              <w:right w:w="75" w:type="dxa"/>
            </w:tcMar>
            <w:vAlign w:val="center"/>
          </w:tcPr>
          <w:p w14:paraId="31E7D950" w14:textId="77777777" w:rsidR="00D63D1C" w:rsidRPr="00347B16" w:rsidRDefault="00145097">
            <w:pPr>
              <w:spacing w:after="30" w:line="240" w:lineRule="auto"/>
              <w:rPr>
                <w:szCs w:val="20"/>
              </w:rPr>
            </w:pPr>
            <w:r w:rsidRPr="00347B16">
              <w:rPr>
                <w:b/>
                <w:sz w:val="18"/>
                <w:szCs w:val="20"/>
              </w:rPr>
              <w:t>MTTD</w:t>
            </w:r>
          </w:p>
        </w:tc>
        <w:tc>
          <w:tcPr>
            <w:tcW w:w="8099" w:type="dxa"/>
            <w:shd w:val="clear" w:color="auto" w:fill="F2F2F2"/>
            <w:tcMar>
              <w:top w:w="65" w:type="dxa"/>
              <w:left w:w="75" w:type="dxa"/>
              <w:bottom w:w="65" w:type="dxa"/>
              <w:right w:w="75" w:type="dxa"/>
            </w:tcMar>
            <w:vAlign w:val="center"/>
          </w:tcPr>
          <w:p w14:paraId="6D1EEF73" w14:textId="77777777" w:rsidR="00D63D1C" w:rsidRPr="00347B16" w:rsidRDefault="00145097">
            <w:pPr>
              <w:spacing w:after="30" w:line="240" w:lineRule="auto"/>
              <w:rPr>
                <w:szCs w:val="20"/>
              </w:rPr>
            </w:pPr>
            <w:r w:rsidRPr="00347B16">
              <w:rPr>
                <w:sz w:val="18"/>
                <w:szCs w:val="20"/>
              </w:rPr>
              <w:t>priemerný čas detekcie</w:t>
            </w:r>
          </w:p>
        </w:tc>
      </w:tr>
      <w:tr w:rsidR="00D63D1C" w:rsidRPr="00347B16" w14:paraId="4DADC4A1" w14:textId="77777777" w:rsidTr="00203497">
        <w:trPr>
          <w:cantSplit/>
          <w:jc w:val="center"/>
        </w:trPr>
        <w:tc>
          <w:tcPr>
            <w:tcW w:w="2405" w:type="dxa"/>
            <w:tcMar>
              <w:top w:w="65" w:type="dxa"/>
              <w:left w:w="75" w:type="dxa"/>
              <w:bottom w:w="65" w:type="dxa"/>
              <w:right w:w="75" w:type="dxa"/>
            </w:tcMar>
            <w:vAlign w:val="center"/>
          </w:tcPr>
          <w:p w14:paraId="5DEED18C" w14:textId="77777777" w:rsidR="00D63D1C" w:rsidRPr="00347B16" w:rsidRDefault="00145097">
            <w:pPr>
              <w:spacing w:after="30" w:line="240" w:lineRule="auto"/>
              <w:rPr>
                <w:szCs w:val="20"/>
              </w:rPr>
            </w:pPr>
            <w:r w:rsidRPr="00347B16">
              <w:rPr>
                <w:b/>
                <w:sz w:val="18"/>
                <w:szCs w:val="20"/>
              </w:rPr>
              <w:t>SIEM</w:t>
            </w:r>
          </w:p>
        </w:tc>
        <w:tc>
          <w:tcPr>
            <w:tcW w:w="8099" w:type="dxa"/>
            <w:tcMar>
              <w:top w:w="65" w:type="dxa"/>
              <w:left w:w="75" w:type="dxa"/>
              <w:bottom w:w="65" w:type="dxa"/>
              <w:right w:w="75" w:type="dxa"/>
            </w:tcMar>
            <w:vAlign w:val="center"/>
          </w:tcPr>
          <w:p w14:paraId="272835A4" w14:textId="77777777" w:rsidR="00D63D1C" w:rsidRPr="00347B16" w:rsidRDefault="00145097">
            <w:pPr>
              <w:spacing w:after="30" w:line="240" w:lineRule="auto"/>
              <w:rPr>
                <w:szCs w:val="20"/>
              </w:rPr>
            </w:pPr>
            <w:r w:rsidRPr="00347B16">
              <w:rPr>
                <w:sz w:val="18"/>
                <w:szCs w:val="20"/>
              </w:rPr>
              <w:t>systém centralizovaného zberu a korelácie udalostí</w:t>
            </w:r>
          </w:p>
        </w:tc>
      </w:tr>
      <w:tr w:rsidR="00D63D1C" w:rsidRPr="00347B16" w14:paraId="72AA3AFA" w14:textId="77777777" w:rsidTr="00203497">
        <w:trPr>
          <w:cantSplit/>
          <w:jc w:val="center"/>
        </w:trPr>
        <w:tc>
          <w:tcPr>
            <w:tcW w:w="2405" w:type="dxa"/>
            <w:shd w:val="clear" w:color="auto" w:fill="F2F2F2"/>
            <w:tcMar>
              <w:top w:w="65" w:type="dxa"/>
              <w:left w:w="75" w:type="dxa"/>
              <w:bottom w:w="65" w:type="dxa"/>
              <w:right w:w="75" w:type="dxa"/>
            </w:tcMar>
            <w:vAlign w:val="center"/>
          </w:tcPr>
          <w:p w14:paraId="7320F1CD" w14:textId="77777777" w:rsidR="00D63D1C" w:rsidRPr="00347B16" w:rsidRDefault="00145097">
            <w:pPr>
              <w:spacing w:after="30" w:line="240" w:lineRule="auto"/>
              <w:rPr>
                <w:szCs w:val="20"/>
              </w:rPr>
            </w:pPr>
            <w:r w:rsidRPr="00347B16">
              <w:rPr>
                <w:b/>
                <w:sz w:val="18"/>
                <w:szCs w:val="20"/>
              </w:rPr>
              <w:t>SOC</w:t>
            </w:r>
          </w:p>
        </w:tc>
        <w:tc>
          <w:tcPr>
            <w:tcW w:w="8099" w:type="dxa"/>
            <w:shd w:val="clear" w:color="auto" w:fill="F2F2F2"/>
            <w:tcMar>
              <w:top w:w="65" w:type="dxa"/>
              <w:left w:w="75" w:type="dxa"/>
              <w:bottom w:w="65" w:type="dxa"/>
              <w:right w:w="75" w:type="dxa"/>
            </w:tcMar>
            <w:vAlign w:val="center"/>
          </w:tcPr>
          <w:p w14:paraId="30C158E5" w14:textId="77777777" w:rsidR="00D63D1C" w:rsidRPr="00347B16" w:rsidRDefault="00145097">
            <w:pPr>
              <w:spacing w:after="30" w:line="240" w:lineRule="auto"/>
              <w:rPr>
                <w:szCs w:val="20"/>
              </w:rPr>
            </w:pPr>
            <w:r w:rsidRPr="00347B16">
              <w:rPr>
                <w:sz w:val="18"/>
                <w:szCs w:val="20"/>
              </w:rPr>
              <w:t>bezpečnostné operačné centrum</w:t>
            </w:r>
          </w:p>
        </w:tc>
      </w:tr>
      <w:tr w:rsidR="00D63D1C" w:rsidRPr="00347B16" w14:paraId="47637B0C" w14:textId="77777777" w:rsidTr="00203497">
        <w:trPr>
          <w:cantSplit/>
          <w:jc w:val="center"/>
        </w:trPr>
        <w:tc>
          <w:tcPr>
            <w:tcW w:w="2405" w:type="dxa"/>
            <w:tcMar>
              <w:top w:w="65" w:type="dxa"/>
              <w:left w:w="75" w:type="dxa"/>
              <w:bottom w:w="65" w:type="dxa"/>
              <w:right w:w="75" w:type="dxa"/>
            </w:tcMar>
            <w:vAlign w:val="center"/>
          </w:tcPr>
          <w:p w14:paraId="5A3E3D4A" w14:textId="77777777" w:rsidR="00D63D1C" w:rsidRPr="00347B16" w:rsidRDefault="00145097">
            <w:pPr>
              <w:spacing w:after="30" w:line="240" w:lineRule="auto"/>
              <w:rPr>
                <w:szCs w:val="20"/>
              </w:rPr>
            </w:pPr>
            <w:r w:rsidRPr="00347B16">
              <w:rPr>
                <w:b/>
                <w:sz w:val="18"/>
                <w:szCs w:val="20"/>
              </w:rPr>
              <w:t>UTC</w:t>
            </w:r>
          </w:p>
        </w:tc>
        <w:tc>
          <w:tcPr>
            <w:tcW w:w="8099" w:type="dxa"/>
            <w:tcMar>
              <w:top w:w="65" w:type="dxa"/>
              <w:left w:w="75" w:type="dxa"/>
              <w:bottom w:w="65" w:type="dxa"/>
              <w:right w:w="75" w:type="dxa"/>
            </w:tcMar>
            <w:vAlign w:val="center"/>
          </w:tcPr>
          <w:p w14:paraId="2AE6BF7D" w14:textId="77777777" w:rsidR="00D63D1C" w:rsidRPr="00347B16" w:rsidRDefault="00145097">
            <w:pPr>
              <w:spacing w:after="30" w:line="240" w:lineRule="auto"/>
              <w:rPr>
                <w:szCs w:val="20"/>
              </w:rPr>
            </w:pPr>
            <w:r w:rsidRPr="00347B16">
              <w:rPr>
                <w:sz w:val="18"/>
                <w:szCs w:val="20"/>
              </w:rPr>
              <w:t>koordinovaný svetový čas</w:t>
            </w:r>
          </w:p>
        </w:tc>
      </w:tr>
      <w:tr w:rsidR="00D63D1C" w:rsidRPr="00347B16" w14:paraId="79289750" w14:textId="77777777" w:rsidTr="00203497">
        <w:trPr>
          <w:cantSplit/>
          <w:jc w:val="center"/>
        </w:trPr>
        <w:tc>
          <w:tcPr>
            <w:tcW w:w="2405" w:type="dxa"/>
            <w:shd w:val="clear" w:color="auto" w:fill="F2F2F2"/>
            <w:tcMar>
              <w:top w:w="65" w:type="dxa"/>
              <w:left w:w="75" w:type="dxa"/>
              <w:bottom w:w="65" w:type="dxa"/>
              <w:right w:w="75" w:type="dxa"/>
            </w:tcMar>
            <w:vAlign w:val="center"/>
          </w:tcPr>
          <w:p w14:paraId="6887E8B0" w14:textId="77777777" w:rsidR="00D63D1C" w:rsidRPr="00347B16" w:rsidRDefault="00145097">
            <w:pPr>
              <w:spacing w:after="30" w:line="240" w:lineRule="auto"/>
              <w:rPr>
                <w:szCs w:val="20"/>
              </w:rPr>
            </w:pPr>
            <w:r w:rsidRPr="00347B16">
              <w:rPr>
                <w:b/>
                <w:sz w:val="18"/>
                <w:szCs w:val="20"/>
              </w:rPr>
              <w:t>WORM</w:t>
            </w:r>
          </w:p>
        </w:tc>
        <w:tc>
          <w:tcPr>
            <w:tcW w:w="8099" w:type="dxa"/>
            <w:shd w:val="clear" w:color="auto" w:fill="F2F2F2"/>
            <w:tcMar>
              <w:top w:w="65" w:type="dxa"/>
              <w:left w:w="75" w:type="dxa"/>
              <w:bottom w:w="65" w:type="dxa"/>
              <w:right w:w="75" w:type="dxa"/>
            </w:tcMar>
            <w:vAlign w:val="center"/>
          </w:tcPr>
          <w:p w14:paraId="5A867B5F" w14:textId="77777777" w:rsidR="00D63D1C" w:rsidRPr="00347B16" w:rsidRDefault="00145097">
            <w:pPr>
              <w:spacing w:after="30" w:line="240" w:lineRule="auto"/>
              <w:rPr>
                <w:szCs w:val="20"/>
              </w:rPr>
            </w:pPr>
            <w:r w:rsidRPr="00347B16">
              <w:rPr>
                <w:sz w:val="18"/>
                <w:szCs w:val="20"/>
              </w:rPr>
              <w:t>režim jednorazového zápisu a opakovaného čítania</w:t>
            </w:r>
          </w:p>
        </w:tc>
      </w:tr>
      <w:tr w:rsidR="00103A81" w:rsidRPr="00347B16" w14:paraId="4AC7D98F" w14:textId="77777777" w:rsidTr="00203497">
        <w:trPr>
          <w:jc w:val="center"/>
        </w:trPr>
        <w:tc>
          <w:tcPr>
            <w:tcW w:w="2405" w:type="dxa"/>
            <w:vAlign w:val="center"/>
          </w:tcPr>
          <w:p w14:paraId="525A6731" w14:textId="77777777" w:rsidR="00103A81" w:rsidRPr="00347B16" w:rsidRDefault="00347B16">
            <w:pPr>
              <w:spacing w:after="0"/>
            </w:pPr>
            <w:r w:rsidRPr="00347B16">
              <w:rPr>
                <w:b/>
                <w:sz w:val="18"/>
              </w:rPr>
              <w:t>Základný zmluvný vzťah</w:t>
            </w:r>
          </w:p>
        </w:tc>
        <w:tc>
          <w:tcPr>
            <w:tcW w:w="8099" w:type="dxa"/>
            <w:vAlign w:val="center"/>
          </w:tcPr>
          <w:p w14:paraId="699FCF22" w14:textId="77777777" w:rsidR="00103A81" w:rsidRPr="00347B16" w:rsidRDefault="00347B16">
            <w:pPr>
              <w:spacing w:after="0"/>
            </w:pPr>
            <w:r w:rsidRPr="00347B16">
              <w:rPr>
                <w:sz w:val="18"/>
              </w:rPr>
              <w:t xml:space="preserve">zmluva, rámcová dohoda, dohoda, objednávka, na základe ktorej vznikol zmluvný vzťah, alebo iný zmluvný dokument či právny titul, na základe ktorého dodávateľ poskytuje alebo má poskytovať prevádzkovateľovi plnenie, ku ktorému sa vzťahuje </w:t>
            </w:r>
            <w:proofErr w:type="spellStart"/>
            <w:r w:rsidRPr="00347B16">
              <w:rPr>
                <w:sz w:val="18"/>
              </w:rPr>
              <w:t>Kyberzmluva</w:t>
            </w:r>
            <w:proofErr w:type="spellEnd"/>
            <w:r w:rsidRPr="00347B16">
              <w:rPr>
                <w:sz w:val="18"/>
              </w:rPr>
              <w:t>.</w:t>
            </w:r>
          </w:p>
        </w:tc>
      </w:tr>
    </w:tbl>
    <w:p w14:paraId="4B94D5A5" w14:textId="77777777" w:rsidR="00D63D1C" w:rsidRDefault="00D63D1C">
      <w:pPr>
        <w:rPr>
          <w:szCs w:val="20"/>
        </w:rPr>
      </w:pPr>
    </w:p>
    <w:p w14:paraId="3DEEC669" w14:textId="77777777" w:rsidR="003F5044" w:rsidRDefault="003F5044">
      <w:pPr>
        <w:rPr>
          <w:szCs w:val="20"/>
        </w:rPr>
      </w:pPr>
    </w:p>
    <w:p w14:paraId="3656B9AB" w14:textId="77777777" w:rsidR="003F5044" w:rsidRDefault="003F5044">
      <w:pPr>
        <w:rPr>
          <w:szCs w:val="20"/>
        </w:rPr>
      </w:pPr>
    </w:p>
    <w:p w14:paraId="45FB0818" w14:textId="77777777" w:rsidR="003F5044" w:rsidRPr="00347B16" w:rsidRDefault="003F5044">
      <w:pPr>
        <w:rPr>
          <w:szCs w:val="20"/>
        </w:rPr>
      </w:pPr>
    </w:p>
    <w:p w14:paraId="1562806C" w14:textId="77777777" w:rsidR="003F5044" w:rsidRDefault="0042542B" w:rsidP="0042542B">
      <w:pPr>
        <w:pStyle w:val="Normlnywebov"/>
        <w:spacing w:before="120" w:beforeAutospacing="0" w:after="40" w:afterAutospacing="0"/>
        <w:rPr>
          <w:rFonts w:ascii="Arial" w:eastAsia="Arial" w:hAnsi="Arial" w:cs="Arial"/>
          <w:b/>
          <w:bCs/>
          <w:color w:val="1F4E78"/>
          <w:sz w:val="20"/>
          <w:szCs w:val="20"/>
          <w:u w:val="single"/>
          <w:lang w:eastAsia="en-US"/>
        </w:rPr>
      </w:pPr>
      <w:r w:rsidRPr="002B769B">
        <w:rPr>
          <w:rFonts w:ascii="Arial" w:eastAsia="Arial" w:hAnsi="Arial" w:cs="Arial"/>
          <w:b/>
          <w:bCs/>
          <w:color w:val="1F497D" w:themeColor="text2"/>
          <w:sz w:val="20"/>
          <w:szCs w:val="20"/>
          <w:lang w:eastAsia="en-US"/>
        </w:rPr>
        <w:t xml:space="preserve">12. </w:t>
      </w:r>
      <w:r w:rsidR="003F5044" w:rsidRPr="002B769B">
        <w:rPr>
          <w:rFonts w:ascii="Arial" w:eastAsia="Arial" w:hAnsi="Arial" w:cs="Arial"/>
          <w:b/>
          <w:bCs/>
          <w:color w:val="1F497D" w:themeColor="text2"/>
          <w:sz w:val="20"/>
          <w:szCs w:val="20"/>
          <w:u w:val="single"/>
          <w:lang w:eastAsia="en-US"/>
        </w:rPr>
        <w:t xml:space="preserve">Právne, metodické a vnútorné východiská </w:t>
      </w:r>
    </w:p>
    <w:p w14:paraId="59F41014" w14:textId="77777777" w:rsidR="009F0B98" w:rsidRDefault="009F0B98" w:rsidP="009F0B98">
      <w:pPr>
        <w:spacing w:after="60"/>
        <w:jc w:val="both"/>
      </w:pPr>
      <w:r>
        <w:t xml:space="preserve">Táto príloha sa vykladá a uplatňuje spolu s </w:t>
      </w:r>
      <w:proofErr w:type="spellStart"/>
      <w:r>
        <w:t>Kyberzmluvou</w:t>
      </w:r>
      <w:proofErr w:type="spellEnd"/>
      <w:r>
        <w:t>, jej ďalšími prílohami, základným zmluvným vzťahom a aplikovateľnými právnymi, regulačnými, metodickými a vnútornými požiadavkami. Uvedenie zdroja v tejto časti samo osebe nerozširuje jeho vecnú pôsobnosť; vždy sa posudzuje jeho aplikovateľnosť na konkrétny systém, službu, logovací profil, údaje, riziká a postavenie zmluvných strán.</w:t>
      </w:r>
    </w:p>
    <w:p w14:paraId="08181670" w14:textId="77777777" w:rsidR="0042542B" w:rsidRPr="002B769B" w:rsidRDefault="0042542B" w:rsidP="00FB32AC">
      <w:pPr>
        <w:pStyle w:val="Normlnywebov"/>
        <w:spacing w:before="120" w:beforeAutospacing="0" w:after="40" w:afterAutospacing="0"/>
        <w:ind w:firstLine="284"/>
        <w:jc w:val="both"/>
        <w:rPr>
          <w:color w:val="1F497D" w:themeColor="text2"/>
        </w:rPr>
      </w:pPr>
      <w:r w:rsidRPr="002B769B">
        <w:rPr>
          <w:rFonts w:ascii="Arial" w:eastAsia="Arial" w:hAnsi="Arial" w:cs="Arial"/>
          <w:b/>
          <w:bCs/>
          <w:color w:val="1F497D" w:themeColor="text2"/>
          <w:sz w:val="20"/>
          <w:szCs w:val="20"/>
          <w:lang w:eastAsia="en-US"/>
        </w:rPr>
        <w:t>Všeobecne záväzné právne predpisy Slovenskej republiky</w:t>
      </w:r>
    </w:p>
    <w:p w14:paraId="595EB304"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Zákon č. 69/2018 Z. z. o kybernetickej bezpečnosti</w:t>
      </w:r>
      <w:r>
        <w:rPr>
          <w:rFonts w:ascii="Arial" w:hAnsi="Arial" w:cs="Arial"/>
          <w:sz w:val="20"/>
          <w:szCs w:val="20"/>
        </w:rPr>
        <w:t xml:space="preserve"> a o zmene a doplnení niektorých zákonov v znení neskorších predpisov a jeho aplikovateľné vykonávacie predpisy, najmä:</w:t>
      </w:r>
    </w:p>
    <w:p w14:paraId="71B85CBB"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vyhláška Národného bezpečnostného úradu č. 226/2025 Z. z., ktorou sa ustanovujú podrobnosti o hláseniach, v znení neskorších predpisov;</w:t>
      </w:r>
    </w:p>
    <w:p w14:paraId="189EF766"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vyhláška Národného bezpečnostného úradu č. 227/2025 Z. z. o bezpečnostných opatreniach v znení neskorších predpisov;</w:t>
      </w:r>
    </w:p>
    <w:p w14:paraId="71F121F2"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vyhláška Národného bezpečnostného úradu č. 493/2022 Z. z. o audite kybernetickej bezpečnosti v znení vyhlášky Národného bezpečnostného úradu č. 212/2026 Z. z., ktorou sa mení a dopĺňa vyhláška Národného bezpečnostného úradu č. 493/2022 Z. z. o audite kybernetickej bezpečnosti, účinnej od 1. septembra 2026.</w:t>
      </w:r>
    </w:p>
    <w:p w14:paraId="57DB87A1"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Zákon č. 95/2019 Z. z. o informačných technológiách vo verejnej správe</w:t>
      </w:r>
      <w:r>
        <w:rPr>
          <w:rFonts w:ascii="Arial" w:hAnsi="Arial" w:cs="Arial"/>
          <w:sz w:val="20"/>
          <w:szCs w:val="20"/>
        </w:rPr>
        <w:t xml:space="preserve"> a o zmene a doplnení niektorých zákonov v znení neskorších predpisov a jeho aplikovateľné vykonávacie predpisy, najmä:</w:t>
      </w:r>
    </w:p>
    <w:p w14:paraId="045BF294"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vyhláška Úradu podpredsedu vlády Slovenskej republiky pre investície a informatizáciu č. 78/2020 Z. z. o štandardoch pre informačné technológie verejnej správy v znení neskorších predpisov;</w:t>
      </w:r>
    </w:p>
    <w:p w14:paraId="1268AAF8"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vyhláška Úradu podpredsedu vlády Slovenskej republiky pre investície a informatizáciu č. 179/2020 Z. z., ktorou sa ustanovuje spôsob kategorizácie a obsah bezpečnostných opatrení informačných technológií verejnej správy, v znení neskorších predpisov, počas jej účinnosti do 31. decembra 2026;</w:t>
      </w:r>
    </w:p>
    <w:p w14:paraId="274B83C5"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vyhláška Ministerstva investícií, regionálneho rozvoja a informatizácie Slovenskej republiky č. 184/2026 Z. z., ktorou sa ustanovuje spôsob kategorizácie a obsah bezpečnostných opatrení informačných technológií verejnej správy, v znení neskorších predpisov, od 1. januára 2027 vrátane jej prechodných ustanovení.</w:t>
      </w:r>
    </w:p>
    <w:p w14:paraId="4B864649"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Zákon č. 18/2018 Z. z. o ochrane osobných údajov</w:t>
      </w:r>
      <w:r>
        <w:rPr>
          <w:rFonts w:ascii="Arial" w:hAnsi="Arial" w:cs="Arial"/>
          <w:sz w:val="20"/>
          <w:szCs w:val="20"/>
        </w:rPr>
        <w:t xml:space="preserve"> a o zmene a doplnení niektorých zákonov v znení neskorších predpisov, najmä ak prevádzkové alebo bezpečnostné záznamy obsahujú osobné údaje.</w:t>
      </w:r>
    </w:p>
    <w:p w14:paraId="3345864F"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Zákon č. 367/2024 Z. z. o kritickej infraštruktúre</w:t>
      </w:r>
      <w:r>
        <w:rPr>
          <w:rFonts w:ascii="Arial" w:hAnsi="Arial" w:cs="Arial"/>
          <w:sz w:val="20"/>
          <w:szCs w:val="20"/>
        </w:rPr>
        <w:t xml:space="preserve"> a o zmene a doplnení niektorých zákonov v znení neskorších predpisov, podľa aplikovateľnosti.</w:t>
      </w:r>
    </w:p>
    <w:p w14:paraId="65BD7198"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Zákon č. 305/2013 Z. z. o elektronickej podobe výkonu pôsobnosti orgánov verejnej moci</w:t>
      </w:r>
      <w:r>
        <w:rPr>
          <w:rFonts w:ascii="Arial" w:hAnsi="Arial" w:cs="Arial"/>
          <w:sz w:val="20"/>
          <w:szCs w:val="20"/>
        </w:rPr>
        <w:t xml:space="preserve"> a o zmene a doplnení niektorých zákonov (zákon o e-</w:t>
      </w:r>
      <w:proofErr w:type="spellStart"/>
      <w:r>
        <w:rPr>
          <w:rFonts w:ascii="Arial" w:hAnsi="Arial" w:cs="Arial"/>
          <w:sz w:val="20"/>
          <w:szCs w:val="20"/>
        </w:rPr>
        <w:t>Governmente</w:t>
      </w:r>
      <w:proofErr w:type="spellEnd"/>
      <w:r>
        <w:rPr>
          <w:rFonts w:ascii="Arial" w:hAnsi="Arial" w:cs="Arial"/>
          <w:sz w:val="20"/>
          <w:szCs w:val="20"/>
        </w:rPr>
        <w:t>) v znení neskorších predpisov, podľa aplikovateľnosti.</w:t>
      </w:r>
    </w:p>
    <w:p w14:paraId="0CB9D6BD"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Zákon č. 395/2002 Z. z. o archívoch a registratúrach</w:t>
      </w:r>
      <w:r>
        <w:rPr>
          <w:rFonts w:ascii="Arial" w:hAnsi="Arial" w:cs="Arial"/>
          <w:sz w:val="20"/>
          <w:szCs w:val="20"/>
        </w:rPr>
        <w:t xml:space="preserve"> a o doplnení niektorých zákonov v znení neskorších predpisov, ak má konkrétny záznam povahu registratúrneho záznamu alebo sa naň vzťahuje osobitná povinnosť uchovávania.</w:t>
      </w:r>
    </w:p>
    <w:p w14:paraId="5F4870B1" w14:textId="77777777" w:rsidR="0042542B" w:rsidRPr="002B769B" w:rsidRDefault="0042542B" w:rsidP="00FB32AC">
      <w:pPr>
        <w:pStyle w:val="Normlnywebov"/>
        <w:spacing w:before="120" w:beforeAutospacing="0" w:after="40" w:afterAutospacing="0"/>
        <w:ind w:firstLine="284"/>
        <w:jc w:val="both"/>
        <w:rPr>
          <w:rFonts w:ascii="Arial" w:eastAsia="Arial" w:hAnsi="Arial" w:cs="Arial"/>
          <w:b/>
          <w:bCs/>
          <w:color w:val="1F497D" w:themeColor="text2"/>
          <w:sz w:val="20"/>
          <w:szCs w:val="20"/>
          <w:lang w:eastAsia="en-US"/>
        </w:rPr>
      </w:pPr>
      <w:r w:rsidRPr="002B769B">
        <w:rPr>
          <w:rFonts w:ascii="Arial" w:eastAsia="Arial" w:hAnsi="Arial" w:cs="Arial"/>
          <w:b/>
          <w:bCs/>
          <w:color w:val="1F497D" w:themeColor="text2"/>
          <w:sz w:val="20"/>
          <w:szCs w:val="20"/>
          <w:lang w:eastAsia="en-US"/>
        </w:rPr>
        <w:t>Právne akty Európskej únie</w:t>
      </w:r>
    </w:p>
    <w:p w14:paraId="5FC4CE6B"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Nariadenie Európskeho parlamentu a Rady (EÚ) 2016/679 z 27. apríla 2016 o ochrane fyzických osôb pri spracúvaní osobných údajov a o voľnom pohybe takýchto údajov, ktorým sa zrušuje smernica 95/46/ES (všeobecné nariadenie o ochrane údajov), v platnom znení (GDPR), najmä pri spracúvaní osobných údajov v logoch.</w:t>
      </w:r>
    </w:p>
    <w:p w14:paraId="434CDF97" w14:textId="77777777" w:rsidR="009F0B98" w:rsidRDefault="009F0B98" w:rsidP="00FB32AC">
      <w:pPr>
        <w:pStyle w:val="codex-docx-previewodsekzoznamu"/>
        <w:spacing w:before="0" w:beforeAutospacing="0" w:after="30" w:afterAutospacing="0"/>
        <w:ind w:left="567" w:hanging="187"/>
        <w:jc w:val="both"/>
      </w:pPr>
      <w:r>
        <w:rPr>
          <w:rFonts w:ascii="Arial" w:hAnsi="Arial" w:cs="Arial"/>
          <w:sz w:val="20"/>
          <w:szCs w:val="20"/>
        </w:rPr>
        <w:t>• 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v platnom znení, podľa aplikovateľnosti na logovanie a uchovávanie záznamov systémov umelej inteligencie.</w:t>
      </w:r>
    </w:p>
    <w:p w14:paraId="18E81544" w14:textId="77777777" w:rsidR="009F0B98" w:rsidRDefault="009F0B98" w:rsidP="00FB32AC">
      <w:pPr>
        <w:pStyle w:val="codex-docx-previewodsekzoznamu"/>
        <w:spacing w:before="0" w:beforeAutospacing="0" w:after="30" w:afterAutospacing="0"/>
        <w:ind w:left="567" w:hanging="187"/>
        <w:jc w:val="both"/>
      </w:pPr>
      <w:r>
        <w:rPr>
          <w:rFonts w:ascii="Arial" w:hAnsi="Arial" w:cs="Arial"/>
          <w:sz w:val="20"/>
          <w:szCs w:val="20"/>
        </w:rPr>
        <w:t>• Nariadenie Európskeho parlamentu a Rady (EÚ) 2024/2847 z 23. októbra 2024 o horizontálnych požiadavkách kybernetickej bezpečnosti pre produkty s digitálnymi prvkami a o zmene nariadení (EÚ) č. 168/2013 a (EÚ) 2019/1020 a smernice (EÚ) 2020/1828 (akt o kybernetickej odolnosti), v platnom znení, podľa aplikovateľnosti.</w:t>
      </w:r>
    </w:p>
    <w:p w14:paraId="5FDAB6FD"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Nariadenie Európskeho parlamentu a Rady (EÚ) č. 910/2014 z 23. júla 2014 o elektronickej identifikácii a dôveryhodných službách pre elektronické transakcie na vnútornom trhu a o zrušení smernice 1999/93/ES, v platnom znení, podľa aplikovateľnosti.</w:t>
      </w:r>
    </w:p>
    <w:p w14:paraId="628098F0" w14:textId="77777777" w:rsidR="0042542B" w:rsidRPr="002B769B" w:rsidRDefault="0042542B" w:rsidP="00FB32AC">
      <w:pPr>
        <w:pStyle w:val="Normlnywebov"/>
        <w:spacing w:before="120" w:beforeAutospacing="0" w:after="40" w:afterAutospacing="0"/>
        <w:ind w:firstLine="284"/>
        <w:jc w:val="both"/>
        <w:rPr>
          <w:rFonts w:ascii="Arial" w:eastAsia="Arial" w:hAnsi="Arial" w:cs="Arial"/>
          <w:b/>
          <w:bCs/>
          <w:color w:val="1F497D" w:themeColor="text2"/>
          <w:sz w:val="20"/>
          <w:szCs w:val="20"/>
          <w:lang w:eastAsia="en-US"/>
        </w:rPr>
      </w:pPr>
      <w:r w:rsidRPr="002B769B">
        <w:rPr>
          <w:rFonts w:ascii="Arial" w:eastAsia="Arial" w:hAnsi="Arial" w:cs="Arial"/>
          <w:b/>
          <w:bCs/>
          <w:color w:val="1F497D" w:themeColor="text2"/>
          <w:sz w:val="20"/>
          <w:szCs w:val="20"/>
          <w:lang w:eastAsia="en-US"/>
        </w:rPr>
        <w:t>Zmluvný rámec a Vnútorné predpisy SP</w:t>
      </w:r>
    </w:p>
    <w:p w14:paraId="6206DD68"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Zmluva o zabezpečení plnenia bezpečnostných opatrení a notifikačných povinností (</w:t>
      </w:r>
      <w:proofErr w:type="spellStart"/>
      <w:r>
        <w:rPr>
          <w:rFonts w:ascii="Arial" w:hAnsi="Arial" w:cs="Arial"/>
          <w:b/>
          <w:bCs/>
          <w:sz w:val="20"/>
          <w:szCs w:val="20"/>
        </w:rPr>
        <w:t>Kyberzmluva</w:t>
      </w:r>
      <w:proofErr w:type="spellEnd"/>
      <w:r>
        <w:rPr>
          <w:rFonts w:ascii="Arial" w:hAnsi="Arial" w:cs="Arial"/>
          <w:b/>
          <w:bCs/>
          <w:sz w:val="20"/>
          <w:szCs w:val="20"/>
        </w:rPr>
        <w:t>)</w:t>
      </w:r>
      <w:r>
        <w:rPr>
          <w:rFonts w:ascii="Arial" w:hAnsi="Arial" w:cs="Arial"/>
          <w:sz w:val="20"/>
          <w:szCs w:val="20"/>
        </w:rPr>
        <w:t xml:space="preserve"> a jej prílohy, najmä Príloha č. 1 – Bezpečnostné politiky a požiadavky pre tretie strany a Príloha č. 2 – </w:t>
      </w:r>
      <w:proofErr w:type="spellStart"/>
      <w:r>
        <w:rPr>
          <w:rFonts w:ascii="Arial" w:hAnsi="Arial" w:cs="Arial"/>
          <w:sz w:val="20"/>
          <w:szCs w:val="20"/>
        </w:rPr>
        <w:lastRenderedPageBreak/>
        <w:t>Kyberbezpečnostný</w:t>
      </w:r>
      <w:proofErr w:type="spellEnd"/>
      <w:r>
        <w:rPr>
          <w:rFonts w:ascii="Arial" w:hAnsi="Arial" w:cs="Arial"/>
          <w:sz w:val="20"/>
          <w:szCs w:val="20"/>
        </w:rPr>
        <w:t xml:space="preserve"> a ITVS štandard pre projekty, technológie, prevádzku a bezpečný vývoj, ako aj ďalšia bezpečnostne relevantná zmluvná alebo technická dokumentácia konkrétneho základného zmluvného vzťahu.</w:t>
      </w:r>
    </w:p>
    <w:p w14:paraId="3D53890F" w14:textId="77777777" w:rsidR="003F5044" w:rsidRDefault="0042542B" w:rsidP="00FB32AC">
      <w:pPr>
        <w:pStyle w:val="codex-docx-previewodsekzoznamu"/>
        <w:spacing w:before="0" w:beforeAutospacing="0" w:after="30" w:afterAutospacing="0"/>
        <w:ind w:left="567" w:hanging="187"/>
        <w:jc w:val="both"/>
        <w:rPr>
          <w:rFonts w:ascii="Arial" w:hAnsi="Arial" w:cs="Arial"/>
          <w:sz w:val="20"/>
          <w:szCs w:val="20"/>
        </w:rPr>
      </w:pPr>
      <w:r>
        <w:rPr>
          <w:rFonts w:ascii="Arial" w:hAnsi="Arial" w:cs="Arial"/>
          <w:sz w:val="20"/>
          <w:szCs w:val="20"/>
        </w:rPr>
        <w:t xml:space="preserve">• </w:t>
      </w:r>
      <w:r>
        <w:rPr>
          <w:rFonts w:ascii="Arial" w:hAnsi="Arial" w:cs="Arial"/>
          <w:b/>
          <w:bCs/>
          <w:sz w:val="20"/>
          <w:szCs w:val="20"/>
        </w:rPr>
        <w:t>Vnútorné predpisy SP</w:t>
      </w:r>
      <w:r>
        <w:rPr>
          <w:rFonts w:ascii="Arial" w:hAnsi="Arial" w:cs="Arial"/>
          <w:sz w:val="20"/>
          <w:szCs w:val="20"/>
        </w:rPr>
        <w:t xml:space="preserve"> sa voči dodávateľovi uplatňujú iba podľa ich vecnej pôsobnosti a v rozsahu, v akom mu boli preukázateľne sprístupnené alebo boli ich relevantné požiadavky preukázateľne premietnuté do </w:t>
      </w:r>
    </w:p>
    <w:p w14:paraId="4E1A0E68" w14:textId="77777777" w:rsidR="0042542B" w:rsidRDefault="003F5044" w:rsidP="00FB32AC">
      <w:pPr>
        <w:pStyle w:val="codex-docx-previewodsekzoznamu"/>
        <w:spacing w:before="0" w:beforeAutospacing="0" w:after="30" w:afterAutospacing="0"/>
        <w:ind w:left="567" w:hanging="187"/>
        <w:jc w:val="both"/>
      </w:pPr>
      <w:r>
        <w:rPr>
          <w:rFonts w:ascii="Arial" w:hAnsi="Arial" w:cs="Arial"/>
          <w:sz w:val="20"/>
          <w:szCs w:val="20"/>
        </w:rPr>
        <w:tab/>
      </w:r>
      <w:r w:rsidR="0042542B">
        <w:rPr>
          <w:rFonts w:ascii="Arial" w:hAnsi="Arial" w:cs="Arial"/>
          <w:sz w:val="20"/>
          <w:szCs w:val="20"/>
        </w:rPr>
        <w:t>zmluvnej alebo technickej dokumentácie. Ak úplnému sprístupneniu bráni ochrana neverejných alebo osobitne chránených informácií, poskytne sa primeraný výňatok alebo záväzná bezpečnostná požiadavka v rozsahu potrebnom na plnenie.</w:t>
      </w:r>
    </w:p>
    <w:p w14:paraId="21CE0FA1"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Pre oblasť logovania, monitorovania, bezpečnostných udalostí, auditnej stopy, zraniteľností a incidentov sú podľa vecnej pôsobnosti relevantné najmä:</w:t>
      </w:r>
    </w:p>
    <w:p w14:paraId="106310F4" w14:textId="77777777" w:rsidR="003F5044" w:rsidRDefault="003F5044"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 xml:space="preserve">PGR č. 29/2024 Programové, projektové a zmenové riadenie v podmienkach Sociálnej </w:t>
      </w:r>
      <w:r>
        <w:rPr>
          <w:rFonts w:ascii="Arial" w:hAnsi="Arial" w:cs="Arial"/>
          <w:sz w:val="20"/>
          <w:szCs w:val="20"/>
        </w:rPr>
        <w:t>poisťovne a súvisiace metodické usmernenia podľa vecnej pôsobnosti.</w:t>
      </w:r>
    </w:p>
    <w:p w14:paraId="6C0B29AE"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20/2025 Bezpečnostná politika kybernetickej a informačnej bezpečnosti Sociálnej poisťovne</w:t>
      </w:r>
      <w:r>
        <w:rPr>
          <w:rFonts w:ascii="Arial" w:hAnsi="Arial" w:cs="Arial"/>
          <w:sz w:val="20"/>
          <w:szCs w:val="20"/>
        </w:rPr>
        <w:t>;</w:t>
      </w:r>
    </w:p>
    <w:p w14:paraId="208911BA"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22/2025 Riadenie aktív, hrozieb a rizík Sociálnej poisťovne</w:t>
      </w:r>
      <w:r>
        <w:rPr>
          <w:rFonts w:ascii="Arial" w:hAnsi="Arial" w:cs="Arial"/>
          <w:sz w:val="20"/>
          <w:szCs w:val="20"/>
        </w:rPr>
        <w:t>;</w:t>
      </w:r>
    </w:p>
    <w:p w14:paraId="5BDE041E"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24/2025 Riadenie prístupov Sociálnej poisťovne</w:t>
      </w:r>
      <w:r>
        <w:rPr>
          <w:rFonts w:ascii="Arial" w:hAnsi="Arial" w:cs="Arial"/>
          <w:sz w:val="20"/>
          <w:szCs w:val="20"/>
        </w:rPr>
        <w:t>;</w:t>
      </w:r>
    </w:p>
    <w:p w14:paraId="2D47C03E"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25/2025 Riadenie dodávateľských služieb, akvizície, vývoja a údržby informačných systémov Sociálnej poisťovne</w:t>
      </w:r>
      <w:r>
        <w:rPr>
          <w:rFonts w:ascii="Arial" w:hAnsi="Arial" w:cs="Arial"/>
          <w:sz w:val="20"/>
          <w:szCs w:val="20"/>
        </w:rPr>
        <w:t>;</w:t>
      </w:r>
    </w:p>
    <w:p w14:paraId="624F66BF"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26/2025 Riadenie bezpečnosti prevádzky Sociálnej poisťovne</w:t>
      </w:r>
      <w:r>
        <w:rPr>
          <w:rFonts w:ascii="Arial" w:hAnsi="Arial" w:cs="Arial"/>
          <w:sz w:val="20"/>
          <w:szCs w:val="20"/>
        </w:rPr>
        <w:t>;</w:t>
      </w:r>
    </w:p>
    <w:p w14:paraId="2B6B4EE2"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27/2025 Riadenie technických zraniteľností systémov a zariadení Sociálnej poisťovne</w:t>
      </w:r>
      <w:r>
        <w:rPr>
          <w:rFonts w:ascii="Arial" w:hAnsi="Arial" w:cs="Arial"/>
          <w:sz w:val="20"/>
          <w:szCs w:val="20"/>
        </w:rPr>
        <w:t>;</w:t>
      </w:r>
    </w:p>
    <w:p w14:paraId="553650B7"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28/2025 Riadenie bezpečnosti siete a informačných a komunikačných technológií Sociálnej poisťovne</w:t>
      </w:r>
      <w:r>
        <w:rPr>
          <w:rFonts w:ascii="Arial" w:hAnsi="Arial" w:cs="Arial"/>
          <w:sz w:val="20"/>
          <w:szCs w:val="20"/>
        </w:rPr>
        <w:t>;</w:t>
      </w:r>
    </w:p>
    <w:p w14:paraId="52BEC507"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29/2025 Monitorovanie a testovanie bezpečnosti, bezpečnostné audity Sociálnej poisťovne</w:t>
      </w:r>
      <w:r>
        <w:rPr>
          <w:rFonts w:ascii="Arial" w:hAnsi="Arial" w:cs="Arial"/>
          <w:sz w:val="20"/>
          <w:szCs w:val="20"/>
        </w:rPr>
        <w:t>;</w:t>
      </w:r>
    </w:p>
    <w:p w14:paraId="3C9B2DEC"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31/2025 Riešenie kybernetických bezpečnostných incidentov Sociálnej poisťovne</w:t>
      </w:r>
      <w:r>
        <w:rPr>
          <w:rFonts w:ascii="Arial" w:hAnsi="Arial" w:cs="Arial"/>
          <w:sz w:val="20"/>
          <w:szCs w:val="20"/>
        </w:rPr>
        <w:t>;</w:t>
      </w:r>
    </w:p>
    <w:p w14:paraId="6C17E0AE"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32/2025 Kryptografické opatrenia Sociálnej poisťovne</w:t>
      </w:r>
      <w:r>
        <w:rPr>
          <w:rFonts w:ascii="Arial" w:hAnsi="Arial" w:cs="Arial"/>
          <w:sz w:val="20"/>
          <w:szCs w:val="20"/>
        </w:rPr>
        <w:t>;</w:t>
      </w:r>
    </w:p>
    <w:p w14:paraId="3B67EF56"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34/2025 Klasifikácia informačných aktív Sociálnej poisťovne</w:t>
      </w:r>
      <w:r>
        <w:rPr>
          <w:rFonts w:ascii="Arial" w:hAnsi="Arial" w:cs="Arial"/>
          <w:sz w:val="20"/>
          <w:szCs w:val="20"/>
        </w:rPr>
        <w:t>;</w:t>
      </w:r>
    </w:p>
    <w:p w14:paraId="653ADD6D"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46/2025 Zmluvné vzťahy Sociálnej poisťovne a ich zabezpečenie súladu s oblasťou informačných technológií verejnej správy, kybernetickej a informačnej bezpečnosti a ochranou osobných údajov</w:t>
      </w:r>
      <w:r>
        <w:rPr>
          <w:rFonts w:ascii="Arial" w:hAnsi="Arial" w:cs="Arial"/>
          <w:sz w:val="20"/>
          <w:szCs w:val="20"/>
        </w:rPr>
        <w:t>;</w:t>
      </w:r>
    </w:p>
    <w:p w14:paraId="4ED27A60" w14:textId="77777777" w:rsidR="0042542B" w:rsidRDefault="0042542B" w:rsidP="00FB32AC">
      <w:pPr>
        <w:pStyle w:val="codex-docx-previewodsekzoznamu"/>
        <w:spacing w:before="0" w:beforeAutospacing="0" w:after="30" w:afterAutospacing="0"/>
        <w:ind w:left="851" w:hanging="187"/>
        <w:jc w:val="both"/>
      </w:pPr>
      <w:r>
        <w:rPr>
          <w:rFonts w:ascii="Arial" w:hAnsi="Arial" w:cs="Arial"/>
          <w:sz w:val="20"/>
          <w:szCs w:val="20"/>
        </w:rPr>
        <w:t xml:space="preserve">• </w:t>
      </w:r>
      <w:r w:rsidRPr="003F5044">
        <w:rPr>
          <w:rFonts w:ascii="Arial" w:hAnsi="Arial" w:cs="Arial"/>
          <w:b/>
          <w:sz w:val="20"/>
          <w:szCs w:val="20"/>
        </w:rPr>
        <w:t>PGR č. 3/2026 Riadenie kontinuity činností Sociálnej poisťovne</w:t>
      </w:r>
      <w:r>
        <w:rPr>
          <w:rFonts w:ascii="Arial" w:hAnsi="Arial" w:cs="Arial"/>
          <w:sz w:val="20"/>
          <w:szCs w:val="20"/>
        </w:rPr>
        <w:t>;</w:t>
      </w:r>
    </w:p>
    <w:p w14:paraId="39E525BB" w14:textId="77777777" w:rsidR="0042542B" w:rsidRPr="002B769B" w:rsidRDefault="0042542B" w:rsidP="00FB32AC">
      <w:pPr>
        <w:pStyle w:val="Normlnywebov"/>
        <w:spacing w:before="120" w:beforeAutospacing="0" w:after="40" w:afterAutospacing="0"/>
        <w:ind w:firstLine="284"/>
        <w:jc w:val="both"/>
        <w:rPr>
          <w:rFonts w:ascii="Arial" w:eastAsia="Arial" w:hAnsi="Arial" w:cs="Arial"/>
          <w:b/>
          <w:bCs/>
          <w:color w:val="1F497D" w:themeColor="text2"/>
          <w:sz w:val="20"/>
          <w:szCs w:val="20"/>
          <w:lang w:eastAsia="en-US"/>
        </w:rPr>
      </w:pPr>
      <w:bookmarkStart w:id="0" w:name="_GoBack"/>
      <w:r w:rsidRPr="002B769B">
        <w:rPr>
          <w:rFonts w:ascii="Arial" w:eastAsia="Arial" w:hAnsi="Arial" w:cs="Arial"/>
          <w:b/>
          <w:bCs/>
          <w:color w:val="1F497D" w:themeColor="text2"/>
          <w:sz w:val="20"/>
          <w:szCs w:val="20"/>
          <w:lang w:eastAsia="en-US"/>
        </w:rPr>
        <w:t>Metodické a technické východiská a pravidlá aktualizácie</w:t>
      </w:r>
    </w:p>
    <w:bookmarkEnd w:id="0"/>
    <w:p w14:paraId="2B6F020E"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sidR="009F0B98" w:rsidRPr="009F0B98">
        <w:rPr>
          <w:rFonts w:ascii="Arial" w:hAnsi="Arial" w:cs="Arial"/>
          <w:b/>
          <w:sz w:val="20"/>
          <w:szCs w:val="20"/>
        </w:rPr>
        <w:t>Metodika pre systematické zabezpečenie organizácií verejnej správy v oblasti informačnej bezpečnosti</w:t>
      </w:r>
      <w:r w:rsidR="009F0B98">
        <w:rPr>
          <w:rFonts w:ascii="Arial" w:hAnsi="Arial" w:cs="Arial"/>
          <w:sz w:val="20"/>
          <w:szCs w:val="20"/>
        </w:rPr>
        <w:t xml:space="preserve">, </w:t>
      </w:r>
      <w:r w:rsidR="009F0B98" w:rsidRPr="009F0B98">
        <w:rPr>
          <w:rFonts w:ascii="Arial" w:hAnsi="Arial" w:cs="Arial"/>
          <w:b/>
          <w:sz w:val="20"/>
          <w:szCs w:val="20"/>
        </w:rPr>
        <w:t>verzia 2.1</w:t>
      </w:r>
      <w:r w:rsidR="009F0B98">
        <w:rPr>
          <w:rFonts w:ascii="Arial" w:hAnsi="Arial" w:cs="Arial"/>
          <w:sz w:val="20"/>
          <w:szCs w:val="20"/>
        </w:rPr>
        <w:t>, autor CSIRT.SK, podľa povahy a rizika plnenia.</w:t>
      </w:r>
    </w:p>
    <w:p w14:paraId="2B701283"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 xml:space="preserve">NIST SP 800-92 – </w:t>
      </w:r>
      <w:proofErr w:type="spellStart"/>
      <w:r>
        <w:rPr>
          <w:rFonts w:ascii="Arial" w:hAnsi="Arial" w:cs="Arial"/>
          <w:b/>
          <w:bCs/>
          <w:sz w:val="20"/>
          <w:szCs w:val="20"/>
        </w:rPr>
        <w:t>Guide</w:t>
      </w:r>
      <w:proofErr w:type="spellEnd"/>
      <w:r>
        <w:rPr>
          <w:rFonts w:ascii="Arial" w:hAnsi="Arial" w:cs="Arial"/>
          <w:b/>
          <w:bCs/>
          <w:sz w:val="20"/>
          <w:szCs w:val="20"/>
        </w:rPr>
        <w:t xml:space="preserve"> to </w:t>
      </w:r>
      <w:proofErr w:type="spellStart"/>
      <w:r>
        <w:rPr>
          <w:rFonts w:ascii="Arial" w:hAnsi="Arial" w:cs="Arial"/>
          <w:b/>
          <w:bCs/>
          <w:sz w:val="20"/>
          <w:szCs w:val="20"/>
        </w:rPr>
        <w:t>Computer</w:t>
      </w:r>
      <w:proofErr w:type="spellEnd"/>
      <w:r>
        <w:rPr>
          <w:rFonts w:ascii="Arial" w:hAnsi="Arial" w:cs="Arial"/>
          <w:b/>
          <w:bCs/>
          <w:sz w:val="20"/>
          <w:szCs w:val="20"/>
        </w:rPr>
        <w:t xml:space="preserve"> Security Log Management</w:t>
      </w:r>
      <w:r>
        <w:rPr>
          <w:rFonts w:ascii="Arial" w:hAnsi="Arial" w:cs="Arial"/>
          <w:sz w:val="20"/>
          <w:szCs w:val="20"/>
        </w:rPr>
        <w:t xml:space="preserve"> a aktuálna alebo nástupnícka publikácia NIST pre riadenie bezpečnostných logov.</w:t>
      </w:r>
    </w:p>
    <w:p w14:paraId="5544E590"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sidR="009F0B98" w:rsidRPr="009F0B98">
        <w:rPr>
          <w:rFonts w:ascii="Arial" w:hAnsi="Arial" w:cs="Arial"/>
          <w:b/>
          <w:sz w:val="20"/>
          <w:szCs w:val="20"/>
        </w:rPr>
        <w:t>NIST SP 800-61 Rev. 3</w:t>
      </w:r>
      <w:r w:rsidR="009F0B98">
        <w:rPr>
          <w:rFonts w:ascii="Arial" w:hAnsi="Arial" w:cs="Arial"/>
          <w:sz w:val="20"/>
          <w:szCs w:val="20"/>
        </w:rPr>
        <w:t xml:space="preserve"> – Incident </w:t>
      </w:r>
      <w:proofErr w:type="spellStart"/>
      <w:r w:rsidR="009F0B98">
        <w:rPr>
          <w:rFonts w:ascii="Arial" w:hAnsi="Arial" w:cs="Arial"/>
          <w:sz w:val="20"/>
          <w:szCs w:val="20"/>
        </w:rPr>
        <w:t>Response</w:t>
      </w:r>
      <w:proofErr w:type="spellEnd"/>
      <w:r w:rsidR="009F0B98">
        <w:rPr>
          <w:rFonts w:ascii="Arial" w:hAnsi="Arial" w:cs="Arial"/>
          <w:sz w:val="20"/>
          <w:szCs w:val="20"/>
        </w:rPr>
        <w:t xml:space="preserve"> </w:t>
      </w:r>
      <w:proofErr w:type="spellStart"/>
      <w:r w:rsidR="009F0B98">
        <w:rPr>
          <w:rFonts w:ascii="Arial" w:hAnsi="Arial" w:cs="Arial"/>
          <w:sz w:val="20"/>
          <w:szCs w:val="20"/>
        </w:rPr>
        <w:t>Recommendations</w:t>
      </w:r>
      <w:proofErr w:type="spellEnd"/>
      <w:r w:rsidR="009F0B98">
        <w:rPr>
          <w:rFonts w:ascii="Arial" w:hAnsi="Arial" w:cs="Arial"/>
          <w:sz w:val="20"/>
          <w:szCs w:val="20"/>
        </w:rPr>
        <w:t xml:space="preserve"> and </w:t>
      </w:r>
      <w:proofErr w:type="spellStart"/>
      <w:r w:rsidR="009F0B98">
        <w:rPr>
          <w:rFonts w:ascii="Arial" w:hAnsi="Arial" w:cs="Arial"/>
          <w:sz w:val="20"/>
          <w:szCs w:val="20"/>
        </w:rPr>
        <w:t>Considerations</w:t>
      </w:r>
      <w:proofErr w:type="spellEnd"/>
      <w:r w:rsidR="009F0B98">
        <w:rPr>
          <w:rFonts w:ascii="Arial" w:hAnsi="Arial" w:cs="Arial"/>
          <w:sz w:val="20"/>
          <w:szCs w:val="20"/>
        </w:rPr>
        <w:t xml:space="preserve"> </w:t>
      </w:r>
      <w:proofErr w:type="spellStart"/>
      <w:r w:rsidR="009F0B98">
        <w:rPr>
          <w:rFonts w:ascii="Arial" w:hAnsi="Arial" w:cs="Arial"/>
          <w:sz w:val="20"/>
          <w:szCs w:val="20"/>
        </w:rPr>
        <w:t>for</w:t>
      </w:r>
      <w:proofErr w:type="spellEnd"/>
      <w:r w:rsidR="009F0B98">
        <w:rPr>
          <w:rFonts w:ascii="Arial" w:hAnsi="Arial" w:cs="Arial"/>
          <w:sz w:val="20"/>
          <w:szCs w:val="20"/>
        </w:rPr>
        <w:t xml:space="preserve"> </w:t>
      </w:r>
      <w:proofErr w:type="spellStart"/>
      <w:r w:rsidR="009F0B98">
        <w:rPr>
          <w:rFonts w:ascii="Arial" w:hAnsi="Arial" w:cs="Arial"/>
          <w:sz w:val="20"/>
          <w:szCs w:val="20"/>
        </w:rPr>
        <w:t>Cybersecurity</w:t>
      </w:r>
      <w:proofErr w:type="spellEnd"/>
      <w:r w:rsidR="009F0B98">
        <w:rPr>
          <w:rFonts w:ascii="Arial" w:hAnsi="Arial" w:cs="Arial"/>
          <w:sz w:val="20"/>
          <w:szCs w:val="20"/>
        </w:rPr>
        <w:t xml:space="preserve"> Risk Management: A CSF 2.0 </w:t>
      </w:r>
      <w:proofErr w:type="spellStart"/>
      <w:r w:rsidR="009F0B98">
        <w:rPr>
          <w:rFonts w:ascii="Arial" w:hAnsi="Arial" w:cs="Arial"/>
          <w:sz w:val="20"/>
          <w:szCs w:val="20"/>
        </w:rPr>
        <w:t>Community</w:t>
      </w:r>
      <w:proofErr w:type="spellEnd"/>
      <w:r w:rsidR="009F0B98">
        <w:rPr>
          <w:rFonts w:ascii="Arial" w:hAnsi="Arial" w:cs="Arial"/>
          <w:sz w:val="20"/>
          <w:szCs w:val="20"/>
        </w:rPr>
        <w:t xml:space="preserve"> Profile, alebo jeho aktuálna nástupnícka verzia.</w:t>
      </w:r>
    </w:p>
    <w:p w14:paraId="331AEE2B"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 xml:space="preserve">OWASP </w:t>
      </w:r>
      <w:proofErr w:type="spellStart"/>
      <w:r>
        <w:rPr>
          <w:rFonts w:ascii="Arial" w:hAnsi="Arial" w:cs="Arial"/>
          <w:b/>
          <w:bCs/>
          <w:sz w:val="20"/>
          <w:szCs w:val="20"/>
        </w:rPr>
        <w:t>Logging</w:t>
      </w:r>
      <w:proofErr w:type="spellEnd"/>
      <w:r>
        <w:rPr>
          <w:rFonts w:ascii="Arial" w:hAnsi="Arial" w:cs="Arial"/>
          <w:b/>
          <w:bCs/>
          <w:sz w:val="20"/>
          <w:szCs w:val="20"/>
        </w:rPr>
        <w:t xml:space="preserve"> </w:t>
      </w:r>
      <w:proofErr w:type="spellStart"/>
      <w:r>
        <w:rPr>
          <w:rFonts w:ascii="Arial" w:hAnsi="Arial" w:cs="Arial"/>
          <w:b/>
          <w:bCs/>
          <w:sz w:val="20"/>
          <w:szCs w:val="20"/>
        </w:rPr>
        <w:t>Cheat</w:t>
      </w:r>
      <w:proofErr w:type="spellEnd"/>
      <w:r>
        <w:rPr>
          <w:rFonts w:ascii="Arial" w:hAnsi="Arial" w:cs="Arial"/>
          <w:b/>
          <w:bCs/>
          <w:sz w:val="20"/>
          <w:szCs w:val="20"/>
        </w:rPr>
        <w:t xml:space="preserve"> </w:t>
      </w:r>
      <w:proofErr w:type="spellStart"/>
      <w:r>
        <w:rPr>
          <w:rFonts w:ascii="Arial" w:hAnsi="Arial" w:cs="Arial"/>
          <w:b/>
          <w:bCs/>
          <w:sz w:val="20"/>
          <w:szCs w:val="20"/>
        </w:rPr>
        <w:t>Sheet</w:t>
      </w:r>
      <w:proofErr w:type="spellEnd"/>
      <w:r>
        <w:rPr>
          <w:rFonts w:ascii="Arial" w:hAnsi="Arial" w:cs="Arial"/>
          <w:sz w:val="20"/>
          <w:szCs w:val="20"/>
        </w:rPr>
        <w:t xml:space="preserve"> a ďalšie relevantné bezpečnostné odporúčania OWASP podľa použitej technológie.</w:t>
      </w:r>
    </w:p>
    <w:p w14:paraId="6CA81E1E"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 xml:space="preserve">IETF RFC 5424 – </w:t>
      </w:r>
      <w:proofErr w:type="spellStart"/>
      <w:r>
        <w:rPr>
          <w:rFonts w:ascii="Arial" w:hAnsi="Arial" w:cs="Arial"/>
          <w:b/>
          <w:bCs/>
          <w:sz w:val="20"/>
          <w:szCs w:val="20"/>
        </w:rPr>
        <w:t>The</w:t>
      </w:r>
      <w:proofErr w:type="spellEnd"/>
      <w:r>
        <w:rPr>
          <w:rFonts w:ascii="Arial" w:hAnsi="Arial" w:cs="Arial"/>
          <w:b/>
          <w:bCs/>
          <w:sz w:val="20"/>
          <w:szCs w:val="20"/>
        </w:rPr>
        <w:t xml:space="preserve"> </w:t>
      </w:r>
      <w:proofErr w:type="spellStart"/>
      <w:r>
        <w:rPr>
          <w:rFonts w:ascii="Arial" w:hAnsi="Arial" w:cs="Arial"/>
          <w:b/>
          <w:bCs/>
          <w:sz w:val="20"/>
          <w:szCs w:val="20"/>
        </w:rPr>
        <w:t>Syslog</w:t>
      </w:r>
      <w:proofErr w:type="spellEnd"/>
      <w:r>
        <w:rPr>
          <w:rFonts w:ascii="Arial" w:hAnsi="Arial" w:cs="Arial"/>
          <w:b/>
          <w:bCs/>
          <w:sz w:val="20"/>
          <w:szCs w:val="20"/>
        </w:rPr>
        <w:t xml:space="preserve"> </w:t>
      </w:r>
      <w:proofErr w:type="spellStart"/>
      <w:r>
        <w:rPr>
          <w:rFonts w:ascii="Arial" w:hAnsi="Arial" w:cs="Arial"/>
          <w:b/>
          <w:bCs/>
          <w:sz w:val="20"/>
          <w:szCs w:val="20"/>
        </w:rPr>
        <w:t>Protocol</w:t>
      </w:r>
      <w:proofErr w:type="spellEnd"/>
      <w:r>
        <w:rPr>
          <w:rFonts w:ascii="Arial" w:hAnsi="Arial" w:cs="Arial"/>
          <w:sz w:val="20"/>
          <w:szCs w:val="20"/>
        </w:rPr>
        <w:t xml:space="preserve"> a ďalšie relevantné otvorené technické štandardy pre formát, prenos, časovú synchronizáciu, integritu a </w:t>
      </w:r>
      <w:proofErr w:type="spellStart"/>
      <w:r>
        <w:rPr>
          <w:rFonts w:ascii="Arial" w:hAnsi="Arial" w:cs="Arial"/>
          <w:sz w:val="20"/>
          <w:szCs w:val="20"/>
        </w:rPr>
        <w:t>interoperabilitu</w:t>
      </w:r>
      <w:proofErr w:type="spellEnd"/>
      <w:r>
        <w:rPr>
          <w:rFonts w:ascii="Arial" w:hAnsi="Arial" w:cs="Arial"/>
          <w:sz w:val="20"/>
          <w:szCs w:val="20"/>
        </w:rPr>
        <w:t xml:space="preserve"> logov, ak sú použité v konkrétnom riešení.</w:t>
      </w:r>
    </w:p>
    <w:p w14:paraId="42E3A501"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Aktuálne metodické a technické odporúčania Národného bezpečnostného úradu, CSIRT.SK, MIRRI, ENISA, NIST, OWASP a ďalších dôveryhodných odborných autorít</w:t>
      </w:r>
      <w:r>
        <w:rPr>
          <w:rFonts w:ascii="Arial" w:hAnsi="Arial" w:cs="Arial"/>
          <w:sz w:val="20"/>
          <w:szCs w:val="20"/>
        </w:rPr>
        <w:t xml:space="preserve"> sa zohľadňujú podľa povahy plnenia, technológie, kategórie systému a identifikovaných rizík. Samy osebe nenahrádzajú záväzné požiadavky právnych predpisov, Kyberzmluvy, tejto prílohy ani preukázateľne sprístupnených Vnútorných predpisov SP.</w:t>
      </w:r>
    </w:p>
    <w:p w14:paraId="3094A4C1"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Platné a účinné znenia právnych predpisov a právnych aktov Európskej únie sa overujú v Slov-</w:t>
      </w:r>
      <w:proofErr w:type="spellStart"/>
      <w:r>
        <w:rPr>
          <w:rFonts w:ascii="Arial" w:hAnsi="Arial" w:cs="Arial"/>
          <w:b/>
          <w:bCs/>
          <w:sz w:val="20"/>
          <w:szCs w:val="20"/>
        </w:rPr>
        <w:t>Lexe</w:t>
      </w:r>
      <w:proofErr w:type="spellEnd"/>
      <w:r>
        <w:rPr>
          <w:rFonts w:ascii="Arial" w:hAnsi="Arial" w:cs="Arial"/>
          <w:b/>
          <w:bCs/>
          <w:sz w:val="20"/>
          <w:szCs w:val="20"/>
        </w:rPr>
        <w:t xml:space="preserve"> a EUR-</w:t>
      </w:r>
      <w:proofErr w:type="spellStart"/>
      <w:r>
        <w:rPr>
          <w:rFonts w:ascii="Arial" w:hAnsi="Arial" w:cs="Arial"/>
          <w:b/>
          <w:bCs/>
          <w:sz w:val="20"/>
          <w:szCs w:val="20"/>
        </w:rPr>
        <w:t>Lexe</w:t>
      </w:r>
      <w:proofErr w:type="spellEnd"/>
      <w:r>
        <w:rPr>
          <w:rFonts w:ascii="Arial" w:hAnsi="Arial" w:cs="Arial"/>
          <w:b/>
          <w:bCs/>
          <w:sz w:val="20"/>
          <w:szCs w:val="20"/>
        </w:rPr>
        <w:t>.</w:t>
      </w:r>
      <w:r>
        <w:rPr>
          <w:rFonts w:ascii="Arial" w:hAnsi="Arial" w:cs="Arial"/>
          <w:sz w:val="20"/>
          <w:szCs w:val="20"/>
        </w:rPr>
        <w:t xml:space="preserve"> Odkaz na právny predpis alebo právny akt Európskej únie sa rozumie ako odkaz na jeho znenie platné a účinné v čase plnenia vrátane neskorších zmien a doplnení.</w:t>
      </w:r>
    </w:p>
    <w:p w14:paraId="1154DCBE"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Pri metodických a technických dokumentoch sa primerane použije ich aktuálna alebo nástupnícka verzia</w:t>
      </w:r>
      <w:r>
        <w:rPr>
          <w:rFonts w:ascii="Arial" w:hAnsi="Arial" w:cs="Arial"/>
          <w:sz w:val="20"/>
          <w:szCs w:val="20"/>
        </w:rPr>
        <w:t>, ak zabezpečuje najmenej rovnocennú úroveň kybernetickej a informačnej bezpečnosti a nie je v rozpore so záväzným právnym alebo zmluvným rámcom.</w:t>
      </w:r>
    </w:p>
    <w:p w14:paraId="2C8A679D" w14:textId="77777777" w:rsidR="0042542B" w:rsidRDefault="0042542B" w:rsidP="00FB32AC">
      <w:pPr>
        <w:pStyle w:val="codex-docx-previewodsekzoznamu"/>
        <w:spacing w:before="0" w:beforeAutospacing="0" w:after="30" w:afterAutospacing="0"/>
        <w:ind w:left="567" w:hanging="187"/>
        <w:jc w:val="both"/>
      </w:pPr>
      <w:r>
        <w:rPr>
          <w:rFonts w:ascii="Arial" w:hAnsi="Arial" w:cs="Arial"/>
          <w:sz w:val="20"/>
          <w:szCs w:val="20"/>
        </w:rPr>
        <w:t xml:space="preserve">• </w:t>
      </w:r>
      <w:r>
        <w:rPr>
          <w:rFonts w:ascii="Arial" w:hAnsi="Arial" w:cs="Arial"/>
          <w:b/>
          <w:bCs/>
          <w:sz w:val="20"/>
          <w:szCs w:val="20"/>
        </w:rPr>
        <w:t>Pri zmene právneho, regulačného, metodického alebo vnútorného rámca a pri aktualizácii tejto prílohy sa postupuje podľa čl. V Kyberzmluvy.</w:t>
      </w:r>
      <w:r>
        <w:rPr>
          <w:rFonts w:ascii="Arial" w:hAnsi="Arial" w:cs="Arial"/>
          <w:sz w:val="20"/>
          <w:szCs w:val="20"/>
        </w:rPr>
        <w:t xml:space="preserve"> Zmena, ktorá má materiálny dopad na predmet, cenu, ekonomickú rovnováhu, úroveň služby, technické riešenie, kapacity alebo rozsah záväzkov dodávateľa, sa neuplatní jednostranne bez príslušného právneho a</w:t>
      </w:r>
      <w:r w:rsidR="003F5044">
        <w:rPr>
          <w:rFonts w:ascii="Arial" w:hAnsi="Arial" w:cs="Arial"/>
          <w:sz w:val="20"/>
          <w:szCs w:val="20"/>
        </w:rPr>
        <w:t> </w:t>
      </w:r>
      <w:r>
        <w:rPr>
          <w:rFonts w:ascii="Arial" w:hAnsi="Arial" w:cs="Arial"/>
          <w:sz w:val="20"/>
          <w:szCs w:val="20"/>
        </w:rPr>
        <w:t>verejno</w:t>
      </w:r>
      <w:r w:rsidR="003F5044">
        <w:rPr>
          <w:rFonts w:ascii="Arial" w:hAnsi="Arial" w:cs="Arial"/>
          <w:sz w:val="20"/>
          <w:szCs w:val="20"/>
        </w:rPr>
        <w:t>-</w:t>
      </w:r>
      <w:r>
        <w:rPr>
          <w:rFonts w:ascii="Arial" w:hAnsi="Arial" w:cs="Arial"/>
          <w:sz w:val="20"/>
          <w:szCs w:val="20"/>
        </w:rPr>
        <w:t>obstarávacieho posúdenia.</w:t>
      </w:r>
    </w:p>
    <w:p w14:paraId="049F31CB" w14:textId="77777777" w:rsidR="00D63D1C" w:rsidRPr="00347B16" w:rsidRDefault="00D63D1C" w:rsidP="00FB32AC">
      <w:pPr>
        <w:spacing w:after="0" w:line="221" w:lineRule="auto"/>
        <w:jc w:val="both"/>
        <w:rPr>
          <w:szCs w:val="20"/>
        </w:rPr>
      </w:pPr>
    </w:p>
    <w:sectPr w:rsidR="00D63D1C" w:rsidRPr="00347B16" w:rsidSect="00034616">
      <w:headerReference w:type="default" r:id="rId11"/>
      <w:footerReference w:type="default" r:id="rId12"/>
      <w:pgSz w:w="12240" w:h="15840"/>
      <w:pgMar w:top="879" w:right="964" w:bottom="879"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43FAD" w14:textId="77777777" w:rsidR="006740D5" w:rsidRDefault="006740D5">
      <w:pPr>
        <w:spacing w:after="0" w:line="240" w:lineRule="auto"/>
      </w:pPr>
      <w:r>
        <w:separator/>
      </w:r>
    </w:p>
  </w:endnote>
  <w:endnote w:type="continuationSeparator" w:id="0">
    <w:p w14:paraId="7B7945BD" w14:textId="77777777" w:rsidR="006740D5" w:rsidRDefault="00674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A8633" w14:textId="57DD922D" w:rsidR="00D63D1C" w:rsidRDefault="00145097">
    <w:pPr>
      <w:pStyle w:val="Pta"/>
      <w:jc w:val="right"/>
    </w:pPr>
    <w:r>
      <w:t xml:space="preserve">Strana </w:t>
    </w:r>
    <w:r>
      <w:fldChar w:fldCharType="begin"/>
    </w:r>
    <w:r>
      <w:instrText xml:space="preserve"> PAGE </w:instrText>
    </w:r>
    <w:r>
      <w:fldChar w:fldCharType="separate"/>
    </w:r>
    <w:r w:rsidR="00FB32AC">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CAAA2" w14:textId="77777777" w:rsidR="006740D5" w:rsidRDefault="006740D5">
      <w:pPr>
        <w:spacing w:after="0" w:line="240" w:lineRule="auto"/>
      </w:pPr>
      <w:r>
        <w:separator/>
      </w:r>
    </w:p>
  </w:footnote>
  <w:footnote w:type="continuationSeparator" w:id="0">
    <w:p w14:paraId="47497E72" w14:textId="77777777" w:rsidR="006740D5" w:rsidRDefault="00674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7513" w14:textId="7944768C" w:rsidR="00D63D1C" w:rsidRPr="009F0B98" w:rsidRDefault="00A72DC6" w:rsidP="006D1838">
    <w:pPr>
      <w:pStyle w:val="Hlavika"/>
      <w:ind w:firstLine="1440"/>
      <w:jc w:val="center"/>
      <w:rPr>
        <w:b/>
      </w:rPr>
    </w:pPr>
    <w:r w:rsidRPr="009F0B98">
      <w:rPr>
        <w:b/>
        <w:noProof/>
        <w:sz w:val="16"/>
        <w:lang w:eastAsia="sk-SK"/>
      </w:rPr>
      <w:drawing>
        <wp:anchor distT="0" distB="0" distL="114300" distR="114300" simplePos="0" relativeHeight="251659264" behindDoc="0" locked="0" layoutInCell="1" allowOverlap="1" wp14:anchorId="480CEDDF" wp14:editId="330E608D">
          <wp:simplePos x="0" y="0"/>
          <wp:positionH relativeFrom="margin">
            <wp:posOffset>-512064</wp:posOffset>
          </wp:positionH>
          <wp:positionV relativeFrom="topMargin">
            <wp:posOffset>40005</wp:posOffset>
          </wp:positionV>
          <wp:extent cx="2462530" cy="556260"/>
          <wp:effectExtent l="0" t="0" r="0" b="0"/>
          <wp:wrapSquare wrapText="bothSides"/>
          <wp:docPr id="2" name="Obrázok 2" descr="\\data\Data\AktyRiadenia\SpLogoty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Data\AktyRiadenia\SpLogotyp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62530" cy="556260"/>
                  </a:xfrm>
                  <a:prstGeom prst="rect">
                    <a:avLst/>
                  </a:prstGeom>
                  <a:noFill/>
                  <a:ln>
                    <a:noFill/>
                  </a:ln>
                </pic:spPr>
              </pic:pic>
            </a:graphicData>
          </a:graphic>
          <wp14:sizeRelH relativeFrom="margin">
            <wp14:pctWidth>0</wp14:pctWidth>
          </wp14:sizeRelH>
        </wp:anchor>
      </w:drawing>
    </w:r>
    <w:r w:rsidRPr="009F0B98">
      <w:rPr>
        <w:b/>
        <w:i/>
        <w:szCs w:val="20"/>
      </w:rPr>
      <w:t>Príloha č. 3 ku Kyberzmluve | verzia 2.</w:t>
    </w:r>
    <w:r w:rsidR="009F0B98">
      <w:rPr>
        <w:b/>
        <w:i/>
        <w:szCs w:val="20"/>
      </w:rPr>
      <w:t>0</w:t>
    </w:r>
    <w:r w:rsidRPr="009F0B98">
      <w:rPr>
        <w:b/>
        <w:i/>
        <w:szCs w:val="20"/>
      </w:rPr>
      <w:t xml:space="preserve"> | stav k </w:t>
    </w:r>
    <w:r w:rsidR="006D1838">
      <w:rPr>
        <w:b/>
        <w:i/>
        <w:szCs w:val="20"/>
      </w:rPr>
      <w:t>22</w:t>
    </w:r>
    <w:r w:rsidRPr="009F0B98">
      <w:rPr>
        <w:b/>
        <w:i/>
        <w:szCs w:val="20"/>
      </w:rPr>
      <w:t>.10.2026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3A81"/>
    <w:rsid w:val="00145097"/>
    <w:rsid w:val="0015074B"/>
    <w:rsid w:val="00203497"/>
    <w:rsid w:val="002651C9"/>
    <w:rsid w:val="0029639D"/>
    <w:rsid w:val="002B769B"/>
    <w:rsid w:val="00326F90"/>
    <w:rsid w:val="00347B16"/>
    <w:rsid w:val="003F5044"/>
    <w:rsid w:val="0042542B"/>
    <w:rsid w:val="006740D5"/>
    <w:rsid w:val="006D1838"/>
    <w:rsid w:val="006F1266"/>
    <w:rsid w:val="009F0B98"/>
    <w:rsid w:val="00A72DC6"/>
    <w:rsid w:val="00AA1D8D"/>
    <w:rsid w:val="00B47730"/>
    <w:rsid w:val="00B828BF"/>
    <w:rsid w:val="00C5621F"/>
    <w:rsid w:val="00CB0664"/>
    <w:rsid w:val="00D63D1C"/>
    <w:rsid w:val="00D74307"/>
    <w:rsid w:val="00ED3339"/>
    <w:rsid w:val="00F07468"/>
    <w:rsid w:val="00F40D22"/>
    <w:rsid w:val="00FB32AC"/>
    <w:rsid w:val="00FC693F"/>
    <w:rsid w:val="7C107D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5B18CA"/>
  <w14:defaultImageDpi w14:val="300"/>
  <w15:docId w15:val="{1EB3272F-D4BA-40D6-869C-5A5E52358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C693F"/>
    <w:pPr>
      <w:spacing w:after="80" w:line="252" w:lineRule="auto"/>
    </w:pPr>
    <w:rPr>
      <w:rFonts w:ascii="Arial" w:eastAsia="Arial" w:hAnsi="Arial" w:cs="Arial"/>
      <w:sz w:val="20"/>
      <w:lang w:val="sk-SK"/>
    </w:rPr>
  </w:style>
  <w:style w:type="paragraph" w:styleId="Nadpis1">
    <w:name w:val="heading 1"/>
    <w:basedOn w:val="Normlny"/>
    <w:next w:val="Normlny"/>
    <w:link w:val="Nadpis1Char"/>
    <w:uiPriority w:val="9"/>
    <w:qFormat/>
    <w:rsid w:val="00FC693F"/>
    <w:pPr>
      <w:keepNext/>
      <w:keepLines/>
      <w:spacing w:before="180"/>
      <w:outlineLvl w:val="0"/>
    </w:pPr>
    <w:rPr>
      <w:rFonts w:asciiTheme="majorHAnsi" w:eastAsiaTheme="majorEastAsia" w:hAnsiTheme="majorHAnsi" w:cstheme="majorBidi"/>
      <w:b/>
      <w:bCs/>
      <w:color w:val="1F4E78"/>
      <w:sz w:val="28"/>
      <w:szCs w:val="28"/>
    </w:rPr>
  </w:style>
  <w:style w:type="paragraph" w:styleId="Nadpis2">
    <w:name w:val="heading 2"/>
    <w:basedOn w:val="Normlny"/>
    <w:next w:val="Normlny"/>
    <w:link w:val="Nadpis2Char"/>
    <w:uiPriority w:val="9"/>
    <w:unhideWhenUsed/>
    <w:qFormat/>
    <w:rsid w:val="00FC693F"/>
    <w:pPr>
      <w:keepNext/>
      <w:keepLines/>
      <w:spacing w:before="180"/>
      <w:outlineLvl w:val="1"/>
    </w:pPr>
    <w:rPr>
      <w:rFonts w:asciiTheme="majorHAnsi" w:eastAsiaTheme="majorEastAsia" w:hAnsiTheme="majorHAnsi" w:cstheme="majorBidi"/>
      <w:b/>
      <w:bCs/>
      <w:color w:val="1F4E78"/>
      <w:sz w:val="23"/>
      <w:szCs w:val="26"/>
    </w:rPr>
  </w:style>
  <w:style w:type="paragraph" w:styleId="Nadpis3">
    <w:name w:val="heading 3"/>
    <w:basedOn w:val="Normlny"/>
    <w:next w:val="Normlny"/>
    <w:link w:val="Nadpis3Char"/>
    <w:uiPriority w:val="9"/>
    <w:unhideWhenUsed/>
    <w:qFormat/>
    <w:rsid w:val="00FC693F"/>
    <w:pPr>
      <w:keepNext/>
      <w:keepLines/>
      <w:spacing w:before="180"/>
      <w:outlineLvl w:val="2"/>
    </w:pPr>
    <w:rPr>
      <w:rFonts w:asciiTheme="majorHAnsi" w:eastAsiaTheme="majorEastAsia" w:hAnsiTheme="majorHAnsi" w:cstheme="majorBidi"/>
      <w:b/>
      <w:bCs/>
      <w:color w:val="1F4E78"/>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rPr>
      <w:rFonts w:ascii="Arial" w:eastAsia="Arial" w:hAnsi="Arial" w:cs="Arial"/>
    </w:rPr>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rPr>
      <w:rFonts w:ascii="Arial" w:eastAsia="Arial" w:hAnsi="Arial" w:cs="Arial"/>
    </w:rPr>
  </w:style>
  <w:style w:type="paragraph" w:styleId="Bezriadkovania">
    <w:name w:val="No Spacing"/>
    <w:uiPriority w:val="1"/>
    <w:qFormat/>
    <w:rsid w:val="00FC693F"/>
    <w:pPr>
      <w:spacing w:after="0" w:line="240" w:lineRule="auto"/>
    </w:pPr>
    <w:rPr>
      <w:rFonts w:ascii="Arial" w:eastAsia="Arial" w:hAnsi="Arial" w:cs="Arial"/>
    </w:r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keepNext/>
      <w:pBdr>
        <w:bottom w:val="single" w:sz="8" w:space="4" w:color="4F81BD" w:themeColor="accent1"/>
      </w:pBdr>
      <w:spacing w:before="180" w:line="240" w:lineRule="auto"/>
      <w:contextualSpacing/>
    </w:pPr>
    <w:rPr>
      <w:rFonts w:asciiTheme="majorHAnsi" w:eastAsiaTheme="majorEastAsia" w:hAnsiTheme="majorHAnsi" w:cstheme="majorBidi"/>
      <w:b/>
      <w:color w:val="1F4E78"/>
      <w:spacing w:val="5"/>
      <w:kern w:val="28"/>
      <w:sz w:val="40"/>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keepNext/>
      <w:numPr>
        <w:ilvl w:val="1"/>
      </w:numPr>
      <w:spacing w:before="180"/>
    </w:pPr>
    <w:rPr>
      <w:rFonts w:asciiTheme="majorHAnsi" w:eastAsiaTheme="majorEastAsia" w:hAnsiTheme="majorHAnsi" w:cstheme="majorBidi"/>
      <w:b/>
      <w:i/>
      <w:iCs/>
      <w:color w:val="1F4E78"/>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rPr>
      <w:rFonts w:ascii="Arial" w:eastAsia="Arial" w:hAnsi="Arial" w:cs="Arial"/>
    </w:rPr>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rPr>
      <w:rFonts w:ascii="Arial" w:eastAsia="Arial" w:hAnsi="Arial" w:cs="Arial"/>
    </w:rPr>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rFonts w:ascii="Arial" w:eastAsia="Arial" w:hAnsi="Arial" w:cs="Arial"/>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TextmakraChar">
    <w:name w:val="Text makra Char"/>
    <w:basedOn w:val="Predvolenpsmoodseku"/>
    <w:link w:val="Textmakra"/>
    <w:uiPriority w:val="99"/>
    <w:rsid w:val="0029639D"/>
    <w:rPr>
      <w:rFonts w:ascii="Arial" w:eastAsia="Arial" w:hAnsi="Arial" w:cs="Arial"/>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rFonts w:ascii="Arial" w:eastAsia="Arial" w:hAnsi="Arial" w:cs="Arial"/>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rFonts w:ascii="Arial" w:eastAsia="Arial" w:hAnsi="Arial" w:cs="Arial"/>
      <w:b/>
      <w:bCs/>
    </w:rPr>
  </w:style>
  <w:style w:type="character" w:styleId="Zvraznenie">
    <w:name w:val="Emphasis"/>
    <w:basedOn w:val="Predvolenpsmoodseku"/>
    <w:uiPriority w:val="20"/>
    <w:qFormat/>
    <w:rsid w:val="00FC693F"/>
    <w:rPr>
      <w:rFonts w:ascii="Arial" w:eastAsia="Arial" w:hAnsi="Arial" w:cs="Arial"/>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rFonts w:ascii="Arial" w:eastAsia="Arial" w:hAnsi="Arial" w:cs="Arial"/>
      <w:b/>
      <w:bCs/>
      <w:i/>
      <w:iCs/>
      <w:color w:val="4F81BD" w:themeColor="accent1"/>
    </w:rPr>
  </w:style>
  <w:style w:type="character" w:styleId="Jemnzvraznenie">
    <w:name w:val="Subtle Emphasis"/>
    <w:basedOn w:val="Predvolenpsmoodseku"/>
    <w:uiPriority w:val="19"/>
    <w:qFormat/>
    <w:rsid w:val="00FC693F"/>
    <w:rPr>
      <w:rFonts w:ascii="Arial" w:eastAsia="Arial" w:hAnsi="Arial" w:cs="Arial"/>
      <w:i/>
      <w:iCs/>
      <w:color w:val="808080" w:themeColor="text1" w:themeTint="7F"/>
    </w:rPr>
  </w:style>
  <w:style w:type="character" w:styleId="Intenzvnezvraznenie">
    <w:name w:val="Intense Emphasis"/>
    <w:basedOn w:val="Predvolenpsmoodseku"/>
    <w:uiPriority w:val="21"/>
    <w:qFormat/>
    <w:rsid w:val="00FC693F"/>
    <w:rPr>
      <w:rFonts w:ascii="Arial" w:eastAsia="Arial" w:hAnsi="Arial" w:cs="Arial"/>
      <w:b/>
      <w:bCs/>
      <w:i/>
      <w:iCs/>
      <w:color w:val="4F81BD" w:themeColor="accent1"/>
    </w:rPr>
  </w:style>
  <w:style w:type="character" w:styleId="Jemnodkaz">
    <w:name w:val="Subtle Reference"/>
    <w:basedOn w:val="Predvolenpsmoodseku"/>
    <w:uiPriority w:val="31"/>
    <w:qFormat/>
    <w:rsid w:val="00FC693F"/>
    <w:rPr>
      <w:rFonts w:ascii="Arial" w:eastAsia="Arial" w:hAnsi="Arial" w:cs="Arial"/>
      <w:smallCaps/>
      <w:color w:val="C0504D" w:themeColor="accent2"/>
      <w:u w:val="single"/>
    </w:rPr>
  </w:style>
  <w:style w:type="character" w:styleId="Zvraznenodkaz">
    <w:name w:val="Intense Reference"/>
    <w:basedOn w:val="Predvolenpsmoodseku"/>
    <w:uiPriority w:val="32"/>
    <w:qFormat/>
    <w:rsid w:val="00FC693F"/>
    <w:rPr>
      <w:rFonts w:ascii="Arial" w:eastAsia="Arial" w:hAnsi="Arial" w:cs="Arial"/>
      <w:b/>
      <w:bCs/>
      <w:smallCaps/>
      <w:color w:val="C0504D" w:themeColor="accent2"/>
      <w:spacing w:val="5"/>
      <w:u w:val="single"/>
    </w:rPr>
  </w:style>
  <w:style w:type="character" w:styleId="Nzovknihy">
    <w:name w:val="Book Title"/>
    <w:basedOn w:val="Predvolenpsmoodseku"/>
    <w:uiPriority w:val="33"/>
    <w:qFormat/>
    <w:rsid w:val="00FC693F"/>
    <w:rPr>
      <w:rFonts w:ascii="Arial" w:eastAsia="Arial" w:hAnsi="Arial" w:cs="Arial"/>
      <w:b/>
      <w:bCs/>
      <w:smallCaps/>
      <w:spacing w:val="5"/>
    </w:rPr>
  </w:style>
  <w:style w:type="paragraph" w:styleId="Hlavikaobsahu">
    <w:name w:val="TOC Heading"/>
    <w:basedOn w:val="Nadpis1"/>
    <w:next w:val="Normlny"/>
    <w:uiPriority w:val="39"/>
    <w:semiHidden/>
    <w:unhideWhenUsed/>
    <w:qFormat/>
    <w:rsid w:val="00FC693F"/>
    <w:pPr>
      <w:outlineLvl w:val="9"/>
    </w:pPr>
    <w:rPr>
      <w:rFonts w:ascii="Arial" w:eastAsia="Arial" w:hAnsi="Arial" w:cs="Arial"/>
    </w:rPr>
  </w:style>
  <w:style w:type="table" w:styleId="Mriekatabuky">
    <w:name w:val="Table Grid"/>
    <w:basedOn w:val="Normlnatabuka"/>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note">
    <w:name w:val="Draft note"/>
    <w:rPr>
      <w:rFonts w:ascii="Arial" w:eastAsia="Arial" w:hAnsi="Arial" w:cs="Arial"/>
      <w:i/>
      <w:color w:val="5F5F5F"/>
      <w:sz w:val="17"/>
    </w:rPr>
  </w:style>
  <w:style w:type="paragraph" w:styleId="Normlnywebov">
    <w:name w:val="Normal (Web)"/>
    <w:basedOn w:val="Normlny"/>
    <w:uiPriority w:val="99"/>
    <w:semiHidden/>
    <w:unhideWhenUsed/>
    <w:rsid w:val="0042542B"/>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codex-docx-previewodsekzoznamu">
    <w:name w:val="codex-docx-preview_odsekzoznamu"/>
    <w:basedOn w:val="Normlny"/>
    <w:rsid w:val="0042542B"/>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635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382B11C49904E4BA0E70078554F0DF7" ma:contentTypeVersion="14" ma:contentTypeDescription="Umožňuje vytvoriť nový dokument." ma:contentTypeScope="" ma:versionID="7ac456b9d51efbab5cd5110fe678ea2f">
  <xsd:schema xmlns:xsd="http://www.w3.org/2001/XMLSchema" xmlns:xs="http://www.w3.org/2001/XMLSchema" xmlns:p="http://schemas.microsoft.com/office/2006/metadata/properties" xmlns:ns2="4c30cecc-21de-4981-b6c6-34ab73f2000d" xmlns:ns3="f2c44717-26b5-4078-9947-902bcc58f5c7" targetNamespace="http://schemas.microsoft.com/office/2006/metadata/properties" ma:root="true" ma:fieldsID="3e6334fb21ec13e08811556af783853a" ns2:_="" ns3:_="">
    <xsd:import namespace="4c30cecc-21de-4981-b6c6-34ab73f2000d"/>
    <xsd:import namespace="f2c44717-26b5-4078-9947-902bcc58f5c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0cecc-21de-4981-b6c6-34ab73f200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01711c15-ca50-468e-b133-919b957328a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c44717-26b5-4078-9947-902bcc58f5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5b9dd9e-f19e-4708-9c22-9647cf3c7855}" ma:internalName="TaxCatchAll" ma:showField="CatchAllData" ma:web="f2c44717-26b5-4078-9947-902bcc58f5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2c44717-26b5-4078-9947-902bcc58f5c7" xsi:nil="true"/>
    <lcf76f155ced4ddcb4097134ff3c332f xmlns="4c30cecc-21de-4981-b6c6-34ab73f2000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73260-C315-43E9-A889-6FA145199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0cecc-21de-4981-b6c6-34ab73f2000d"/>
    <ds:schemaRef ds:uri="f2c44717-26b5-4078-9947-902bcc58f5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D15296-E380-40CF-9D3C-5D17AA1945E4}">
  <ds:schemaRefs>
    <ds:schemaRef ds:uri="http://purl.org/dc/terms/"/>
    <ds:schemaRef ds:uri="f2c44717-26b5-4078-9947-902bcc58f5c7"/>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http://schemas.microsoft.com/office/infopath/2007/PartnerControls"/>
    <ds:schemaRef ds:uri="4c30cecc-21de-4981-b6c6-34ab73f2000d"/>
    <ds:schemaRef ds:uri="http://purl.org/dc/dcmitype/"/>
  </ds:schemaRefs>
</ds:datastoreItem>
</file>

<file path=customXml/itemProps3.xml><?xml version="1.0" encoding="utf-8"?>
<ds:datastoreItem xmlns:ds="http://schemas.openxmlformats.org/officeDocument/2006/customXml" ds:itemID="{33408F36-5705-4075-ABC4-DEA7223881B9}">
  <ds:schemaRefs>
    <ds:schemaRef ds:uri="http://schemas.microsoft.com/sharepoint/v3/contenttype/forms"/>
  </ds:schemaRefs>
</ds:datastoreItem>
</file>

<file path=customXml/itemProps4.xml><?xml version="1.0" encoding="utf-8"?>
<ds:datastoreItem xmlns:ds="http://schemas.openxmlformats.org/officeDocument/2006/customXml" ds:itemID="{F8848C55-9AC5-48BF-8DD7-1DC0CE812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3775</Words>
  <Characters>21519</Characters>
  <Application>Microsoft Office Word</Application>
  <DocSecurity>0</DocSecurity>
  <Lines>179</Lines>
  <Paragraphs>50</Paragraphs>
  <ScaleCrop>false</ScaleCrop>
  <HeadingPairs>
    <vt:vector size="2" baseType="variant">
      <vt:variant>
        <vt:lpstr>Názov</vt:lpstr>
      </vt:variant>
      <vt:variant>
        <vt:i4>1</vt:i4>
      </vt:variant>
    </vt:vector>
  </HeadingPairs>
  <TitlesOfParts>
    <vt:vector size="1" baseType="lpstr">
      <vt:lpstr>Príloha č. 3 – Logovací štandard prevádzkovateľa</vt:lpstr>
    </vt:vector>
  </TitlesOfParts>
  <Manager/>
  <Company>Sociálna poisťovňa</Company>
  <LinksUpToDate>false</LinksUpToDate>
  <CharactersWithSpaces>25244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 3 – Logovací štandard prevádzkovateľa</dc:title>
  <dc:subject>Minimálne požiadavky na bezpečnostné a prevádzkové logovanie</dc:subject>
  <dc:creator>Rene.Vatter@socpoist.sk</dc:creator>
  <cp:keywords>v2.0</cp:keywords>
  <dc:description/>
  <cp:lastModifiedBy>Hersteková Silvia</cp:lastModifiedBy>
  <cp:revision>4</cp:revision>
  <dcterms:created xsi:type="dcterms:W3CDTF">2026-10-21T12:09:00Z</dcterms:created>
  <dcterms:modified xsi:type="dcterms:W3CDTF">2026-10-23T08:47:00Z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0x010100B382B11C49904E4BA0E70078554F0DF7</vt:lpwstr>
  </property>
  <property fmtid="{D5CDD505-2E9C-101B-9397-08002B2CF9AE}" pid="3" name="MSIP_Label_5c79e3d4-bca5-4e0c-926b-54e78f863a07_Enabled">
    <vt:lpwstr>true</vt:lpwstr>
  </property>
  <property fmtid="{D5CDD505-2E9C-101B-9397-08002B2CF9AE}" pid="4" name="MSIP_Label_5c79e3d4-bca5-4e0c-926b-54e78f863a07_SetDate">
    <vt:lpwstr>2026-09-30T13:37:00Z</vt:lpwstr>
  </property>
  <property fmtid="{D5CDD505-2E9C-101B-9397-08002B2CF9AE}" pid="5" name="MSIP_Label_5c79e3d4-bca5-4e0c-926b-54e78f863a07_Method">
    <vt:lpwstr>Standard</vt:lpwstr>
  </property>
  <property fmtid="{D5CDD505-2E9C-101B-9397-08002B2CF9AE}" pid="6" name="MSIP_Label_5c79e3d4-bca5-4e0c-926b-54e78f863a07_Name">
    <vt:lpwstr>Interné</vt:lpwstr>
  </property>
  <property fmtid="{D5CDD505-2E9C-101B-9397-08002B2CF9AE}" pid="7" name="MSIP_Label_5c79e3d4-bca5-4e0c-926b-54e78f863a07_SiteId">
    <vt:lpwstr>a2836d72-6e15-458b-a053-85f410a2a011</vt:lpwstr>
  </property>
  <property fmtid="{D5CDD505-2E9C-101B-9397-08002B2CF9AE}" pid="8" name="MSIP_Label_5c79e3d4-bca5-4e0c-926b-54e78f863a07_ActionId">
    <vt:lpwstr>50509875-0f0d-48fe-bb0e-6538a8f09f8b</vt:lpwstr>
  </property>
  <property fmtid="{D5CDD505-2E9C-101B-9397-08002B2CF9AE}" pid="9" name="MSIP_Label_5c79e3d4-bca5-4e0c-926b-54e78f863a07_ContentBits">
    <vt:lpwstr>0</vt:lpwstr>
  </property>
  <property fmtid="{D5CDD505-2E9C-101B-9397-08002B2CF9AE}" pid="10" name="MSIP_Label_5c79e3d4-bca5-4e0c-926b-54e78f863a07_Tag">
    <vt:lpwstr>10, 3, 0, 2</vt:lpwstr>
  </property>
  <property fmtid="{D5CDD505-2E9C-101B-9397-08002B2CF9AE}" pid="11" name="MediaServiceImageTags">
    <vt:lpwstr/>
  </property>
</Properties>
</file>